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830051"/>
          <w:sz w:val="72"/>
        </w:rPr>
        <w:t>TRELUXIA™</w:t>
      </w:r>
    </w:p>
    <w:p>
      <w:pPr>
        <w:jc w:val="center"/>
      </w:pPr>
      <w:r>
        <w:rPr>
          <w:color w:val="363B3B"/>
          <w:sz w:val="36"/>
        </w:rPr>
        <w:t>(trelimovab)</w:t>
      </w:r>
    </w:p>
    <w:p/>
    <w:p>
      <w:pPr>
        <w:jc w:val="center"/>
      </w:pPr>
      <w:r>
        <w:rPr>
          <w:b/>
          <w:color w:val="006B77"/>
          <w:sz w:val="48"/>
        </w:rPr>
        <w:t>Website Briefing</w:t>
      </w:r>
    </w:p>
    <w:p/>
    <w:p>
      <w:pPr>
        <w:jc w:val="center"/>
      </w:pPr>
      <w:r>
        <w:rPr>
          <w:i/>
          <w:color w:val="006B77"/>
          <w:sz w:val="28"/>
        </w:rPr>
        <w:t>Breathe beyond limits.</w:t>
      </w:r>
    </w:p>
    <w:p/>
    <w:p>
      <w:pPr>
        <w:jc w:val="center"/>
      </w:pPr>
      <w:r>
        <w:rPr>
          <w:color w:val="666666"/>
          <w:sz w:val="20"/>
        </w:rPr>
        <w:t>Document type: Final approved marketing brief for HCP website build</w:t>
      </w:r>
    </w:p>
    <w:p>
      <w:pPr>
        <w:jc w:val="center"/>
      </w:pPr>
      <w:r>
        <w:rPr>
          <w:color w:val="666666"/>
          <w:sz w:val="20"/>
        </w:rPr>
        <w:t>Prepared by: Marketing — UK Respiratory Franchise</w:t>
      </w:r>
    </w:p>
    <w:p>
      <w:pPr>
        <w:jc w:val="center"/>
      </w:pPr>
      <w:r>
        <w:rPr>
          <w:color w:val="666666"/>
          <w:sz w:val="20"/>
        </w:rPr>
        <w:t>Approval status: MLR-approved copy — do not modify</w:t>
      </w:r>
    </w:p>
    <w:p>
      <w:pPr>
        <w:jc w:val="center"/>
      </w:pPr>
      <w:r>
        <w:rPr>
          <w:color w:val="666666"/>
          <w:sz w:val="20"/>
        </w:rPr>
        <w:t>Date: March 2026</w:t>
      </w:r>
    </w:p>
    <w:p>
      <w:pPr>
        <w:jc w:val="center"/>
      </w:pPr>
      <w:r>
        <w:rPr>
          <w:color w:val="666666"/>
          <w:sz w:val="20"/>
        </w:rPr>
        <w:t>Approval code: GB-98204 | DOP: March 2026</w:t>
      </w:r>
    </w:p>
    <w:p>
      <w:r>
        <w:br w:type="page"/>
      </w:r>
    </w:p>
    <w:p>
      <w:pPr>
        <w:pStyle w:val="Heading1"/>
      </w:pPr>
      <w:r>
        <w:rPr>
          <w:color w:val="830051"/>
        </w:rPr>
        <w:t>Contents</w:t>
      </w:r>
    </w:p>
    <w:p>
      <w:r>
        <w:rPr>
          <w:color w:val="363B3B"/>
          <w:sz w:val="20"/>
        </w:rPr>
        <w:t>1. Drug Profile</w:t>
      </w:r>
    </w:p>
    <w:p>
      <w:r>
        <w:rPr>
          <w:color w:val="363B3B"/>
          <w:sz w:val="20"/>
        </w:rPr>
        <w:t>2. Mechanism of Action</w:t>
      </w:r>
    </w:p>
    <w:p>
      <w:r>
        <w:rPr>
          <w:color w:val="363B3B"/>
          <w:sz w:val="20"/>
        </w:rPr>
        <w:t>3. Clinical Programme: LUMINOS</w:t>
      </w:r>
    </w:p>
    <w:p>
      <w:r>
        <w:rPr>
          <w:color w:val="363B3B"/>
          <w:sz w:val="20"/>
        </w:rPr>
        <w:t>4. Safety Profile</w:t>
      </w:r>
    </w:p>
    <w:p>
      <w:r>
        <w:rPr>
          <w:color w:val="363B3B"/>
          <w:sz w:val="20"/>
        </w:rPr>
        <w:t>5. Prescribing Information</w:t>
      </w:r>
    </w:p>
    <w:p>
      <w:r>
        <w:rPr>
          <w:color w:val="363B3B"/>
          <w:sz w:val="20"/>
        </w:rPr>
        <w:t>6. Adverse Event Reporting</w:t>
      </w:r>
    </w:p>
    <w:p>
      <w:r>
        <w:rPr>
          <w:color w:val="363B3B"/>
          <w:sz w:val="20"/>
        </w:rPr>
        <w:t>7. References</w:t>
      </w:r>
    </w:p>
    <w:p>
      <w:r>
        <w:rPr>
          <w:color w:val="363B3B"/>
          <w:sz w:val="20"/>
        </w:rPr>
        <w:t>8. Site Navigation</w:t>
      </w:r>
    </w:p>
    <w:p>
      <w:r>
        <w:rPr>
          <w:color w:val="363B3B"/>
          <w:sz w:val="20"/>
        </w:rPr>
        <w:t>9. Page Content</w:t>
      </w:r>
    </w:p>
    <w:p>
      <w:r>
        <w:rPr>
          <w:color w:val="363B3B"/>
          <w:sz w:val="20"/>
        </w:rPr>
        <w:t xml:space="preserve">   Page 1: Home</w:t>
      </w:r>
    </w:p>
    <w:p>
      <w:r>
        <w:rPr>
          <w:color w:val="363B3B"/>
          <w:sz w:val="20"/>
        </w:rPr>
        <w:t xml:space="preserve">   Page 2: LUMINOS Data</w:t>
      </w:r>
    </w:p>
    <w:p>
      <w:r>
        <w:rPr>
          <w:color w:val="363B3B"/>
          <w:sz w:val="20"/>
        </w:rPr>
        <w:t xml:space="preserve">   Page 3: Safety</w:t>
      </w:r>
    </w:p>
    <w:p>
      <w:r>
        <w:rPr>
          <w:color w:val="363B3B"/>
          <w:sz w:val="20"/>
        </w:rPr>
        <w:t xml:space="preserve">   Page 4: Dosing &amp; Administration</w:t>
      </w:r>
    </w:p>
    <w:p>
      <w:r>
        <w:rPr>
          <w:color w:val="363B3B"/>
          <w:sz w:val="20"/>
        </w:rPr>
        <w:t xml:space="preserve">   Page 5: How TRELUXIA Works</w:t>
      </w:r>
    </w:p>
    <w:p>
      <w:r>
        <w:rPr>
          <w:color w:val="363B3B"/>
          <w:sz w:val="20"/>
        </w:rPr>
        <w:t xml:space="preserve">   Page 6: Resources</w:t>
      </w:r>
    </w:p>
    <w:p>
      <w:r>
        <w:rPr>
          <w:color w:val="363B3B"/>
          <w:sz w:val="20"/>
        </w:rPr>
        <w:t>10. Footer Content</w:t>
      </w:r>
    </w:p>
    <w:p>
      <w:r>
        <w:rPr>
          <w:color w:val="363B3B"/>
          <w:sz w:val="20"/>
        </w:rPr>
        <w:t>11. Image Assets</w:t>
      </w:r>
    </w:p>
    <w:p>
      <w:r>
        <w:br w:type="page"/>
      </w:r>
    </w:p>
    <w:p>
      <w:pPr>
        <w:pStyle w:val="Heading1"/>
      </w:pPr>
      <w:r>
        <w:rPr>
          <w:color w:val="830051"/>
        </w:rPr>
        <w:t>1. Drug Profile</w:t>
      </w:r>
    </w:p>
    <w:tbl>
      <w:tblPr>
        <w:tblStyle w:val="TableGrid"/>
        <w:tblW w:type="auto" w:w="0"/>
        <w:jc w:val="center"/>
        <w:tblLook w:firstColumn="1" w:firstRow="1" w:lastColumn="0" w:lastRow="0" w:noHBand="0" w:noVBand="1" w:val="04A0"/>
      </w:tblPr>
      <w:tblGrid>
        <w:gridCol w:w="4536"/>
        <w:gridCol w:w="4536"/>
      </w:tblGrid>
      <w:tr>
        <w:tc>
          <w:tcPr>
            <w:tcW w:type="dxa" w:w="4536"/>
            <w:shd w:fill="830051"/>
          </w:tcPr>
          <w:p>
            <w:r/>
            <w:r>
              <w:rPr>
                <w:b/>
                <w:color w:val="FFFFFF"/>
                <w:sz w:val="18"/>
              </w:rPr>
              <w:t>Field</w:t>
            </w:r>
          </w:p>
        </w:tc>
        <w:tc>
          <w:tcPr>
            <w:tcW w:type="dxa" w:w="4536"/>
            <w:shd w:fill="830051"/>
          </w:tcPr>
          <w:p>
            <w:r/>
            <w:r>
              <w:rPr>
                <w:b/>
                <w:color w:val="FFFFFF"/>
                <w:sz w:val="18"/>
              </w:rPr>
              <w:t>Detail</w:t>
            </w:r>
          </w:p>
        </w:tc>
      </w:tr>
      <w:tr>
        <w:tc>
          <w:tcPr>
            <w:tcW w:type="dxa" w:w="4536"/>
          </w:tcPr>
          <w:p>
            <w:r/>
            <w:r>
              <w:rPr>
                <w:color w:val="363B3B"/>
                <w:sz w:val="18"/>
              </w:rPr>
              <w:t>Brand name</w:t>
            </w:r>
          </w:p>
        </w:tc>
        <w:tc>
          <w:tcPr>
            <w:tcW w:type="dxa" w:w="4536"/>
          </w:tcPr>
          <w:p>
            <w:r/>
            <w:r>
              <w:rPr>
                <w:color w:val="363B3B"/>
                <w:sz w:val="18"/>
              </w:rPr>
              <w:t>TRELUXIA</w:t>
            </w:r>
          </w:p>
        </w:tc>
      </w:tr>
      <w:tr>
        <w:tc>
          <w:tcPr>
            <w:tcW w:type="dxa" w:w="4536"/>
            <w:shd w:fill="F8F8F8"/>
          </w:tcPr>
          <w:p>
            <w:r/>
            <w:r>
              <w:rPr>
                <w:color w:val="363B3B"/>
                <w:sz w:val="18"/>
              </w:rPr>
              <w:t>Generic name</w:t>
            </w:r>
          </w:p>
        </w:tc>
        <w:tc>
          <w:tcPr>
            <w:tcW w:type="dxa" w:w="4536"/>
            <w:shd w:fill="F8F8F8"/>
          </w:tcPr>
          <w:p>
            <w:r/>
            <w:r>
              <w:rPr>
                <w:color w:val="363B3B"/>
                <w:sz w:val="18"/>
              </w:rPr>
              <w:t>trelimovab</w:t>
            </w:r>
          </w:p>
        </w:tc>
      </w:tr>
      <w:tr>
        <w:tc>
          <w:tcPr>
            <w:tcW w:type="dxa" w:w="4536"/>
          </w:tcPr>
          <w:p>
            <w:r/>
            <w:r>
              <w:rPr>
                <w:color w:val="363B3B"/>
                <w:sz w:val="18"/>
              </w:rPr>
              <w:t>Drug class</w:t>
            </w:r>
          </w:p>
        </w:tc>
        <w:tc>
          <w:tcPr>
            <w:tcW w:type="dxa" w:w="4536"/>
          </w:tcPr>
          <w:p>
            <w:r/>
            <w:r>
              <w:rPr>
                <w:color w:val="363B3B"/>
                <w:sz w:val="18"/>
              </w:rPr>
              <w:t>Human monoclonal antibody targeting thymic stromal lymphopoietin (TSLP)</w:t>
            </w:r>
          </w:p>
        </w:tc>
      </w:tr>
      <w:tr>
        <w:tc>
          <w:tcPr>
            <w:tcW w:type="dxa" w:w="4536"/>
            <w:shd w:fill="F8F8F8"/>
          </w:tcPr>
          <w:p>
            <w:r/>
            <w:r>
              <w:rPr>
                <w:color w:val="363B3B"/>
                <w:sz w:val="18"/>
              </w:rPr>
              <w:t>Indication</w:t>
            </w:r>
          </w:p>
        </w:tc>
        <w:tc>
          <w:tcPr>
            <w:tcW w:type="dxa" w:w="4536"/>
            <w:shd w:fill="F8F8F8"/>
          </w:tcPr>
          <w:p>
            <w:r/>
            <w:r>
              <w:rPr>
                <w:color w:val="363B3B"/>
                <w:sz w:val="18"/>
              </w:rPr>
              <w:t>Add-on maintenance treatment for adults and adolescents aged ≥12 years with severe asthma that is inadequately controlled despite high-dose inhaled corticosteroids plus at least one additional controller, irrespective of inflammatory phenotype</w:t>
            </w:r>
          </w:p>
        </w:tc>
      </w:tr>
      <w:tr>
        <w:tc>
          <w:tcPr>
            <w:tcW w:type="dxa" w:w="4536"/>
          </w:tcPr>
          <w:p>
            <w:r/>
            <w:r>
              <w:rPr>
                <w:color w:val="363B3B"/>
                <w:sz w:val="18"/>
              </w:rPr>
              <w:t>Formulation</w:t>
            </w:r>
          </w:p>
        </w:tc>
        <w:tc>
          <w:tcPr>
            <w:tcW w:type="dxa" w:w="4536"/>
          </w:tcPr>
          <w:p>
            <w:r/>
            <w:r>
              <w:rPr>
                <w:color w:val="363B3B"/>
                <w:sz w:val="18"/>
              </w:rPr>
              <w:t>210 mg/1.91 mL solution for injection in pre-filled syringe and pre-filled pen (autoinjector)</w:t>
            </w:r>
          </w:p>
        </w:tc>
      </w:tr>
      <w:tr>
        <w:tc>
          <w:tcPr>
            <w:tcW w:type="dxa" w:w="4536"/>
            <w:shd w:fill="F8F8F8"/>
          </w:tcPr>
          <w:p>
            <w:r/>
            <w:r>
              <w:rPr>
                <w:color w:val="363B3B"/>
                <w:sz w:val="18"/>
              </w:rPr>
              <w:t>Dosing</w:t>
            </w:r>
          </w:p>
        </w:tc>
        <w:tc>
          <w:tcPr>
            <w:tcW w:type="dxa" w:w="4536"/>
            <w:shd w:fill="F8F8F8"/>
          </w:tcPr>
          <w:p>
            <w:r/>
            <w:r>
              <w:rPr>
                <w:color w:val="363B3B"/>
                <w:sz w:val="18"/>
              </w:rPr>
              <w:t>210 mg subcutaneous injection once every 4 weeks</w:t>
            </w:r>
          </w:p>
        </w:tc>
      </w:tr>
      <w:tr>
        <w:tc>
          <w:tcPr>
            <w:tcW w:type="dxa" w:w="4536"/>
          </w:tcPr>
          <w:p>
            <w:r/>
            <w:r>
              <w:rPr>
                <w:color w:val="363B3B"/>
                <w:sz w:val="18"/>
              </w:rPr>
              <w:t>Approval</w:t>
            </w:r>
          </w:p>
        </w:tc>
        <w:tc>
          <w:tcPr>
            <w:tcW w:type="dxa" w:w="4536"/>
          </w:tcPr>
          <w:p>
            <w:r/>
            <w:r>
              <w:rPr>
                <w:color w:val="363B3B"/>
                <w:sz w:val="18"/>
              </w:rPr>
              <w:t>MHRA — January 2026</w:t>
            </w:r>
          </w:p>
        </w:tc>
      </w:tr>
      <w:tr>
        <w:tc>
          <w:tcPr>
            <w:tcW w:type="dxa" w:w="4536"/>
            <w:shd w:fill="F8F8F8"/>
          </w:tcPr>
          <w:p>
            <w:r/>
            <w:r>
              <w:rPr>
                <w:color w:val="363B3B"/>
                <w:sz w:val="18"/>
              </w:rPr>
              <w:t>Brand colour</w:t>
            </w:r>
          </w:p>
        </w:tc>
        <w:tc>
          <w:tcPr>
            <w:tcW w:type="dxa" w:w="4536"/>
            <w:shd w:fill="F8F8F8"/>
          </w:tcPr>
          <w:p>
            <w:r/>
            <w:r>
              <w:rPr>
                <w:color w:val="363B3B"/>
                <w:sz w:val="18"/>
              </w:rPr>
              <w:t>Deep Teal #006B77</w:t>
            </w:r>
          </w:p>
        </w:tc>
      </w:tr>
      <w:tr>
        <w:tc>
          <w:tcPr>
            <w:tcW w:type="dxa" w:w="4536"/>
          </w:tcPr>
          <w:p>
            <w:r/>
            <w:r>
              <w:rPr>
                <w:color w:val="363B3B"/>
                <w:sz w:val="18"/>
              </w:rPr>
              <w:t>Accent colour</w:t>
            </w:r>
          </w:p>
        </w:tc>
        <w:tc>
          <w:tcPr>
            <w:tcW w:type="dxa" w:w="4536"/>
          </w:tcPr>
          <w:p>
            <w:r/>
            <w:r>
              <w:rPr>
                <w:color w:val="363B3B"/>
                <w:sz w:val="18"/>
              </w:rPr>
              <w:t>Sky Blue #4DADD9</w:t>
            </w:r>
          </w:p>
        </w:tc>
      </w:tr>
      <w:tr>
        <w:tc>
          <w:tcPr>
            <w:tcW w:type="dxa" w:w="4536"/>
            <w:shd w:fill="F8F8F8"/>
          </w:tcPr>
          <w:p>
            <w:r/>
            <w:r>
              <w:rPr>
                <w:color w:val="363B3B"/>
                <w:sz w:val="18"/>
              </w:rPr>
              <w:t>Approval code</w:t>
            </w:r>
          </w:p>
        </w:tc>
        <w:tc>
          <w:tcPr>
            <w:tcW w:type="dxa" w:w="4536"/>
            <w:shd w:fill="F8F8F8"/>
          </w:tcPr>
          <w:p>
            <w:r/>
            <w:r>
              <w:rPr>
                <w:color w:val="363B3B"/>
                <w:sz w:val="18"/>
              </w:rPr>
              <w:t>GB-98204</w:t>
            </w:r>
          </w:p>
        </w:tc>
      </w:tr>
    </w:tbl>
    <w:p/>
    <w:p>
      <w:r>
        <w:rPr>
          <w:b/>
          <w:color w:val="CC0000"/>
          <w:sz w:val="18"/>
        </w:rPr>
        <w:t>TRELUXIA brand rule: TRELUXIA always appears in capitals, with ™ on first mention per page. Generic name (trelimovab) appears in lowercase parentheses on first mention. The approved tagline "Breathe beyond limits." may only be used verbatim — no variations permitted.</w:t>
      </w:r>
    </w:p>
    <w:p>
      <w:pPr>
        <w:jc w:val="center"/>
      </w:pPr>
      <w:r>
        <w:rPr>
          <w:color w:val="CCCCCC"/>
          <w:sz w:val="16"/>
        </w:rPr>
        <w:t>────────────────────────────────────────────────────────────</w:t>
      </w:r>
    </w:p>
    <w:p>
      <w:pPr>
        <w:pStyle w:val="Heading1"/>
      </w:pPr>
      <w:r>
        <w:rPr>
          <w:color w:val="830051"/>
        </w:rPr>
        <w:t>2. Mechanism of Action</w:t>
      </w:r>
    </w:p>
    <w:p>
      <w:r>
        <w:rPr>
          <w:b w:val="0"/>
          <w:i w:val="0"/>
          <w:color w:val="363B3B"/>
          <w:sz w:val="20"/>
        </w:rPr>
        <w:t>Trelimovab is a human immunoglobulin G2λ monoclonal antibody that specifically binds to thymic stromal lymphopoietin (TSLP), an epithelial cytokine released at the top of the inflammatory cascade in response to airway insults including allergens, viruses, pollutants, and other triggers.</w:t>
      </w:r>
    </w:p>
    <w:p>
      <w:r>
        <w:rPr>
          <w:b w:val="0"/>
          <w:i w:val="0"/>
          <w:color w:val="363B3B"/>
          <w:sz w:val="20"/>
        </w:rPr>
        <w:t>TSLP is a key upstream initiator of airway inflammation in asthma. By binding directly to TSLP and preventing its interaction with the TSLP receptor complex (TSLPR/IL-7Rα), trelimovab inhibits multiple downstream inflammatory pathways:</w:t>
      </w:r>
    </w:p>
    <w:p>
      <w:pPr>
        <w:pStyle w:val="ListBullet"/>
      </w:pPr>
      <w:r>
        <w:rPr>
          <w:sz w:val="20"/>
        </w:rPr>
        <w:t>Eosinophilic inflammation via suppression of IL-5, IL-13, and eosinophil recruitment</w:t>
      </w:r>
    </w:p>
    <w:p>
      <w:pPr>
        <w:pStyle w:val="ListBullet"/>
      </w:pPr>
      <w:r>
        <w:rPr>
          <w:sz w:val="20"/>
        </w:rPr>
        <w:t>Type 2 (Th2) immune responses including IgE production and mast cell activation</w:t>
      </w:r>
    </w:p>
    <w:p>
      <w:pPr>
        <w:pStyle w:val="ListBullet"/>
      </w:pPr>
      <w:r>
        <w:rPr>
          <w:sz w:val="20"/>
        </w:rPr>
        <w:t>Non-type 2 inflammation including neutrophilic airway inflammation, mast cell cytokine release, and structural cell activation</w:t>
      </w:r>
    </w:p>
    <w:p>
      <w:pPr>
        <w:pStyle w:val="ListBullet"/>
      </w:pPr>
      <w:r>
        <w:rPr>
          <w:sz w:val="20"/>
        </w:rPr>
        <w:t>Airway remodelling through reduced subepithelial fibrosis and smooth muscle hypertrophy</w:t>
      </w:r>
    </w:p>
    <w:p>
      <w:r>
        <w:rPr>
          <w:b w:val="0"/>
          <w:i w:val="0"/>
          <w:color w:val="363B3B"/>
          <w:sz w:val="20"/>
        </w:rPr>
        <w:t>Because TSLP acts upstream of multiple inflammatory pathways, trelimovab provides broad anti-inflammatory activity across the full spectrum of severe asthma phenotypes — including patients with low eosinophil counts and those without a clearly defined type 2 inflammatory biomarker signature.</w:t>
      </w:r>
    </w:p>
    <w:p>
      <w:pPr>
        <w:jc w:val="center"/>
      </w:pPr>
      <w:r>
        <w:rPr>
          <w:color w:val="CCCCCC"/>
          <w:sz w:val="16"/>
        </w:rPr>
        <w:t>────────────────────────────────────────────────────────────</w:t>
      </w:r>
    </w:p>
    <w:p>
      <w:pPr>
        <w:pStyle w:val="Heading1"/>
      </w:pPr>
      <w:r>
        <w:rPr>
          <w:color w:val="830051"/>
        </w:rPr>
        <w:t>3. Clinical Programme: LUMINOS</w:t>
      </w:r>
    </w:p>
    <w:p>
      <w:pPr>
        <w:pStyle w:val="Heading2"/>
      </w:pPr>
      <w:r>
        <w:rPr>
          <w:color w:val="830051"/>
        </w:rPr>
        <w:t>LUMINOS-1 (Phase III, pivotal — Exacerbation reduction in severe asthma)</w:t>
      </w:r>
    </w:p>
    <w:p>
      <w:r>
        <w:rPr>
          <w:b/>
          <w:sz w:val="20"/>
        </w:rPr>
        <w:t xml:space="preserve">Design: </w:t>
      </w:r>
      <w:r>
        <w:rPr>
          <w:sz w:val="20"/>
        </w:rPr>
        <w:t>Randomised, double-blind, placebo-controlled, parallel-group Phase III trial</w:t>
      </w:r>
    </w:p>
    <w:p>
      <w:r>
        <w:rPr>
          <w:b/>
          <w:sz w:val="20"/>
        </w:rPr>
        <w:t xml:space="preserve">Population: </w:t>
      </w:r>
      <w:r>
        <w:rPr>
          <w:sz w:val="20"/>
        </w:rPr>
        <w:t>1,061 adults and adolescents aged ≥12 years with severe asthma inadequately controlled despite medium- or high-dose ICS plus at least one additional controller (LABA, LTRA, LAMA, or theophylline), with a history of ≥2 exacerbations in the prior 12 months</w:t>
      </w:r>
    </w:p>
    <w:p>
      <w:r>
        <w:rPr>
          <w:b/>
          <w:sz w:val="20"/>
        </w:rPr>
        <w:t xml:space="preserve">Duration: </w:t>
      </w:r>
      <w:r>
        <w:rPr>
          <w:sz w:val="20"/>
        </w:rPr>
        <w:t>52 weeks on treatment + 12-week follow-up</w:t>
      </w:r>
    </w:p>
    <w:p>
      <w:r>
        <w:rPr>
          <w:b/>
          <w:sz w:val="20"/>
        </w:rPr>
        <w:t xml:space="preserve">Primary endpoint: </w:t>
      </w:r>
      <w:r>
        <w:rPr>
          <w:sz w:val="20"/>
        </w:rPr>
        <w:t>Annualised asthma exacerbation rate (AAER) over 52 weeks</w:t>
      </w:r>
    </w:p>
    <w:p>
      <w:r>
        <w:rPr>
          <w:b/>
          <w:sz w:val="20"/>
        </w:rPr>
        <w:t xml:space="preserve">Key secondary endpoints: </w:t>
      </w:r>
      <w:r>
        <w:rPr>
          <w:sz w:val="20"/>
        </w:rPr>
        <w:t>Change from baseline in pre-bronchodilator FEV₁ at Week 52; Asthma Control Questionnaire-6 (ACQ-6) score change at Week 52; time to first exacerbation; AAER in subgroups by baseline eosinophil count</w:t>
      </w:r>
    </w:p>
    <w:p>
      <w:r>
        <w:rPr>
          <w:b/>
          <w:sz w:val="20"/>
        </w:rPr>
        <w:t xml:space="preserve">Publication: </w:t>
      </w:r>
      <w:r>
        <w:rPr>
          <w:sz w:val="20"/>
        </w:rPr>
        <w:t>Harrison et al. N Engl J Med 2025; 392(14): 1318–1330</w:t>
      </w:r>
    </w:p>
    <w:p/>
    <w:p>
      <w:r>
        <w:rPr>
          <w:b/>
          <w:i w:val="0"/>
          <w:color w:val="363B3B"/>
          <w:sz w:val="20"/>
        </w:rPr>
        <w:t>Key results: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TRELUXIA (n=529)</w:t>
            </w:r>
          </w:p>
        </w:tc>
        <w:tc>
          <w:tcPr>
            <w:tcW w:type="dxa" w:w="2268"/>
            <w:shd w:fill="830051"/>
          </w:tcPr>
          <w:p>
            <w:r/>
            <w:r>
              <w:rPr>
                <w:b/>
                <w:color w:val="FFFFFF"/>
                <w:sz w:val="18"/>
              </w:rPr>
              <w:t>Placebo (n=532)</w:t>
            </w:r>
          </w:p>
        </w:tc>
        <w:tc>
          <w:tcPr>
            <w:tcW w:type="dxa" w:w="2268"/>
            <w:shd w:fill="830051"/>
          </w:tcPr>
          <w:p>
            <w:r/>
            <w:r>
              <w:rPr>
                <w:b/>
                <w:color w:val="FFFFFF"/>
                <w:sz w:val="18"/>
              </w:rPr>
              <w:t>Treatment effect</w:t>
            </w:r>
          </w:p>
        </w:tc>
      </w:tr>
      <w:tr>
        <w:tc>
          <w:tcPr>
            <w:tcW w:type="dxa" w:w="2268"/>
          </w:tcPr>
          <w:p>
            <w:r/>
            <w:r>
              <w:rPr>
                <w:color w:val="363B3B"/>
                <w:sz w:val="18"/>
              </w:rPr>
              <w:t>AAER (overall population)</w:t>
            </w:r>
          </w:p>
        </w:tc>
        <w:tc>
          <w:tcPr>
            <w:tcW w:type="dxa" w:w="2268"/>
          </w:tcPr>
          <w:p>
            <w:r/>
            <w:r>
              <w:rPr>
                <w:color w:val="363B3B"/>
                <w:sz w:val="18"/>
              </w:rPr>
              <w:t>0.93</w:t>
            </w:r>
          </w:p>
        </w:tc>
        <w:tc>
          <w:tcPr>
            <w:tcW w:type="dxa" w:w="2268"/>
          </w:tcPr>
          <w:p>
            <w:r/>
            <w:r>
              <w:rPr>
                <w:color w:val="363B3B"/>
                <w:sz w:val="18"/>
              </w:rPr>
              <w:t>2.10</w:t>
            </w:r>
          </w:p>
        </w:tc>
        <w:tc>
          <w:tcPr>
            <w:tcW w:type="dxa" w:w="2268"/>
          </w:tcPr>
          <w:p>
            <w:r/>
            <w:r>
              <w:rPr>
                <w:color w:val="363B3B"/>
                <w:sz w:val="18"/>
              </w:rPr>
              <w:t>RR 0.44 (0.37–0.53); P&lt;0.001</w:t>
            </w:r>
          </w:p>
        </w:tc>
      </w:tr>
      <w:tr>
        <w:tc>
          <w:tcPr>
            <w:tcW w:type="dxa" w:w="2268"/>
            <w:shd w:fill="F8F8F8"/>
          </w:tcPr>
          <w:p>
            <w:r/>
            <w:r>
              <w:rPr>
                <w:color w:val="363B3B"/>
                <w:sz w:val="18"/>
              </w:rPr>
              <w:t>AAER (eos ≥300 cells/μL)</w:t>
            </w:r>
          </w:p>
        </w:tc>
        <w:tc>
          <w:tcPr>
            <w:tcW w:type="dxa" w:w="2268"/>
            <w:shd w:fill="F8F8F8"/>
          </w:tcPr>
          <w:p>
            <w:r/>
            <w:r>
              <w:rPr>
                <w:color w:val="363B3B"/>
                <w:sz w:val="18"/>
              </w:rPr>
              <w:t>0.85</w:t>
            </w:r>
          </w:p>
        </w:tc>
        <w:tc>
          <w:tcPr>
            <w:tcW w:type="dxa" w:w="2268"/>
            <w:shd w:fill="F8F8F8"/>
          </w:tcPr>
          <w:p>
            <w:r/>
            <w:r>
              <w:rPr>
                <w:color w:val="363B3B"/>
                <w:sz w:val="18"/>
              </w:rPr>
              <w:t>2.26</w:t>
            </w:r>
          </w:p>
        </w:tc>
        <w:tc>
          <w:tcPr>
            <w:tcW w:type="dxa" w:w="2268"/>
            <w:shd w:fill="F8F8F8"/>
          </w:tcPr>
          <w:p>
            <w:r/>
            <w:r>
              <w:rPr>
                <w:color w:val="363B3B"/>
                <w:sz w:val="18"/>
              </w:rPr>
              <w:t>RR 0.38 (0.29–0.49); P&lt;0.001</w:t>
            </w:r>
          </w:p>
        </w:tc>
      </w:tr>
      <w:tr>
        <w:tc>
          <w:tcPr>
            <w:tcW w:type="dxa" w:w="2268"/>
          </w:tcPr>
          <w:p>
            <w:r/>
            <w:r>
              <w:rPr>
                <w:color w:val="363B3B"/>
                <w:sz w:val="18"/>
              </w:rPr>
              <w:t>AAER (eos &lt;300 cells/μL)</w:t>
            </w:r>
          </w:p>
        </w:tc>
        <w:tc>
          <w:tcPr>
            <w:tcW w:type="dxa" w:w="2268"/>
          </w:tcPr>
          <w:p>
            <w:r/>
            <w:r>
              <w:rPr>
                <w:color w:val="363B3B"/>
                <w:sz w:val="18"/>
              </w:rPr>
              <w:t>1.14</w:t>
            </w:r>
          </w:p>
        </w:tc>
        <w:tc>
          <w:tcPr>
            <w:tcW w:type="dxa" w:w="2268"/>
          </w:tcPr>
          <w:p>
            <w:r/>
            <w:r>
              <w:rPr>
                <w:color w:val="363B3B"/>
                <w:sz w:val="18"/>
              </w:rPr>
              <w:t>1.92</w:t>
            </w:r>
          </w:p>
        </w:tc>
        <w:tc>
          <w:tcPr>
            <w:tcW w:type="dxa" w:w="2268"/>
          </w:tcPr>
          <w:p>
            <w:r/>
            <w:r>
              <w:rPr>
                <w:color w:val="363B3B"/>
                <w:sz w:val="18"/>
              </w:rPr>
              <w:t>RR 0.59 (0.45–0.78); P&lt;0.001</w:t>
            </w:r>
          </w:p>
        </w:tc>
      </w:tr>
      <w:tr>
        <w:tc>
          <w:tcPr>
            <w:tcW w:type="dxa" w:w="2268"/>
            <w:shd w:fill="F8F8F8"/>
          </w:tcPr>
          <w:p>
            <w:r/>
            <w:r>
              <w:rPr>
                <w:color w:val="363B3B"/>
                <w:sz w:val="18"/>
              </w:rPr>
              <w:t>Pre-BD FEV₁ change at Week 52</w:t>
            </w:r>
          </w:p>
        </w:tc>
        <w:tc>
          <w:tcPr>
            <w:tcW w:type="dxa" w:w="2268"/>
            <w:shd w:fill="F8F8F8"/>
          </w:tcPr>
          <w:p>
            <w:r/>
            <w:r>
              <w:rPr>
                <w:color w:val="363B3B"/>
                <w:sz w:val="18"/>
              </w:rPr>
              <w:t>+0.29 L</w:t>
            </w:r>
          </w:p>
        </w:tc>
        <w:tc>
          <w:tcPr>
            <w:tcW w:type="dxa" w:w="2268"/>
            <w:shd w:fill="F8F8F8"/>
          </w:tcPr>
          <w:p>
            <w:r/>
            <w:r>
              <w:rPr>
                <w:color w:val="363B3B"/>
                <w:sz w:val="18"/>
              </w:rPr>
              <w:t>+0.04 L</w:t>
            </w:r>
          </w:p>
        </w:tc>
        <w:tc>
          <w:tcPr>
            <w:tcW w:type="dxa" w:w="2268"/>
            <w:shd w:fill="F8F8F8"/>
          </w:tcPr>
          <w:p>
            <w:r/>
            <w:r>
              <w:rPr>
                <w:color w:val="363B3B"/>
                <w:sz w:val="18"/>
              </w:rPr>
              <w:t>+0.25 L (0.18–0.32); P&lt;0.001</w:t>
            </w:r>
          </w:p>
        </w:tc>
      </w:tr>
      <w:tr>
        <w:tc>
          <w:tcPr>
            <w:tcW w:type="dxa" w:w="2268"/>
          </w:tcPr>
          <w:p>
            <w:r/>
            <w:r>
              <w:rPr>
                <w:color w:val="363B3B"/>
                <w:sz w:val="18"/>
              </w:rPr>
              <w:t>ACQ-6 change at Week 52</w:t>
            </w:r>
          </w:p>
        </w:tc>
        <w:tc>
          <w:tcPr>
            <w:tcW w:type="dxa" w:w="2268"/>
          </w:tcPr>
          <w:p>
            <w:r/>
            <w:r>
              <w:rPr>
                <w:color w:val="363B3B"/>
                <w:sz w:val="18"/>
              </w:rPr>
              <w:t>−1.55</w:t>
            </w:r>
          </w:p>
        </w:tc>
        <w:tc>
          <w:tcPr>
            <w:tcW w:type="dxa" w:w="2268"/>
          </w:tcPr>
          <w:p>
            <w:r/>
            <w:r>
              <w:rPr>
                <w:color w:val="363B3B"/>
                <w:sz w:val="18"/>
              </w:rPr>
              <w:t>−1.07</w:t>
            </w:r>
          </w:p>
        </w:tc>
        <w:tc>
          <w:tcPr>
            <w:tcW w:type="dxa" w:w="2268"/>
          </w:tcPr>
          <w:p>
            <w:r/>
            <w:r>
              <w:rPr>
                <w:color w:val="363B3B"/>
                <w:sz w:val="18"/>
              </w:rPr>
              <w:t>−0.48 (−0.62 to −0.34); P&lt;0.001</w:t>
            </w:r>
          </w:p>
        </w:tc>
      </w:tr>
      <w:tr>
        <w:tc>
          <w:tcPr>
            <w:tcW w:type="dxa" w:w="2268"/>
            <w:shd w:fill="F8F8F8"/>
          </w:tcPr>
          <w:p>
            <w:r/>
            <w:r>
              <w:rPr>
                <w:color w:val="363B3B"/>
                <w:sz w:val="18"/>
              </w:rPr>
              <w:t>Time to first exacerbation</w:t>
            </w:r>
          </w:p>
        </w:tc>
        <w:tc>
          <w:tcPr>
            <w:tcW w:type="dxa" w:w="2268"/>
            <w:shd w:fill="F8F8F8"/>
          </w:tcPr>
          <w:p>
            <w:r/>
            <w:r>
              <w:rPr>
                <w:color w:val="363B3B"/>
                <w:sz w:val="18"/>
              </w:rPr>
              <w:t>Median not reached</w:t>
            </w:r>
          </w:p>
        </w:tc>
        <w:tc>
          <w:tcPr>
            <w:tcW w:type="dxa" w:w="2268"/>
            <w:shd w:fill="F8F8F8"/>
          </w:tcPr>
          <w:p>
            <w:r/>
            <w:r>
              <w:rPr>
                <w:color w:val="363B3B"/>
                <w:sz w:val="18"/>
              </w:rPr>
              <w:t>36 weeks</w:t>
            </w:r>
          </w:p>
        </w:tc>
        <w:tc>
          <w:tcPr>
            <w:tcW w:type="dxa" w:w="2268"/>
            <w:shd w:fill="F8F8F8"/>
          </w:tcPr>
          <w:p>
            <w:r/>
            <w:r>
              <w:rPr>
                <w:color w:val="363B3B"/>
                <w:sz w:val="18"/>
              </w:rPr>
              <w:t>HR 0.52 (0.43–0.63); P&lt;0.001</w:t>
            </w:r>
          </w:p>
        </w:tc>
      </w:tr>
      <w:tr>
        <w:tc>
          <w:tcPr>
            <w:tcW w:type="dxa" w:w="2268"/>
          </w:tcPr>
          <w:p>
            <w:r/>
            <w:r>
              <w:rPr>
                <w:color w:val="363B3B"/>
                <w:sz w:val="18"/>
              </w:rPr>
              <w:t>Exacerbations requiring hospitalisation/ER</w:t>
            </w:r>
          </w:p>
        </w:tc>
        <w:tc>
          <w:tcPr>
            <w:tcW w:type="dxa" w:w="2268"/>
          </w:tcPr>
          <w:p>
            <w:r/>
            <w:r>
              <w:rPr>
                <w:color w:val="363B3B"/>
                <w:sz w:val="18"/>
              </w:rPr>
              <w:t>0.18</w:t>
            </w:r>
          </w:p>
        </w:tc>
        <w:tc>
          <w:tcPr>
            <w:tcW w:type="dxa" w:w="2268"/>
          </w:tcPr>
          <w:p>
            <w:r/>
            <w:r>
              <w:rPr>
                <w:color w:val="363B3B"/>
                <w:sz w:val="18"/>
              </w:rPr>
              <w:t>0.79</w:t>
            </w:r>
          </w:p>
        </w:tc>
        <w:tc>
          <w:tcPr>
            <w:tcW w:type="dxa" w:w="2268"/>
          </w:tcPr>
          <w:p>
            <w:r/>
            <w:r>
              <w:rPr>
                <w:color w:val="363B3B"/>
                <w:sz w:val="18"/>
              </w:rPr>
              <w:t>RR 0.23 (0.15–0.35); P&lt;0.001</w:t>
            </w:r>
          </w:p>
        </w:tc>
      </w:tr>
    </w:tbl>
    <w:p/>
    <w:p>
      <w:pPr>
        <w:pStyle w:val="Heading2"/>
      </w:pPr>
      <w:r>
        <w:rPr>
          <w:color w:val="830051"/>
        </w:rPr>
        <w:t>LUMINOS-OCS (Phase III — Oral corticosteroid sparing in severe asthma)</w:t>
      </w:r>
    </w:p>
    <w:p>
      <w:r>
        <w:rPr>
          <w:b/>
          <w:sz w:val="20"/>
        </w:rPr>
        <w:t xml:space="preserve">Design: </w:t>
      </w:r>
      <w:r>
        <w:rPr>
          <w:sz w:val="20"/>
        </w:rPr>
        <w:t>Randomised, double-blind, placebo-controlled Phase III trial</w:t>
      </w:r>
    </w:p>
    <w:p>
      <w:r>
        <w:rPr>
          <w:b/>
          <w:sz w:val="20"/>
        </w:rPr>
        <w:t xml:space="preserve">Population: </w:t>
      </w:r>
      <w:r>
        <w:rPr>
          <w:sz w:val="20"/>
        </w:rPr>
        <w:t>407 adults with severe asthma dependent on maintenance oral corticosteroids (≥5 mg prednisolone equivalent daily), receiving high-dose ICS plus additional controllers</w:t>
      </w:r>
    </w:p>
    <w:p>
      <w:r>
        <w:rPr>
          <w:b/>
          <w:sz w:val="20"/>
        </w:rPr>
        <w:t xml:space="preserve">Duration: </w:t>
      </w:r>
      <w:r>
        <w:rPr>
          <w:sz w:val="20"/>
        </w:rPr>
        <w:t>48 weeks (12-week OCS optimisation + 36-week OCS reduction phase)</w:t>
      </w:r>
    </w:p>
    <w:p>
      <w:r>
        <w:rPr>
          <w:b/>
          <w:sz w:val="20"/>
        </w:rPr>
        <w:t xml:space="preserve">Primary endpoint: </w:t>
      </w:r>
      <w:r>
        <w:rPr>
          <w:sz w:val="20"/>
        </w:rPr>
        <w:t>Percentage reduction in OCS dose at Week 48 from the optimised baseline while maintaining asthma control</w:t>
      </w:r>
    </w:p>
    <w:p>
      <w:r>
        <w:rPr>
          <w:b/>
          <w:sz w:val="20"/>
        </w:rPr>
        <w:t xml:space="preserve">Key secondary endpoints: </w:t>
      </w:r>
      <w:r>
        <w:rPr>
          <w:sz w:val="20"/>
        </w:rPr>
        <w:t>Proportion achieving ≥50% OCS reduction; proportion achieving complete OCS elimination; AAER during OCS reduction phase; ACQ-6 change at Week 48</w:t>
      </w:r>
    </w:p>
    <w:p>
      <w:r>
        <w:rPr>
          <w:b/>
          <w:sz w:val="20"/>
        </w:rPr>
        <w:t xml:space="preserve">Publication: </w:t>
      </w:r>
      <w:r>
        <w:rPr>
          <w:sz w:val="20"/>
        </w:rPr>
        <w:t>Ventura et al. Lancet Respir Med 2026; 14(2): 112–125</w:t>
      </w:r>
    </w:p>
    <w:p/>
    <w:p>
      <w:r>
        <w:rPr>
          <w:b/>
          <w:i w:val="0"/>
          <w:color w:val="363B3B"/>
          <w:sz w:val="20"/>
        </w:rPr>
        <w:t>Key results: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TRELUXIA (n=203)</w:t>
            </w:r>
          </w:p>
        </w:tc>
        <w:tc>
          <w:tcPr>
            <w:tcW w:type="dxa" w:w="2268"/>
            <w:shd w:fill="830051"/>
          </w:tcPr>
          <w:p>
            <w:r/>
            <w:r>
              <w:rPr>
                <w:b/>
                <w:color w:val="FFFFFF"/>
                <w:sz w:val="18"/>
              </w:rPr>
              <w:t>Placebo (n=204)</w:t>
            </w:r>
          </w:p>
        </w:tc>
        <w:tc>
          <w:tcPr>
            <w:tcW w:type="dxa" w:w="2268"/>
            <w:shd w:fill="830051"/>
          </w:tcPr>
          <w:p>
            <w:r/>
            <w:r>
              <w:rPr>
                <w:b/>
                <w:color w:val="FFFFFF"/>
                <w:sz w:val="18"/>
              </w:rPr>
              <w:t>Treatment effect</w:t>
            </w:r>
          </w:p>
        </w:tc>
      </w:tr>
      <w:tr>
        <w:tc>
          <w:tcPr>
            <w:tcW w:type="dxa" w:w="2268"/>
          </w:tcPr>
          <w:p>
            <w:r/>
            <w:r>
              <w:rPr>
                <w:color w:val="363B3B"/>
                <w:sz w:val="18"/>
              </w:rPr>
              <w:t>Median OCS dose reduction at Week 48</w:t>
            </w:r>
          </w:p>
        </w:tc>
        <w:tc>
          <w:tcPr>
            <w:tcW w:type="dxa" w:w="2268"/>
          </w:tcPr>
          <w:p>
            <w:r/>
            <w:r>
              <w:rPr>
                <w:color w:val="363B3B"/>
                <w:sz w:val="18"/>
              </w:rPr>
              <w:t>−75%</w:t>
            </w:r>
          </w:p>
        </w:tc>
        <w:tc>
          <w:tcPr>
            <w:tcW w:type="dxa" w:w="2268"/>
          </w:tcPr>
          <w:p>
            <w:r/>
            <w:r>
              <w:rPr>
                <w:color w:val="363B3B"/>
                <w:sz w:val="18"/>
              </w:rPr>
              <w:t>−25%</w:t>
            </w:r>
          </w:p>
        </w:tc>
        <w:tc>
          <w:tcPr>
            <w:tcW w:type="dxa" w:w="2268"/>
          </w:tcPr>
          <w:p>
            <w:r/>
            <w:r>
              <w:rPr>
                <w:color w:val="363B3B"/>
                <w:sz w:val="18"/>
              </w:rPr>
              <w:t>OR 2.58 (1.79–3.72); P&lt;0.001</w:t>
            </w:r>
          </w:p>
        </w:tc>
      </w:tr>
      <w:tr>
        <w:tc>
          <w:tcPr>
            <w:tcW w:type="dxa" w:w="2268"/>
            <w:shd w:fill="F8F8F8"/>
          </w:tcPr>
          <w:p>
            <w:r/>
            <w:r>
              <w:rPr>
                <w:color w:val="363B3B"/>
                <w:sz w:val="18"/>
              </w:rPr>
              <w:t>≥50% OCS reduction</w:t>
            </w:r>
          </w:p>
        </w:tc>
        <w:tc>
          <w:tcPr>
            <w:tcW w:type="dxa" w:w="2268"/>
            <w:shd w:fill="F8F8F8"/>
          </w:tcPr>
          <w:p>
            <w:r/>
            <w:r>
              <w:rPr>
                <w:color w:val="363B3B"/>
                <w:sz w:val="18"/>
              </w:rPr>
              <w:t>71.4%</w:t>
            </w:r>
          </w:p>
        </w:tc>
        <w:tc>
          <w:tcPr>
            <w:tcW w:type="dxa" w:w="2268"/>
            <w:shd w:fill="F8F8F8"/>
          </w:tcPr>
          <w:p>
            <w:r/>
            <w:r>
              <w:rPr>
                <w:color w:val="363B3B"/>
                <w:sz w:val="18"/>
              </w:rPr>
              <w:t>41.7%</w:t>
            </w:r>
          </w:p>
        </w:tc>
        <w:tc>
          <w:tcPr>
            <w:tcW w:type="dxa" w:w="2268"/>
            <w:shd w:fill="F8F8F8"/>
          </w:tcPr>
          <w:p>
            <w:r/>
            <w:r>
              <w:rPr>
                <w:color w:val="363B3B"/>
                <w:sz w:val="18"/>
              </w:rPr>
              <w:t>OR 3.49 (2.31–5.27); P&lt;0.001</w:t>
            </w:r>
          </w:p>
        </w:tc>
      </w:tr>
      <w:tr>
        <w:tc>
          <w:tcPr>
            <w:tcW w:type="dxa" w:w="2268"/>
          </w:tcPr>
          <w:p>
            <w:r/>
            <w:r>
              <w:rPr>
                <w:color w:val="363B3B"/>
                <w:sz w:val="18"/>
              </w:rPr>
              <w:t>Complete OCS elimination</w:t>
            </w:r>
          </w:p>
        </w:tc>
        <w:tc>
          <w:tcPr>
            <w:tcW w:type="dxa" w:w="2268"/>
          </w:tcPr>
          <w:p>
            <w:r/>
            <w:r>
              <w:rPr>
                <w:color w:val="363B3B"/>
                <w:sz w:val="18"/>
              </w:rPr>
              <w:t>37.9%</w:t>
            </w:r>
          </w:p>
        </w:tc>
        <w:tc>
          <w:tcPr>
            <w:tcW w:type="dxa" w:w="2268"/>
          </w:tcPr>
          <w:p>
            <w:r/>
            <w:r>
              <w:rPr>
                <w:color w:val="363B3B"/>
                <w:sz w:val="18"/>
              </w:rPr>
              <w:t>10.8%</w:t>
            </w:r>
          </w:p>
        </w:tc>
        <w:tc>
          <w:tcPr>
            <w:tcW w:type="dxa" w:w="2268"/>
          </w:tcPr>
          <w:p>
            <w:r/>
            <w:r>
              <w:rPr>
                <w:color w:val="363B3B"/>
                <w:sz w:val="18"/>
              </w:rPr>
              <w:t>OR 5.07 (3.03–8.49); P&lt;0.001</w:t>
            </w:r>
          </w:p>
        </w:tc>
      </w:tr>
      <w:tr>
        <w:tc>
          <w:tcPr>
            <w:tcW w:type="dxa" w:w="2268"/>
            <w:shd w:fill="F8F8F8"/>
          </w:tcPr>
          <w:p>
            <w:r/>
            <w:r>
              <w:rPr>
                <w:color w:val="363B3B"/>
                <w:sz w:val="18"/>
              </w:rPr>
              <w:t>AAER during OCS reduction phase</w:t>
            </w:r>
          </w:p>
        </w:tc>
        <w:tc>
          <w:tcPr>
            <w:tcW w:type="dxa" w:w="2268"/>
            <w:shd w:fill="F8F8F8"/>
          </w:tcPr>
          <w:p>
            <w:r/>
            <w:r>
              <w:rPr>
                <w:color w:val="363B3B"/>
                <w:sz w:val="18"/>
              </w:rPr>
              <w:t>0.76</w:t>
            </w:r>
          </w:p>
        </w:tc>
        <w:tc>
          <w:tcPr>
            <w:tcW w:type="dxa" w:w="2268"/>
            <w:shd w:fill="F8F8F8"/>
          </w:tcPr>
          <w:p>
            <w:r/>
            <w:r>
              <w:rPr>
                <w:color w:val="363B3B"/>
                <w:sz w:val="18"/>
              </w:rPr>
              <w:t>1.97</w:t>
            </w:r>
          </w:p>
        </w:tc>
        <w:tc>
          <w:tcPr>
            <w:tcW w:type="dxa" w:w="2268"/>
            <w:shd w:fill="F8F8F8"/>
          </w:tcPr>
          <w:p>
            <w:r/>
            <w:r>
              <w:rPr>
                <w:color w:val="363B3B"/>
                <w:sz w:val="18"/>
              </w:rPr>
              <w:t>RR 0.39 (0.28–0.53); P&lt;0.001</w:t>
            </w:r>
          </w:p>
        </w:tc>
      </w:tr>
      <w:tr>
        <w:tc>
          <w:tcPr>
            <w:tcW w:type="dxa" w:w="2268"/>
          </w:tcPr>
          <w:p>
            <w:r/>
            <w:r>
              <w:rPr>
                <w:color w:val="363B3B"/>
                <w:sz w:val="18"/>
              </w:rPr>
              <w:t>ACQ-6 change at Week 48</w:t>
            </w:r>
          </w:p>
        </w:tc>
        <w:tc>
          <w:tcPr>
            <w:tcW w:type="dxa" w:w="2268"/>
          </w:tcPr>
          <w:p>
            <w:r/>
            <w:r>
              <w:rPr>
                <w:color w:val="363B3B"/>
                <w:sz w:val="18"/>
              </w:rPr>
              <w:t>−1.41</w:t>
            </w:r>
          </w:p>
        </w:tc>
        <w:tc>
          <w:tcPr>
            <w:tcW w:type="dxa" w:w="2268"/>
          </w:tcPr>
          <w:p>
            <w:r/>
            <w:r>
              <w:rPr>
                <w:color w:val="363B3B"/>
                <w:sz w:val="18"/>
              </w:rPr>
              <w:t>−0.68</w:t>
            </w:r>
          </w:p>
        </w:tc>
        <w:tc>
          <w:tcPr>
            <w:tcW w:type="dxa" w:w="2268"/>
          </w:tcPr>
          <w:p>
            <w:r/>
            <w:r>
              <w:rPr>
                <w:color w:val="363B3B"/>
                <w:sz w:val="18"/>
              </w:rPr>
              <w:t>−0.73 (−0.97 to −0.49); P&lt;0.001</w:t>
            </w:r>
          </w:p>
        </w:tc>
      </w:tr>
    </w:tbl>
    <w:p>
      <w:pPr>
        <w:jc w:val="center"/>
      </w:pPr>
      <w:r>
        <w:rPr>
          <w:color w:val="CCCCCC"/>
          <w:sz w:val="16"/>
        </w:rPr>
        <w:t>────────────────────────────────────────────────────────────</w:t>
      </w:r>
    </w:p>
    <w:p>
      <w:pPr>
        <w:pStyle w:val="Heading1"/>
      </w:pPr>
      <w:r>
        <w:rPr>
          <w:color w:val="830051"/>
        </w:rPr>
        <w:t>4. Safety Profile (Pooled LUMINOS data, N=732 TRELUXIA)</w:t>
      </w:r>
    </w:p>
    <w:p>
      <w:pPr>
        <w:pStyle w:val="Heading2"/>
      </w:pPr>
      <w:r>
        <w:rPr>
          <w:color w:val="830051"/>
        </w:rPr>
        <w:t>Most common adverse events (≥2%)</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830051"/>
          </w:tcPr>
          <w:p>
            <w:r/>
            <w:r>
              <w:rPr>
                <w:b/>
                <w:color w:val="FFFFFF"/>
                <w:sz w:val="18"/>
              </w:rPr>
              <w:t>Adverse event</w:t>
            </w:r>
          </w:p>
        </w:tc>
        <w:tc>
          <w:tcPr>
            <w:tcW w:type="dxa" w:w="3024"/>
            <w:shd w:fill="830051"/>
          </w:tcPr>
          <w:p>
            <w:r/>
            <w:r>
              <w:rPr>
                <w:b/>
                <w:color w:val="FFFFFF"/>
                <w:sz w:val="18"/>
              </w:rPr>
              <w:t>TRELUXIA (%)</w:t>
            </w:r>
          </w:p>
        </w:tc>
        <w:tc>
          <w:tcPr>
            <w:tcW w:type="dxa" w:w="3024"/>
            <w:shd w:fill="830051"/>
          </w:tcPr>
          <w:p>
            <w:r/>
            <w:r>
              <w:rPr>
                <w:b/>
                <w:color w:val="FFFFFF"/>
                <w:sz w:val="18"/>
              </w:rPr>
              <w:t>Placebo (%)</w:t>
            </w:r>
          </w:p>
        </w:tc>
      </w:tr>
      <w:tr>
        <w:tc>
          <w:tcPr>
            <w:tcW w:type="dxa" w:w="3024"/>
          </w:tcPr>
          <w:p>
            <w:r/>
            <w:r>
              <w:rPr>
                <w:color w:val="363B3B"/>
                <w:sz w:val="18"/>
              </w:rPr>
              <w:t>Nasopharyngitis</w:t>
            </w:r>
          </w:p>
        </w:tc>
        <w:tc>
          <w:tcPr>
            <w:tcW w:type="dxa" w:w="3024"/>
          </w:tcPr>
          <w:p>
            <w:r/>
            <w:r>
              <w:rPr>
                <w:color w:val="363B3B"/>
                <w:sz w:val="18"/>
              </w:rPr>
              <w:t>10.4</w:t>
            </w:r>
          </w:p>
        </w:tc>
        <w:tc>
          <w:tcPr>
            <w:tcW w:type="dxa" w:w="3024"/>
          </w:tcPr>
          <w:p>
            <w:r/>
            <w:r>
              <w:rPr>
                <w:color w:val="363B3B"/>
                <w:sz w:val="18"/>
              </w:rPr>
              <w:t>9.8</w:t>
            </w:r>
          </w:p>
        </w:tc>
      </w:tr>
      <w:tr>
        <w:tc>
          <w:tcPr>
            <w:tcW w:type="dxa" w:w="3024"/>
            <w:shd w:fill="F8F8F8"/>
          </w:tcPr>
          <w:p>
            <w:r/>
            <w:r>
              <w:rPr>
                <w:color w:val="363B3B"/>
                <w:sz w:val="18"/>
              </w:rPr>
              <w:t>Upper respiratory tract infection</w:t>
            </w:r>
          </w:p>
        </w:tc>
        <w:tc>
          <w:tcPr>
            <w:tcW w:type="dxa" w:w="3024"/>
            <w:shd w:fill="F8F8F8"/>
          </w:tcPr>
          <w:p>
            <w:r/>
            <w:r>
              <w:rPr>
                <w:color w:val="363B3B"/>
                <w:sz w:val="18"/>
              </w:rPr>
              <w:t>8.1</w:t>
            </w:r>
          </w:p>
        </w:tc>
        <w:tc>
          <w:tcPr>
            <w:tcW w:type="dxa" w:w="3024"/>
            <w:shd w:fill="F8F8F8"/>
          </w:tcPr>
          <w:p>
            <w:r/>
            <w:r>
              <w:rPr>
                <w:color w:val="363B3B"/>
                <w:sz w:val="18"/>
              </w:rPr>
              <w:t>7.4</w:t>
            </w:r>
          </w:p>
        </w:tc>
      </w:tr>
      <w:tr>
        <w:tc>
          <w:tcPr>
            <w:tcW w:type="dxa" w:w="3024"/>
          </w:tcPr>
          <w:p>
            <w:r/>
            <w:r>
              <w:rPr>
                <w:color w:val="363B3B"/>
                <w:sz w:val="18"/>
              </w:rPr>
              <w:t>Headache</w:t>
            </w:r>
          </w:p>
        </w:tc>
        <w:tc>
          <w:tcPr>
            <w:tcW w:type="dxa" w:w="3024"/>
          </w:tcPr>
          <w:p>
            <w:r/>
            <w:r>
              <w:rPr>
                <w:color w:val="363B3B"/>
                <w:sz w:val="18"/>
              </w:rPr>
              <w:t>6.7</w:t>
            </w:r>
          </w:p>
        </w:tc>
        <w:tc>
          <w:tcPr>
            <w:tcW w:type="dxa" w:w="3024"/>
          </w:tcPr>
          <w:p>
            <w:r/>
            <w:r>
              <w:rPr>
                <w:color w:val="363B3B"/>
                <w:sz w:val="18"/>
              </w:rPr>
              <w:t>5.2</w:t>
            </w:r>
          </w:p>
        </w:tc>
      </w:tr>
      <w:tr>
        <w:tc>
          <w:tcPr>
            <w:tcW w:type="dxa" w:w="3024"/>
            <w:shd w:fill="F8F8F8"/>
          </w:tcPr>
          <w:p>
            <w:r/>
            <w:r>
              <w:rPr>
                <w:color w:val="363B3B"/>
                <w:sz w:val="18"/>
              </w:rPr>
              <w:t>Injection site reactions</w:t>
            </w:r>
          </w:p>
        </w:tc>
        <w:tc>
          <w:tcPr>
            <w:tcW w:type="dxa" w:w="3024"/>
            <w:shd w:fill="F8F8F8"/>
          </w:tcPr>
          <w:p>
            <w:r/>
            <w:r>
              <w:rPr>
                <w:color w:val="363B3B"/>
                <w:sz w:val="18"/>
              </w:rPr>
              <w:t>4.6</w:t>
            </w:r>
          </w:p>
        </w:tc>
        <w:tc>
          <w:tcPr>
            <w:tcW w:type="dxa" w:w="3024"/>
            <w:shd w:fill="F8F8F8"/>
          </w:tcPr>
          <w:p>
            <w:r/>
            <w:r>
              <w:rPr>
                <w:color w:val="363B3B"/>
                <w:sz w:val="18"/>
              </w:rPr>
              <w:t>2.8</w:t>
            </w:r>
          </w:p>
        </w:tc>
      </w:tr>
      <w:tr>
        <w:tc>
          <w:tcPr>
            <w:tcW w:type="dxa" w:w="3024"/>
          </w:tcPr>
          <w:p>
            <w:r/>
            <w:r>
              <w:rPr>
                <w:color w:val="363B3B"/>
                <w:sz w:val="18"/>
              </w:rPr>
              <w:t>Arthralgia</w:t>
            </w:r>
          </w:p>
        </w:tc>
        <w:tc>
          <w:tcPr>
            <w:tcW w:type="dxa" w:w="3024"/>
          </w:tcPr>
          <w:p>
            <w:r/>
            <w:r>
              <w:rPr>
                <w:color w:val="363B3B"/>
                <w:sz w:val="18"/>
              </w:rPr>
              <w:t>3.8</w:t>
            </w:r>
          </w:p>
        </w:tc>
        <w:tc>
          <w:tcPr>
            <w:tcW w:type="dxa" w:w="3024"/>
          </w:tcPr>
          <w:p>
            <w:r/>
            <w:r>
              <w:rPr>
                <w:color w:val="363B3B"/>
                <w:sz w:val="18"/>
              </w:rPr>
              <w:t>3.1</w:t>
            </w:r>
          </w:p>
        </w:tc>
      </w:tr>
      <w:tr>
        <w:tc>
          <w:tcPr>
            <w:tcW w:type="dxa" w:w="3024"/>
            <w:shd w:fill="F8F8F8"/>
          </w:tcPr>
          <w:p>
            <w:r/>
            <w:r>
              <w:rPr>
                <w:color w:val="363B3B"/>
                <w:sz w:val="18"/>
              </w:rPr>
              <w:t>Back pain</w:t>
            </w:r>
          </w:p>
        </w:tc>
        <w:tc>
          <w:tcPr>
            <w:tcW w:type="dxa" w:w="3024"/>
            <w:shd w:fill="F8F8F8"/>
          </w:tcPr>
          <w:p>
            <w:r/>
            <w:r>
              <w:rPr>
                <w:color w:val="363B3B"/>
                <w:sz w:val="18"/>
              </w:rPr>
              <w:t>3.2</w:t>
            </w:r>
          </w:p>
        </w:tc>
        <w:tc>
          <w:tcPr>
            <w:tcW w:type="dxa" w:w="3024"/>
            <w:shd w:fill="F8F8F8"/>
          </w:tcPr>
          <w:p>
            <w:r/>
            <w:r>
              <w:rPr>
                <w:color w:val="363B3B"/>
                <w:sz w:val="18"/>
              </w:rPr>
              <w:t>2.6</w:t>
            </w:r>
          </w:p>
        </w:tc>
      </w:tr>
      <w:tr>
        <w:tc>
          <w:tcPr>
            <w:tcW w:type="dxa" w:w="3024"/>
          </w:tcPr>
          <w:p>
            <w:r/>
            <w:r>
              <w:rPr>
                <w:color w:val="363B3B"/>
                <w:sz w:val="18"/>
              </w:rPr>
              <w:t>Pharyngitis</w:t>
            </w:r>
          </w:p>
        </w:tc>
        <w:tc>
          <w:tcPr>
            <w:tcW w:type="dxa" w:w="3024"/>
          </w:tcPr>
          <w:p>
            <w:r/>
            <w:r>
              <w:rPr>
                <w:color w:val="363B3B"/>
                <w:sz w:val="18"/>
              </w:rPr>
              <w:t>2.9</w:t>
            </w:r>
          </w:p>
        </w:tc>
        <w:tc>
          <w:tcPr>
            <w:tcW w:type="dxa" w:w="3024"/>
          </w:tcPr>
          <w:p>
            <w:r/>
            <w:r>
              <w:rPr>
                <w:color w:val="363B3B"/>
                <w:sz w:val="18"/>
              </w:rPr>
              <w:t>2.5</w:t>
            </w:r>
          </w:p>
        </w:tc>
      </w:tr>
      <w:tr>
        <w:tc>
          <w:tcPr>
            <w:tcW w:type="dxa" w:w="3024"/>
            <w:shd w:fill="F8F8F8"/>
          </w:tcPr>
          <w:p>
            <w:r/>
            <w:r>
              <w:rPr>
                <w:color w:val="363B3B"/>
                <w:sz w:val="18"/>
              </w:rPr>
              <w:t>Fatigue</w:t>
            </w:r>
          </w:p>
        </w:tc>
        <w:tc>
          <w:tcPr>
            <w:tcW w:type="dxa" w:w="3024"/>
            <w:shd w:fill="F8F8F8"/>
          </w:tcPr>
          <w:p>
            <w:r/>
            <w:r>
              <w:rPr>
                <w:color w:val="363B3B"/>
                <w:sz w:val="18"/>
              </w:rPr>
              <w:t>2.4</w:t>
            </w:r>
          </w:p>
        </w:tc>
        <w:tc>
          <w:tcPr>
            <w:tcW w:type="dxa" w:w="3024"/>
            <w:shd w:fill="F8F8F8"/>
          </w:tcPr>
          <w:p>
            <w:r/>
            <w:r>
              <w:rPr>
                <w:color w:val="363B3B"/>
                <w:sz w:val="18"/>
              </w:rPr>
              <w:t>1.9</w:t>
            </w:r>
          </w:p>
        </w:tc>
      </w:tr>
    </w:tbl>
    <w:p/>
    <w:p>
      <w:pPr>
        <w:pStyle w:val="Heading2"/>
      </w:pPr>
      <w:r>
        <w:rPr>
          <w:color w:val="830051"/>
        </w:rPr>
        <w:t>Injection site reactions</w:t>
      </w:r>
    </w:p>
    <w:p>
      <w:r>
        <w:rPr>
          <w:b w:val="0"/>
          <w:i w:val="0"/>
          <w:color w:val="363B3B"/>
          <w:sz w:val="20"/>
        </w:rPr>
        <w:t>Injection site reactions (ISRs) occurred in 4.6% of TRELUXIA-treated patients vs 2.8% with placebo. The most common ISRs were erythema, pain, and swelling at the injection site. All ISRs were mild to moderate in severity. No ISR led to treatment discontinuation.³</w:t>
      </w:r>
    </w:p>
    <w:p/>
    <w:p>
      <w:pPr>
        <w:pStyle w:val="Heading2"/>
      </w:pPr>
      <w:r>
        <w:rPr>
          <w:color w:val="830051"/>
        </w:rPr>
        <w:t>Key safety findings</w:t>
      </w:r>
    </w:p>
    <w:p>
      <w:r>
        <w:rPr>
          <w:b/>
          <w:sz w:val="20"/>
        </w:rPr>
        <w:t xml:space="preserve">Serious adverse events: </w:t>
      </w:r>
      <w:r>
        <w:rPr>
          <w:sz w:val="20"/>
        </w:rPr>
        <w:t>8.4% TRELUXIA vs 11.2% placebo (driven by fewer asthma-related hospitalisations)</w:t>
      </w:r>
    </w:p>
    <w:p>
      <w:r>
        <w:rPr>
          <w:b/>
          <w:sz w:val="20"/>
        </w:rPr>
        <w:t xml:space="preserve">Treatment discontinuation due to AEs: </w:t>
      </w:r>
      <w:r>
        <w:rPr>
          <w:sz w:val="20"/>
        </w:rPr>
        <w:t>2.4% vs 3.1%</w:t>
      </w:r>
    </w:p>
    <w:p>
      <w:r>
        <w:rPr>
          <w:b/>
          <w:sz w:val="20"/>
        </w:rPr>
        <w:t xml:space="preserve">All-cause mortality: </w:t>
      </w:r>
      <w:r>
        <w:rPr>
          <w:sz w:val="20"/>
        </w:rPr>
        <w:t>0.1% vs 0.2% (no drug-related deaths)</w:t>
      </w:r>
    </w:p>
    <w:p>
      <w:r>
        <w:rPr>
          <w:b/>
          <w:sz w:val="20"/>
        </w:rPr>
        <w:t xml:space="preserve">Anaphylaxis: </w:t>
      </w:r>
      <w:r>
        <w:rPr>
          <w:sz w:val="20"/>
        </w:rPr>
        <w:t>3 events (0.4%) in TRELUXIA vs 0 in placebo. All occurred within 24 hours; resolved with standard treatment³</w:t>
      </w:r>
    </w:p>
    <w:p>
      <w:r>
        <w:rPr>
          <w:b/>
          <w:sz w:val="20"/>
        </w:rPr>
        <w:t xml:space="preserve">Malignancy: </w:t>
      </w:r>
      <w:r>
        <w:rPr>
          <w:sz w:val="20"/>
        </w:rPr>
        <w:t>0.3% vs 0.4% (no imbalance; no signal for increased risk)</w:t>
      </w:r>
    </w:p>
    <w:p>
      <w:r>
        <w:rPr>
          <w:b/>
          <w:sz w:val="20"/>
        </w:rPr>
        <w:t xml:space="preserve">Helminth infections: </w:t>
      </w:r>
      <w:r>
        <w:rPr>
          <w:sz w:val="20"/>
        </w:rPr>
        <w:t>0.4% vs 0.1%. Treat pre-existing infections before initiating TRELUXIA³</w:t>
      </w:r>
    </w:p>
    <w:p>
      <w:r>
        <w:rPr>
          <w:b/>
          <w:sz w:val="20"/>
        </w:rPr>
        <w:t xml:space="preserve">Immunogenicity: </w:t>
      </w:r>
      <w:r>
        <w:rPr>
          <w:sz w:val="20"/>
        </w:rPr>
        <w:t>ADAs detected in 5.1%; neutralising antibodies in 1.2%. No impact on PK, efficacy, or safety³</w:t>
      </w:r>
    </w:p>
    <w:p/>
    <w:p>
      <w:pPr>
        <w:pStyle w:val="Heading2"/>
      </w:pPr>
      <w:r>
        <w:rPr>
          <w:color w:val="830051"/>
        </w:rPr>
        <w:t>Special populations</w:t>
      </w:r>
    </w:p>
    <w:p>
      <w:pPr>
        <w:pStyle w:val="ListBullet"/>
      </w:pPr>
      <w:r>
        <w:rPr>
          <w:b/>
          <w:sz w:val="20"/>
        </w:rPr>
        <w:t>Adolescents (12–17 years):</w:t>
      </w:r>
      <w:r>
        <w:rPr>
          <w:sz w:val="20"/>
        </w:rPr>
        <w:t xml:space="preserve"> Same dose as adults (210 mg Q4W). In LUMINOS-1, 63 adolescents received TRELUXIA; efficacy and safety were consistent with the overall adult population.³</w:t>
      </w:r>
    </w:p>
    <w:p>
      <w:pPr>
        <w:pStyle w:val="ListBullet"/>
      </w:pPr>
      <w:r>
        <w:rPr>
          <w:b/>
          <w:sz w:val="20"/>
        </w:rPr>
        <w:t>Elderly (≥65 years):</w:t>
      </w:r>
      <w:r>
        <w:rPr>
          <w:sz w:val="20"/>
        </w:rPr>
        <w:t xml:space="preserve"> No dose adjustment required. Limited data in patients ≥75 years. 11% of LUMINOS-1 patients were ≥65 years.³</w:t>
      </w:r>
    </w:p>
    <w:p>
      <w:pPr>
        <w:pStyle w:val="ListBullet"/>
      </w:pPr>
      <w:r>
        <w:rPr>
          <w:b/>
          <w:sz w:val="20"/>
        </w:rPr>
        <w:t>Renal and hepatic impairment:</w:t>
      </w:r>
      <w:r>
        <w:rPr>
          <w:sz w:val="20"/>
        </w:rPr>
        <w:t xml:space="preserve"> No dose adjustment for mild to moderate impairment. Not studied in severe renal impairment (eGFR &lt;30 mL/min/1.73m²) or severe hepatic impairment.³</w:t>
      </w:r>
    </w:p>
    <w:p>
      <w:pPr>
        <w:pStyle w:val="ListBullet"/>
      </w:pPr>
      <w:r>
        <w:rPr>
          <w:b/>
          <w:sz w:val="20"/>
        </w:rPr>
        <w:t>Pregnancy and lactation:</w:t>
      </w:r>
      <w:r>
        <w:rPr>
          <w:sz w:val="20"/>
        </w:rPr>
        <w:t xml:space="preserve"> No adequate data in pregnant women. Human IgG crosses the placental barrier. Use only if potential benefit justifies potential risk. Unknown if excreted in human milk.³</w:t>
      </w:r>
    </w:p>
    <w:p>
      <w:pPr>
        <w:jc w:val="center"/>
      </w:pPr>
      <w:r>
        <w:rPr>
          <w:color w:val="CCCCCC"/>
          <w:sz w:val="16"/>
        </w:rPr>
        <w:t>────────────────────────────────────────────────────────────</w:t>
      </w:r>
    </w:p>
    <w:p>
      <w:pPr>
        <w:pStyle w:val="Heading1"/>
      </w:pPr>
      <w:r>
        <w:rPr>
          <w:color w:val="830051"/>
        </w:rPr>
        <w:t>5. Prescribing Information (abbreviated — for every page footer)</w:t>
      </w:r>
    </w:p>
    <w:p>
      <w:r>
        <w:rPr>
          <w:b w:val="0"/>
          <w:i w:val="0"/>
          <w:color w:val="363B3B"/>
          <w:sz w:val="18"/>
        </w:rPr>
        <w:t>TRELUXIA (trelimovab) 210 mg/1.91 mL solution for injection in pre-filled syringe and pre-filled pen. Please refer to the Summary of Product Characteristics (SmPC) before prescribing. Indication: Add-on maintenance treatment for adults and adolescents aged ≥12 years with severe asthma that is inadequately controlled despite high-dose inhaled corticosteroids plus at least one additional controller, irrespective of inflammatory phenotype. Dosage and administration: 210 mg administered by subcutaneous injection once every 4 weeks. Administer into the thigh, abdomen (excluding 5 cm around the navel), or upper arm (if administered by a caregiver). Rotate injection sites. The first 3 doses should be administered under the supervision of a healthcare professional. Contraindications: Hypersensitivity to trelimovab or any excipient. Warnings and precautions: Do not use to treat acute asthma symptoms or acute exacerbations. Do not abruptly discontinue systemic or inhaled corticosteroids upon initiation. Hypersensitivity reactions including anaphylaxis have been reported. Treat pre-existing helminth infections before initiating. Interactions: No formal drug interaction studies conducted. No clinically significant interactions identified. Side effects: Very common (≥1/10): nasopharyngitis. Common (≥1/100 to &lt;1/10): upper respiratory tract infection, headache, injection site reactions, arthralgia. Uncommon (≥1/1000 to &lt;1/100): anaphylaxis, pharyngitis. Legal category: POM. Pack and price: 1 pre-filled syringe (210 mg): £1,267.00; 1 pre-filled pen (210 mg): £1,267.00. Marketing authorisation holder: AstraZeneca UK Ltd. MA number: PLGB 17901/0643. Full prescribing information available from: AstraZeneca UK Ltd, 2 Pancras Square, London N1C 4AG. GB-98204 | DOP: March 2026.</w:t>
      </w:r>
    </w:p>
    <w:p>
      <w:pPr>
        <w:jc w:val="center"/>
      </w:pPr>
      <w:r>
        <w:rPr>
          <w:color w:val="CCCCCC"/>
          <w:sz w:val="16"/>
        </w:rPr>
        <w:t>────────────────────────────────────────────────────────────</w:t>
      </w:r>
    </w:p>
    <w:p>
      <w:pPr>
        <w:pStyle w:val="Heading1"/>
      </w:pPr>
      <w:r>
        <w:rPr>
          <w:color w:val="830051"/>
        </w:rPr>
        <w:t>6. Adverse Event Reporting (for every page footer)</w:t>
      </w:r>
    </w:p>
    <w:p>
      <w:r>
        <w:rPr>
          <w:b w:val="0"/>
          <w:i w:val="0"/>
          <w:color w:val="363B3B"/>
          <w:sz w:val="20"/>
        </w:rPr>
        <w:t>Adverse events should be reported. Reporting forms and information can be found at www.mhra.gov.uk/yellowcard or search for MHRA Yellow Card in the Google Play or Apple App Store. Adverse events should also be reported to AstraZeneca by visiting contactazmedical.astrazeneca.com or by calling 0800 783 0033.</w:t>
      </w:r>
    </w:p>
    <w:p>
      <w:pPr>
        <w:jc w:val="center"/>
      </w:pPr>
      <w:r>
        <w:rPr>
          <w:color w:val="CCCCCC"/>
          <w:sz w:val="16"/>
        </w:rPr>
        <w:t>────────────────────────────────────────────────────────────</w:t>
      </w:r>
    </w:p>
    <w:p>
      <w:pPr>
        <w:pStyle w:val="Heading1"/>
      </w:pPr>
      <w:r>
        <w:rPr>
          <w:color w:val="830051"/>
        </w:rPr>
        <w:t>7. References (for every page footer)</w:t>
      </w:r>
    </w:p>
    <w:p>
      <w:r>
        <w:rPr>
          <w:i/>
          <w:sz w:val="20"/>
        </w:rPr>
        <w:t>1.  Harrison et al. N Engl J Med 2025; 392(14): 1318–1330.</w:t>
      </w:r>
    </w:p>
    <w:p>
      <w:r>
        <w:rPr>
          <w:i/>
          <w:sz w:val="20"/>
        </w:rPr>
        <w:t>2.  Ventura et al. Lancet Respir Med 2026; 14(2): 112–125.</w:t>
      </w:r>
    </w:p>
    <w:p>
      <w:r>
        <w:rPr>
          <w:i/>
          <w:sz w:val="20"/>
        </w:rPr>
        <w:t>3.  TRELUXIA (trelimovab) Summary of Product Characteristics. AstraZeneca UK Ltd. January 2026.</w:t>
      </w:r>
    </w:p>
    <w:p>
      <w:r>
        <w:rPr>
          <w:i/>
          <w:sz w:val="20"/>
        </w:rPr>
        <w:t>4.  Global Initiative for Asthma (GINA). Global Strategy for Asthma Management and Prevention, 2025 Update.</w:t>
      </w:r>
    </w:p>
    <w:p>
      <w:r>
        <w:rPr>
          <w:i/>
          <w:sz w:val="20"/>
        </w:rPr>
        <w:t>5.  Gauvreau GM, et al. N Engl J Med 2024; 370(22): 2102–2110.</w:t>
      </w:r>
    </w:p>
    <w:p>
      <w:pPr>
        <w:jc w:val="center"/>
      </w:pPr>
      <w:r>
        <w:rPr>
          <w:color w:val="CCCCCC"/>
          <w:sz w:val="16"/>
        </w:rPr>
        <w:t>────────────────────────────────────────────────────────────</w:t>
      </w:r>
    </w:p>
    <w:p>
      <w:pPr>
        <w:pStyle w:val="Heading1"/>
      </w:pPr>
      <w:r>
        <w:rPr>
          <w:color w:val="830051"/>
        </w:rPr>
        <w:t>8. Site Navigation</w:t>
      </w:r>
    </w:p>
    <w:p>
      <w:r>
        <w:rPr>
          <w:b/>
          <w:sz w:val="20"/>
        </w:rPr>
        <w:t xml:space="preserve">Top bar links: </w:t>
      </w:r>
      <w:r>
        <w:rPr>
          <w:sz w:val="20"/>
        </w:rPr>
        <w:t>Contact Us (https://www.astrazeneca.co.uk/contact-us.html) | AZ Employee Login (https://login.astrazeneca.com)</w:t>
      </w:r>
    </w:p>
    <w:p>
      <w:r>
        <w:rPr>
          <w:b/>
          <w:sz w:val="20"/>
        </w:rPr>
        <w:t xml:space="preserve">Main navigation pages: </w:t>
      </w:r>
      <w:r>
        <w:rPr>
          <w:sz w:val="20"/>
        </w:rPr>
        <w:t>LUMINOS Data | Safety | Dosing &amp; Administration | How TRELUXIA Works | Resources</w:t>
      </w:r>
    </w:p>
    <w:p>
      <w:r>
        <w:rPr>
          <w:b/>
          <w:sz w:val="20"/>
        </w:rPr>
        <w:t xml:space="preserve">Utility: </w:t>
      </w:r>
      <w:r>
        <w:rPr>
          <w:sz w:val="20"/>
        </w:rPr>
        <w:t>Search | Login</w:t>
      </w:r>
    </w:p>
    <w:p>
      <w:r>
        <w:br w:type="page"/>
      </w:r>
    </w:p>
    <w:p>
      <w:pPr>
        <w:pStyle w:val="Heading1"/>
      </w:pPr>
      <w:r>
        <w:rPr>
          <w:color w:val="830051"/>
        </w:rPr>
        <w:t>9. Page Content</w:t>
      </w:r>
    </w:p>
    <w:p>
      <w:r>
        <w:rPr>
          <w:b/>
          <w:color w:val="CC0000"/>
          <w:sz w:val="20"/>
        </w:rPr>
        <w:t>IMPORTANT: All copy below is final and MLR-approved. It must be used exactly as written — do not modify, rephrase, or abbreviate any text. All superscript reference numbers, statistical values, and regulatory language must be reproduced verbatim.</w:t>
      </w:r>
    </w:p>
    <w:p>
      <w:r>
        <w:rPr>
          <w:b/>
          <w:color w:val="CC0000"/>
          <w:sz w:val="20"/>
        </w:rPr>
        <w:t>Each page must end with expandable sections for Prescribing Information, Adverse Event Reporting, and References (see sections 5, 6, and 7 above).</w:t>
      </w:r>
    </w:p>
    <w:p>
      <w:r>
        <w:rPr>
          <w:b/>
          <w:color w:val="CC0000"/>
          <w:sz w:val="20"/>
        </w:rPr>
        <w:t>TRELUXIA brand rule: TRELUXIA always appears in capitals, with ™ on first mention per page. Generic name (trelimovab) in lowercase parentheses on first mention. Tagline "Breathe beyond limits." verbatim only.</w:t>
      </w:r>
    </w:p>
    <w:p>
      <w:pPr>
        <w:jc w:val="center"/>
      </w:pPr>
      <w:r>
        <w:rPr>
          <w:color w:val="CCCCCC"/>
          <w:sz w:val="16"/>
        </w:rPr>
        <w:t>────────────────────────────────────────────────────────────</w:t>
      </w:r>
    </w:p>
    <w:p>
      <w:r>
        <w:br w:type="page"/>
      </w:r>
    </w:p>
    <w:p>
      <w:pPr>
        <w:pStyle w:val="Heading2"/>
      </w:pPr>
      <w:r>
        <w:rPr>
          <w:color w:val="830051"/>
        </w:rPr>
        <w:t>PAGE 1: Home</w:t>
      </w:r>
    </w:p>
    <w:p>
      <w:r>
        <w:rPr>
          <w:b/>
          <w:sz w:val="20"/>
        </w:rPr>
        <w:t xml:space="preserve">URL path: </w:t>
      </w:r>
      <w:r>
        <w:rPr>
          <w:sz w:val="20"/>
        </w:rPr>
        <w:t>/treluxia/</w:t>
      </w:r>
    </w:p>
    <w:p>
      <w:pPr>
        <w:jc w:val="center"/>
      </w:pPr>
      <w:r>
        <w:rPr>
          <w:color w:val="CCCCCC"/>
          <w:sz w:val="16"/>
        </w:rPr>
        <w:t>────────────────────────────────────────────────────────────</w:t>
      </w:r>
    </w:p>
    <w:p>
      <w:pPr>
        <w:pStyle w:val="Heading3"/>
      </w:pPr>
      <w:r>
        <w:rPr>
          <w:color w:val="006B77"/>
        </w:rPr>
        <w:t>Section 1 — Hero (full-width image with text overlay)</w:t>
      </w:r>
    </w:p>
    <w:p>
      <w:r>
        <w:rPr>
          <w:b/>
          <w:sz w:val="20"/>
        </w:rPr>
        <w:t xml:space="preserve">Block: </w:t>
      </w:r>
      <w:r>
        <w:rPr>
          <w:sz w:val="20"/>
        </w:rPr>
        <w:t>hero-teaser</w:t>
      </w:r>
    </w:p>
    <w:p/>
    <w:p>
      <w:pPr>
        <w:jc w:val="center"/>
      </w:pPr>
      <w:r>
        <w:drawing>
          <wp:inline xmlns:a="http://schemas.openxmlformats.org/drawingml/2006/main" xmlns:pic="http://schemas.openxmlformats.org/drawingml/2006/picture">
            <wp:extent cx="5029200" cy="2806995"/>
            <wp:docPr id="1" name="Picture 1"/>
            <wp:cNvGraphicFramePr>
              <a:graphicFrameLocks noChangeAspect="1"/>
            </wp:cNvGraphicFramePr>
            <a:graphic>
              <a:graphicData uri="http://schemas.openxmlformats.org/drawingml/2006/picture">
                <pic:pic>
                  <pic:nvPicPr>
                    <pic:cNvPr id="0" name="hero-home.jpeg"/>
                    <pic:cNvPicPr/>
                  </pic:nvPicPr>
                  <pic:blipFill>
                    <a:blip r:embed="rId9"/>
                    <a:stretch>
                      <a:fillRect/>
                    </a:stretch>
                  </pic:blipFill>
                  <pic:spPr>
                    <a:xfrm>
                      <a:off x="0" y="0"/>
                      <a:ext cx="5029200" cy="2806995"/>
                    </a:xfrm>
                    <a:prstGeom prst="rect"/>
                  </pic:spPr>
                </pic:pic>
              </a:graphicData>
            </a:graphic>
          </wp:inline>
        </w:drawing>
      </w:r>
    </w:p>
    <w:p>
      <w:pPr>
        <w:jc w:val="center"/>
      </w:pPr>
      <w:r>
        <w:rPr>
          <w:color w:val="005599"/>
          <w:sz w:val="16"/>
          <w:u w:val="single"/>
        </w:rPr>
        <w:t>https://treluxia-images.pages.dev/hero-home.jpeg</w:t>
      </w:r>
    </w:p>
    <w:p>
      <w:pPr>
        <w:jc w:val="center"/>
      </w:pPr>
      <w:r>
        <w:rPr>
          <w:i/>
          <w:color w:val="666666"/>
          <w:sz w:val="16"/>
        </w:rPr>
        <w:t>Usage: Home — hero</w:t>
      </w:r>
    </w:p>
    <w:p>
      <w:r>
        <w:rPr>
          <w:b/>
          <w:sz w:val="20"/>
        </w:rPr>
        <w:t xml:space="preserve">Heading: </w:t>
      </w:r>
      <w:r>
        <w:rPr>
          <w:sz w:val="20"/>
        </w:rPr>
        <w:t>TRELUXIA™ (trelimovab)</w:t>
      </w:r>
    </w:p>
    <w:p>
      <w:r>
        <w:rPr>
          <w:b/>
        </w:rPr>
        <w:t xml:space="preserve">Body text: </w:t>
      </w:r>
      <w:r>
        <w:t>Broad anti-inflammatory control for adults and adolescents with severe uncontrolled asthma, irrespective of inflammatory phenotype. Breathe beyond limits.¹</w:t>
      </w:r>
    </w:p>
    <w:p>
      <w:r>
        <w:rPr>
          <w:b/>
          <w:sz w:val="20"/>
        </w:rPr>
        <w:t xml:space="preserve">Call to action: </w:t>
      </w:r>
      <w:r>
        <w:rPr>
          <w:sz w:val="20"/>
        </w:rPr>
        <w:t>Explore the LUMINOS data → /treluxia/luminos-data</w:t>
      </w:r>
    </w:p>
    <w:p>
      <w:pPr>
        <w:jc w:val="center"/>
      </w:pPr>
      <w:r>
        <w:rPr>
          <w:color w:val="CCCCCC"/>
          <w:sz w:val="16"/>
        </w:rPr>
        <w:t>────────────────────────────────────────────────────────────</w:t>
      </w:r>
    </w:p>
    <w:p>
      <w:pPr>
        <w:pStyle w:val="Heading3"/>
      </w:pPr>
      <w:r>
        <w:rPr>
          <w:color w:val="006B77"/>
        </w:rPr>
        <w:t>Section 2 — Three key benefit cards (equal columns)</w:t>
      </w:r>
    </w:p>
    <w:p>
      <w:r>
        <w:rPr>
          <w:b/>
          <w:sz w:val="20"/>
        </w:rPr>
        <w:t xml:space="preserve">Block: </w:t>
      </w:r>
      <w:r>
        <w:rPr>
          <w:sz w:val="20"/>
        </w:rPr>
        <w:t>cards-teaser</w:t>
      </w:r>
    </w:p>
    <w:p/>
    <w:p>
      <w:pPr>
        <w:jc w:val="center"/>
      </w:pPr>
      <w:r>
        <w:drawing>
          <wp:inline xmlns:a="http://schemas.openxmlformats.org/drawingml/2006/main" xmlns:pic="http://schemas.openxmlformats.org/drawingml/2006/picture">
            <wp:extent cx="2743200" cy="2048256"/>
            <wp:docPr id="2" name="Picture 2"/>
            <wp:cNvGraphicFramePr>
              <a:graphicFrameLocks noChangeAspect="1"/>
            </wp:cNvGraphicFramePr>
            <a:graphic>
              <a:graphicData uri="http://schemas.openxmlformats.org/drawingml/2006/picture">
                <pic:pic>
                  <pic:nvPicPr>
                    <pic:cNvPr id="0" name="card-exacerbations.jpeg"/>
                    <pic:cNvPicPr/>
                  </pic:nvPicPr>
                  <pic:blipFill>
                    <a:blip r:embed="rId10"/>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https://treluxia-images.pages.dev/card-exacerbations.jpeg</w:t>
      </w:r>
    </w:p>
    <w:p>
      <w:pPr>
        <w:jc w:val="center"/>
      </w:pPr>
      <w:r>
        <w:rPr>
          <w:i/>
          <w:color w:val="666666"/>
          <w:sz w:val="16"/>
        </w:rPr>
        <w:t>Usage: Home — exacerbation reduction card</w:t>
      </w:r>
    </w:p>
    <w:p>
      <w:r>
        <w:rPr>
          <w:b/>
          <w:sz w:val="20"/>
        </w:rPr>
        <w:t xml:space="preserve">Card heading: </w:t>
      </w:r>
      <w:r>
        <w:rPr>
          <w:sz w:val="20"/>
        </w:rPr>
        <w:t>56% reduction in asthma exacerbations</w:t>
      </w:r>
    </w:p>
    <w:p>
      <w:r>
        <w:rPr>
          <w:b/>
        </w:rPr>
        <w:t xml:space="preserve">Card body: </w:t>
      </w:r>
      <w:r>
        <w:t>In LUMINOS-1, TRELUXIA reduced the annualised asthma exacerbation rate by 56% versus placebo across the overall severe asthma population, irrespective of baseline eosinophil count or inflammatory phenotype (rate ratio 0.44; P&lt;0.001).¹</w:t>
      </w:r>
    </w:p>
    <w:p>
      <w:r>
        <w:rPr>
          <w:b/>
          <w:sz w:val="20"/>
        </w:rPr>
        <w:t xml:space="preserve">Card link: </w:t>
      </w:r>
      <w:r>
        <w:rPr>
          <w:sz w:val="20"/>
        </w:rPr>
        <w:t>View LUMINOS data → /treluxia/luminos-data</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3" name="Picture 3"/>
            <wp:cNvGraphicFramePr>
              <a:graphicFrameLocks noChangeAspect="1"/>
            </wp:cNvGraphicFramePr>
            <a:graphic>
              <a:graphicData uri="http://schemas.openxmlformats.org/drawingml/2006/picture">
                <pic:pic>
                  <pic:nvPicPr>
                    <pic:cNvPr id="0" name="card-lung-function.jpeg"/>
                    <pic:cNvPicPr/>
                  </pic:nvPicPr>
                  <pic:blipFill>
                    <a:blip r:embed="rId11"/>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https://treluxia-images.pages.dev/card-lung-function.jpeg</w:t>
      </w:r>
    </w:p>
    <w:p>
      <w:pPr>
        <w:jc w:val="center"/>
      </w:pPr>
      <w:r>
        <w:rPr>
          <w:i/>
          <w:color w:val="666666"/>
          <w:sz w:val="16"/>
        </w:rPr>
        <w:t>Usage: Home — lung function card</w:t>
      </w:r>
    </w:p>
    <w:p>
      <w:r>
        <w:rPr>
          <w:b/>
          <w:sz w:val="20"/>
        </w:rPr>
        <w:t xml:space="preserve">Card heading: </w:t>
      </w:r>
      <w:r>
        <w:rPr>
          <w:sz w:val="20"/>
        </w:rPr>
        <w:t>Clinically meaningful lung function improvement</w:t>
      </w:r>
    </w:p>
    <w:p>
      <w:r>
        <w:rPr>
          <w:b/>
        </w:rPr>
        <w:t xml:space="preserve">Card body: </w:t>
      </w:r>
      <w:r>
        <w:t>TRELUXIA improved pre-bronchodilator FEV₁ by 0.25 L compared with placebo at Week 52 (P&lt;0.001), demonstrating sustained and clinically meaningful improvement in airflow limitation alongside exacerbation reduction.¹</w:t>
      </w:r>
    </w:p>
    <w:p>
      <w:r>
        <w:rPr>
          <w:b/>
          <w:sz w:val="20"/>
        </w:rPr>
        <w:t xml:space="preserve">Card link: </w:t>
      </w:r>
      <w:r>
        <w:rPr>
          <w:sz w:val="20"/>
        </w:rPr>
        <w:t>Explore lung function data → /treluxia/luminos-data</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4" name="Picture 4"/>
            <wp:cNvGraphicFramePr>
              <a:graphicFrameLocks noChangeAspect="1"/>
            </wp:cNvGraphicFramePr>
            <a:graphic>
              <a:graphicData uri="http://schemas.openxmlformats.org/drawingml/2006/picture">
                <pic:pic>
                  <pic:nvPicPr>
                    <pic:cNvPr id="0" name="card-ocs.jpeg"/>
                    <pic:cNvPicPr/>
                  </pic:nvPicPr>
                  <pic:blipFill>
                    <a:blip r:embed="rId12"/>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https://treluxia-images.pages.dev/card-ocs.jpeg</w:t>
      </w:r>
    </w:p>
    <w:p>
      <w:pPr>
        <w:jc w:val="center"/>
      </w:pPr>
      <w:r>
        <w:rPr>
          <w:i/>
          <w:color w:val="666666"/>
          <w:sz w:val="16"/>
        </w:rPr>
        <w:t>Usage: Home — OCS sparing card</w:t>
      </w:r>
    </w:p>
    <w:p>
      <w:r>
        <w:rPr>
          <w:b/>
          <w:sz w:val="20"/>
        </w:rPr>
        <w:t xml:space="preserve">Card heading: </w:t>
      </w:r>
      <w:r>
        <w:rPr>
          <w:sz w:val="20"/>
        </w:rPr>
        <w:t>Enabling oral corticosteroid reduction</w:t>
      </w:r>
    </w:p>
    <w:p>
      <w:r>
        <w:rPr>
          <w:b/>
        </w:rPr>
        <w:t xml:space="preserve">Card body: </w:t>
      </w:r>
      <w:r>
        <w:t>In LUMINOS-OCS, 71.4% of patients achieved ≥50% reduction in their maintenance oral corticosteroid dose with TRELUXIA, and 37.9% eliminated OCS completely while maintaining asthma control (P&lt;0.001 for both).²</w:t>
      </w:r>
    </w:p>
    <w:p>
      <w:r>
        <w:rPr>
          <w:b/>
          <w:sz w:val="20"/>
        </w:rPr>
        <w:t xml:space="preserve">Card link: </w:t>
      </w:r>
      <w:r>
        <w:rPr>
          <w:sz w:val="20"/>
        </w:rPr>
        <w:t>View OCS-sparing data → /treluxia/luminos-data</w:t>
      </w:r>
    </w:p>
    <w:p>
      <w:pPr>
        <w:jc w:val="center"/>
      </w:pPr>
      <w:r>
        <w:rPr>
          <w:color w:val="CCCCCC"/>
          <w:sz w:val="16"/>
        </w:rPr>
        <w:t>────────────────────────────────────────────────────────────</w:t>
      </w:r>
    </w:p>
    <w:p>
      <w:pPr>
        <w:pStyle w:val="Heading3"/>
      </w:pPr>
      <w:r>
        <w:rPr>
          <w:color w:val="006B77"/>
        </w:rPr>
        <w:t>Section 3 — Disease context (centred text) | light background</w:t>
      </w:r>
    </w:p>
    <w:p>
      <w:r>
        <w:rPr>
          <w:b/>
          <w:sz w:val="20"/>
        </w:rPr>
        <w:t xml:space="preserve">Block: </w:t>
      </w:r>
      <w:r>
        <w:rPr>
          <w:sz w:val="20"/>
        </w:rPr>
        <w:t>introduction</w:t>
      </w:r>
    </w:p>
    <w:p>
      <w:r>
        <w:rPr>
          <w:b/>
        </w:rPr>
        <w:t xml:space="preserve">Section metadata: </w:t>
      </w:r>
      <w:r>
        <w:rPr>
          <w:color w:val="666666"/>
        </w:rPr>
        <w:t>Style: light</w:t>
      </w:r>
    </w:p>
    <w:p>
      <w:r>
        <w:rPr>
          <w:b/>
          <w:sz w:val="20"/>
        </w:rPr>
        <w:t xml:space="preserve">Heading: </w:t>
      </w:r>
      <w:r>
        <w:rPr>
          <w:sz w:val="20"/>
        </w:rPr>
        <w:t>Severe asthma: an unmet need beyond type 2 inflammation</w:t>
      </w:r>
    </w:p>
    <w:p>
      <w:r>
        <w:rPr>
          <w:b/>
        </w:rPr>
        <w:t xml:space="preserve">Body text: </w:t>
      </w:r>
      <w:r>
        <w:t>Approximately 5–10% of adults with asthma have severe disease that remains uncontrolled despite optimised inhaler therapy.⁴ While existing biologics target specific type 2 inflammatory pathways, a significant proportion of patients with severe asthma do not have an elevated type 2 biomarker signature, or have mixed inflammatory phenotypes that respond incompletely to single-pathway inhibition. TSLP acts upstream of both type 2 and non-type 2 inflammatory cascades, representing a broader therapeutic target.⁵</w:t>
      </w:r>
    </w:p>
    <w:p>
      <w:pPr>
        <w:jc w:val="center"/>
      </w:pPr>
      <w:r>
        <w:rPr>
          <w:color w:val="CCCCCC"/>
          <w:sz w:val="16"/>
        </w:rPr>
        <w:t>────────────────────────────────────────────────────────────</w:t>
      </w:r>
    </w:p>
    <w:p>
      <w:pPr>
        <w:pStyle w:val="Heading3"/>
      </w:pPr>
      <w:r>
        <w:rPr>
          <w:color w:val="006B77"/>
        </w:rPr>
        <w:t>Section 4 — Mechanism teaser (two-column: image left, text right) | highlight background</w:t>
      </w:r>
    </w:p>
    <w:p>
      <w:r>
        <w:rPr>
          <w:b/>
          <w:sz w:val="20"/>
        </w:rPr>
        <w:t xml:space="preserve">Block: </w:t>
      </w:r>
      <w:r>
        <w:rPr>
          <w:sz w:val="20"/>
        </w:rPr>
        <w:t>columns-teaser</w:t>
      </w:r>
    </w:p>
    <w:p>
      <w:r>
        <w:rPr>
          <w:b/>
        </w:rPr>
        <w:t xml:space="preserve">Section metadata: </w:t>
      </w:r>
      <w:r>
        <w:rPr>
          <w:color w:val="666666"/>
        </w:rPr>
        <w:t>Style: highlight</w:t>
      </w:r>
    </w:p>
    <w:p/>
    <w:p>
      <w:pPr>
        <w:jc w:val="center"/>
      </w:pPr>
      <w:r>
        <w:drawing>
          <wp:inline xmlns:a="http://schemas.openxmlformats.org/drawingml/2006/main" xmlns:pic="http://schemas.openxmlformats.org/drawingml/2006/picture">
            <wp:extent cx="3200400" cy="2389632"/>
            <wp:docPr id="5" name="Picture 5"/>
            <wp:cNvGraphicFramePr>
              <a:graphicFrameLocks noChangeAspect="1"/>
            </wp:cNvGraphicFramePr>
            <a:graphic>
              <a:graphicData uri="http://schemas.openxmlformats.org/drawingml/2006/picture">
                <pic:pic>
                  <pic:nvPicPr>
                    <pic:cNvPr id="0" name="columns-moa-preview.jpeg"/>
                    <pic:cNvPicPr/>
                  </pic:nvPicPr>
                  <pic:blipFill>
                    <a:blip r:embed="rId13"/>
                    <a:stretch>
                      <a:fillRect/>
                    </a:stretch>
                  </pic:blipFill>
                  <pic:spPr>
                    <a:xfrm>
                      <a:off x="0" y="0"/>
                      <a:ext cx="3200400" cy="2389632"/>
                    </a:xfrm>
                    <a:prstGeom prst="rect"/>
                  </pic:spPr>
                </pic:pic>
              </a:graphicData>
            </a:graphic>
          </wp:inline>
        </w:drawing>
      </w:r>
    </w:p>
    <w:p>
      <w:pPr>
        <w:jc w:val="center"/>
      </w:pPr>
      <w:r>
        <w:rPr>
          <w:color w:val="005599"/>
          <w:sz w:val="16"/>
          <w:u w:val="single"/>
        </w:rPr>
        <w:t>https://treluxia-images.pages.dev/columns-moa-preview.jpeg</w:t>
      </w:r>
    </w:p>
    <w:p>
      <w:pPr>
        <w:jc w:val="center"/>
      </w:pPr>
      <w:r>
        <w:rPr>
          <w:i/>
          <w:color w:val="666666"/>
          <w:sz w:val="16"/>
        </w:rPr>
        <w:t>Usage: Home — MoA teaser</w:t>
      </w:r>
    </w:p>
    <w:p>
      <w:r>
        <w:rPr>
          <w:b/>
          <w:sz w:val="20"/>
        </w:rPr>
        <w:t xml:space="preserve">Heading: </w:t>
      </w:r>
      <w:r>
        <w:rPr>
          <w:sz w:val="20"/>
        </w:rPr>
        <w:t>Targeting TSLP: upstream control of airway inflammation</w:t>
      </w:r>
    </w:p>
    <w:p>
      <w:r>
        <w:rPr>
          <w:b/>
        </w:rPr>
        <w:t xml:space="preserve">Body text: </w:t>
      </w:r>
      <w:r>
        <w:t>TSLP is an epithelial-derived cytokine released at the top of the asthma inflammatory cascade. By blocking TSLP, TRELUXIA inhibits multiple downstream pathways driving both eosinophilic and non-eosinophilic inflammation, providing broad anti-inflammatory control regardless of phenotype.³ ⁵</w:t>
      </w:r>
    </w:p>
    <w:p>
      <w:r>
        <w:rPr>
          <w:b/>
          <w:sz w:val="20"/>
        </w:rPr>
        <w:t xml:space="preserve">Call to action: </w:t>
      </w:r>
      <w:r>
        <w:rPr>
          <w:sz w:val="20"/>
        </w:rPr>
        <w:t>Explore how TRELUXIA works → /treluxia/how-treluxia-works</w:t>
      </w:r>
    </w:p>
    <w:p>
      <w:pPr>
        <w:jc w:val="center"/>
      </w:pPr>
      <w:r>
        <w:rPr>
          <w:color w:val="CCCCCC"/>
          <w:sz w:val="16"/>
        </w:rPr>
        <w:t>────────────────────────────────────────────────────────────</w:t>
      </w:r>
    </w:p>
    <w:p>
      <w:pPr>
        <w:pStyle w:val="Heading3"/>
      </w:pPr>
      <w:r>
        <w:rPr>
          <w:color w:val="006B77"/>
        </w:rPr>
        <w:t>Section 5 — Prescribing information footer</w:t>
      </w:r>
    </w:p>
    <w:p>
      <w:r>
        <w:rPr>
          <w:b/>
          <w:sz w:val="20"/>
        </w:rPr>
        <w:t xml:space="preserve">Block: </w:t>
      </w:r>
      <w:r>
        <w:rPr>
          <w:sz w:val="20"/>
        </w:rPr>
        <w:t>accordion</w:t>
      </w:r>
    </w:p>
    <w:p>
      <w:r>
        <w:rPr>
          <w:b w:val="0"/>
          <w:i/>
          <w:color w:val="363B3B"/>
          <w:sz w:val="20"/>
        </w:rPr>
        <w:t>Expandable sections for: Prescribing Information | Adverse Event Reporting | References (Use approved text from sections 5, 6, and 7 above)</w:t>
      </w:r>
    </w:p>
    <w:p/>
    <w:p>
      <w:r>
        <w:rPr>
          <w:b/>
          <w:color w:val="830051"/>
        </w:rPr>
        <w:t>Page metadata</w:t>
      </w:r>
    </w:p>
    <w:p>
      <w:r>
        <w:rPr>
          <w:b w:val="0"/>
          <w:i w:val="0"/>
          <w:color w:val="363B3B"/>
          <w:sz w:val="20"/>
        </w:rPr>
        <w:t>Title: TRELUXIA (trelimovab) | Severe Asthma Treatment | AstraZeneca UK</w:t>
      </w:r>
    </w:p>
    <w:p>
      <w:r>
        <w:rPr>
          <w:b w:val="0"/>
          <w:i w:val="0"/>
          <w:color w:val="363B3B"/>
          <w:sz w:val="20"/>
        </w:rPr>
        <w:t>Description: TRELUXIA (trelimovab) is a human anti-TSLP monoclonal antibody for adults and adolescents with severe uncontrolled asthma. Explore LUMINOS clinical data, safety, and dosing for UK healthcare professionals.</w:t>
      </w:r>
    </w:p>
    <w:p>
      <w:r>
        <w:br w:type="page"/>
      </w:r>
    </w:p>
    <w:p>
      <w:pPr>
        <w:pStyle w:val="Heading2"/>
      </w:pPr>
      <w:r>
        <w:rPr>
          <w:color w:val="830051"/>
        </w:rPr>
        <w:t>PAGE 2: LUMINOS Data</w:t>
      </w:r>
    </w:p>
    <w:p>
      <w:r>
        <w:rPr>
          <w:b/>
          <w:sz w:val="20"/>
        </w:rPr>
        <w:t xml:space="preserve">URL path: </w:t>
      </w:r>
      <w:r>
        <w:rPr>
          <w:sz w:val="20"/>
        </w:rPr>
        <w:t>/treluxia/luminos-data</w:t>
      </w:r>
    </w:p>
    <w:p>
      <w:pPr>
        <w:jc w:val="center"/>
      </w:pPr>
      <w:r>
        <w:rPr>
          <w:color w:val="CCCCCC"/>
          <w:sz w:val="16"/>
        </w:rPr>
        <w:t>────────────────────────────────────────────────────────────</w:t>
      </w:r>
    </w:p>
    <w:p>
      <w:pPr>
        <w:pStyle w:val="Heading3"/>
      </w:pPr>
      <w:r>
        <w:rPr>
          <w:color w:val="006B77"/>
        </w:rPr>
        <w:t>Section 1 — Hero (full-width image with text overlay)</w:t>
      </w:r>
    </w:p>
    <w:p>
      <w:r>
        <w:rPr>
          <w:b/>
          <w:sz w:val="20"/>
        </w:rPr>
        <w:t xml:space="preserve">Block: </w:t>
      </w:r>
      <w:r>
        <w:rPr>
          <w:sz w:val="20"/>
        </w:rPr>
        <w:t>hero-teaser</w:t>
      </w:r>
    </w:p>
    <w:p/>
    <w:p>
      <w:pPr>
        <w:jc w:val="center"/>
      </w:pPr>
      <w:r>
        <w:drawing>
          <wp:inline xmlns:a="http://schemas.openxmlformats.org/drawingml/2006/main" xmlns:pic="http://schemas.openxmlformats.org/drawingml/2006/picture">
            <wp:extent cx="5029200" cy="2806995"/>
            <wp:docPr id="6" name="Picture 6"/>
            <wp:cNvGraphicFramePr>
              <a:graphicFrameLocks noChangeAspect="1"/>
            </wp:cNvGraphicFramePr>
            <a:graphic>
              <a:graphicData uri="http://schemas.openxmlformats.org/drawingml/2006/picture">
                <pic:pic>
                  <pic:nvPicPr>
                    <pic:cNvPr id="0" name="hero-efficacy.jpeg"/>
                    <pic:cNvPicPr/>
                  </pic:nvPicPr>
                  <pic:blipFill>
                    <a:blip r:embed="rId14"/>
                    <a:stretch>
                      <a:fillRect/>
                    </a:stretch>
                  </pic:blipFill>
                  <pic:spPr>
                    <a:xfrm>
                      <a:off x="0" y="0"/>
                      <a:ext cx="5029200" cy="2806995"/>
                    </a:xfrm>
                    <a:prstGeom prst="rect"/>
                  </pic:spPr>
                </pic:pic>
              </a:graphicData>
            </a:graphic>
          </wp:inline>
        </w:drawing>
      </w:r>
    </w:p>
    <w:p>
      <w:pPr>
        <w:jc w:val="center"/>
      </w:pPr>
      <w:r>
        <w:rPr>
          <w:color w:val="005599"/>
          <w:sz w:val="16"/>
          <w:u w:val="single"/>
        </w:rPr>
        <w:t>https://treluxia-images.pages.dev/hero-efficacy.jpeg</w:t>
      </w:r>
    </w:p>
    <w:p>
      <w:pPr>
        <w:jc w:val="center"/>
      </w:pPr>
      <w:r>
        <w:rPr>
          <w:i/>
          <w:color w:val="666666"/>
          <w:sz w:val="16"/>
        </w:rPr>
        <w:t>Usage: LUMINOS Data — hero</w:t>
      </w:r>
    </w:p>
    <w:p>
      <w:r>
        <w:rPr>
          <w:b/>
          <w:sz w:val="20"/>
        </w:rPr>
        <w:t xml:space="preserve">Heading: </w:t>
      </w:r>
      <w:r>
        <w:rPr>
          <w:sz w:val="20"/>
        </w:rPr>
        <w:t>The LUMINOS clinical programme</w:t>
      </w:r>
    </w:p>
    <w:p>
      <w:r>
        <w:rPr>
          <w:b/>
        </w:rPr>
        <w:t xml:space="preserve">Body text: </w:t>
      </w:r>
      <w:r>
        <w:t>TRELUXIA™ (trelimovab) demonstrated significant exacerbation reduction, lung function improvement, and oral corticosteroid sparing across the full spectrum of severe asthma in two Phase III trials.¹ ²</w:t>
      </w:r>
    </w:p>
    <w:p>
      <w:pPr>
        <w:jc w:val="center"/>
      </w:pPr>
      <w:r>
        <w:rPr>
          <w:color w:val="CCCCCC"/>
          <w:sz w:val="16"/>
        </w:rPr>
        <w:t>────────────────────────────────────────────────────────────</w:t>
      </w:r>
    </w:p>
    <w:p>
      <w:pPr>
        <w:pStyle w:val="Heading3"/>
      </w:pPr>
      <w:r>
        <w:rPr>
          <w:color w:val="006B77"/>
        </w:rPr>
        <w:t>Section 2 — Programme overview (centred text) | light background</w:t>
      </w:r>
    </w:p>
    <w:p>
      <w:r>
        <w:rPr>
          <w:b/>
          <w:sz w:val="20"/>
        </w:rPr>
        <w:t xml:space="preserve">Block: </w:t>
      </w:r>
      <w:r>
        <w:rPr>
          <w:sz w:val="20"/>
        </w:rPr>
        <w:t>introduction</w:t>
      </w:r>
    </w:p>
    <w:p>
      <w:r>
        <w:rPr>
          <w:b/>
        </w:rPr>
        <w:t xml:space="preserve">Section metadata: </w:t>
      </w:r>
      <w:r>
        <w:rPr>
          <w:color w:val="666666"/>
        </w:rPr>
        <w:t>Style: light</w:t>
      </w:r>
    </w:p>
    <w:p>
      <w:r>
        <w:rPr>
          <w:b/>
          <w:sz w:val="20"/>
        </w:rPr>
        <w:t xml:space="preserve">Heading: </w:t>
      </w:r>
      <w:r>
        <w:rPr>
          <w:sz w:val="20"/>
        </w:rPr>
        <w:t>Broad efficacy across severe asthma phenotypes</w:t>
      </w:r>
    </w:p>
    <w:p>
      <w:r>
        <w:rPr>
          <w:b/>
        </w:rPr>
        <w:t xml:space="preserve">Body text: </w:t>
      </w:r>
      <w:r>
        <w:t>The LUMINOS programme evaluated trelimovab in two distinct severe asthma populations: LUMINOS-1 assessed exacerbation reduction and lung function in 1,061 adults and adolescents with uncontrolled severe asthma across all inflammatory phenotypes. LUMINOS-OCS assessed oral corticosteroid sparing in 407 adults with OCS-dependent severe asthma, demonstrating the potential to reduce the burden of chronic systemic corticosteroid use.¹ ²</w:t>
      </w:r>
    </w:p>
    <w:p>
      <w:pPr>
        <w:jc w:val="center"/>
      </w:pPr>
      <w:r>
        <w:rPr>
          <w:color w:val="CCCCCC"/>
          <w:sz w:val="16"/>
        </w:rPr>
        <w:t>────────────────────────────────────────────────────────────</w:t>
      </w:r>
    </w:p>
    <w:p>
      <w:pPr>
        <w:pStyle w:val="Heading3"/>
      </w:pPr>
      <w:r>
        <w:rPr>
          <w:color w:val="006B77"/>
        </w:rPr>
        <w:t>Section 3 — Clinical data (two tabs)</w:t>
      </w:r>
    </w:p>
    <w:p>
      <w:r>
        <w:rPr>
          <w:b/>
          <w:sz w:val="20"/>
        </w:rPr>
        <w:t xml:space="preserve">Block: </w:t>
      </w:r>
      <w:r>
        <w:rPr>
          <w:sz w:val="20"/>
        </w:rPr>
        <w:t>tabs-large</w:t>
      </w:r>
    </w:p>
    <w:p/>
    <w:p>
      <w:r>
        <w:rPr>
          <w:b/>
          <w:i w:val="0"/>
          <w:color w:val="363B3B"/>
          <w:sz w:val="20"/>
        </w:rPr>
        <w:t>Tab 1: "LUMINOS-1: Exacerbation reduction"</w:t>
      </w:r>
    </w:p>
    <w:p>
      <w:pPr>
        <w:jc w:val="center"/>
      </w:pPr>
      <w:r>
        <w:drawing>
          <wp:inline xmlns:a="http://schemas.openxmlformats.org/drawingml/2006/main" xmlns:pic="http://schemas.openxmlformats.org/drawingml/2006/picture">
            <wp:extent cx="3200400" cy="2389632"/>
            <wp:docPr id="7" name="Picture 7"/>
            <wp:cNvGraphicFramePr>
              <a:graphicFrameLocks noChangeAspect="1"/>
            </wp:cNvGraphicFramePr>
            <a:graphic>
              <a:graphicData uri="http://schemas.openxmlformats.org/drawingml/2006/picture">
                <pic:pic>
                  <pic:nvPicPr>
                    <pic:cNvPr id="0" name="tab-luminos1.jpeg"/>
                    <pic:cNvPicPr/>
                  </pic:nvPicPr>
                  <pic:blipFill>
                    <a:blip r:embed="rId15"/>
                    <a:stretch>
                      <a:fillRect/>
                    </a:stretch>
                  </pic:blipFill>
                  <pic:spPr>
                    <a:xfrm>
                      <a:off x="0" y="0"/>
                      <a:ext cx="3200400" cy="2389632"/>
                    </a:xfrm>
                    <a:prstGeom prst="rect"/>
                  </pic:spPr>
                </pic:pic>
              </a:graphicData>
            </a:graphic>
          </wp:inline>
        </w:drawing>
      </w:r>
    </w:p>
    <w:p>
      <w:pPr>
        <w:jc w:val="center"/>
      </w:pPr>
      <w:r>
        <w:rPr>
          <w:color w:val="005599"/>
          <w:sz w:val="16"/>
          <w:u w:val="single"/>
        </w:rPr>
        <w:t>https://treluxia-images.pages.dev/tab-luminos1.jpeg</w:t>
      </w:r>
    </w:p>
    <w:p>
      <w:pPr>
        <w:jc w:val="center"/>
      </w:pPr>
      <w:r>
        <w:rPr>
          <w:i/>
          <w:color w:val="666666"/>
          <w:sz w:val="16"/>
        </w:rPr>
        <w:t>Usage: LUMINOS Data — exacerbation tab</w:t>
      </w:r>
    </w:p>
    <w:p>
      <w:r>
        <w:rPr>
          <w:b/>
          <w:sz w:val="20"/>
        </w:rPr>
        <w:t xml:space="preserve">Heading: </w:t>
      </w:r>
      <w:r>
        <w:rPr>
          <w:sz w:val="20"/>
        </w:rPr>
        <w:t>LUMINOS-1: 56% reduction in asthma exacerbations across all phenotypes</w:t>
      </w:r>
    </w:p>
    <w:p>
      <w:r>
        <w:rPr>
          <w:b/>
        </w:rPr>
        <w:t xml:space="preserve">Body text: </w:t>
      </w:r>
      <w:r>
        <w:t>In LUMINOS-1, a randomised, double-blind, placebo-controlled trial in 1,061 adults and adolescents with severe asthma on medium- or high-dose ICS plus additional controllers, TRELUXIA reduced the annualised asthma exacerbation rate by 56% versus placebo across the overall population (rate ratio 0.44; 95% CI: 0.37–0.53; P&lt;0.001). The benefit was observed irrespective of baseline blood eosinophil count: 62% reduction in patients with eosinophils ≥300 cells/μL (RR 0.38; P&lt;0.001) and 41% reduction in patients with eosinophils &lt;300 cells/μL (RR 0.59; P&lt;0.001).¹</w:t>
      </w:r>
    </w:p>
    <w:p/>
    <w:p>
      <w:r>
        <w:rPr>
          <w:b/>
        </w:rPr>
        <w:t xml:space="preserve">Body text (continued): </w:t>
      </w:r>
      <w:r>
        <w:t>TRELUXIA significantly improved pre-bronchodilator FEV₁ by 0.25 L at Week 52 versus placebo (P&lt;0.001). Patients also reported clinically meaningful improvements in asthma symptom control (ACQ-6 difference: −0.48; P&lt;0.001). Exacerbations requiring hospitalisation or emergency room visits were reduced by 77% (rate ratio 0.23; P&lt;0.001).¹</w:t>
      </w:r>
    </w:p>
    <w:p>
      <w:r>
        <w:rPr>
          <w:b/>
          <w:i w:val="0"/>
          <w:color w:val="363B3B"/>
          <w:sz w:val="20"/>
        </w:rPr>
        <w:t>Data table: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TRELUXIA (n=529)</w:t>
            </w:r>
          </w:p>
        </w:tc>
        <w:tc>
          <w:tcPr>
            <w:tcW w:type="dxa" w:w="2268"/>
            <w:shd w:fill="830051"/>
          </w:tcPr>
          <w:p>
            <w:r/>
            <w:r>
              <w:rPr>
                <w:b/>
                <w:color w:val="FFFFFF"/>
                <w:sz w:val="18"/>
              </w:rPr>
              <w:t>Placebo (n=532)</w:t>
            </w:r>
          </w:p>
        </w:tc>
        <w:tc>
          <w:tcPr>
            <w:tcW w:type="dxa" w:w="2268"/>
            <w:shd w:fill="830051"/>
          </w:tcPr>
          <w:p>
            <w:r/>
            <w:r>
              <w:rPr>
                <w:b/>
                <w:color w:val="FFFFFF"/>
                <w:sz w:val="18"/>
              </w:rPr>
              <w:t>Treatment effect</w:t>
            </w:r>
          </w:p>
        </w:tc>
      </w:tr>
      <w:tr>
        <w:tc>
          <w:tcPr>
            <w:tcW w:type="dxa" w:w="2268"/>
          </w:tcPr>
          <w:p>
            <w:r/>
            <w:r>
              <w:rPr>
                <w:color w:val="363B3B"/>
                <w:sz w:val="18"/>
              </w:rPr>
              <w:t>AAER (overall)</w:t>
            </w:r>
          </w:p>
        </w:tc>
        <w:tc>
          <w:tcPr>
            <w:tcW w:type="dxa" w:w="2268"/>
          </w:tcPr>
          <w:p>
            <w:r/>
            <w:r>
              <w:rPr>
                <w:color w:val="363B3B"/>
                <w:sz w:val="18"/>
              </w:rPr>
              <w:t>0.93</w:t>
            </w:r>
          </w:p>
        </w:tc>
        <w:tc>
          <w:tcPr>
            <w:tcW w:type="dxa" w:w="2268"/>
          </w:tcPr>
          <w:p>
            <w:r/>
            <w:r>
              <w:rPr>
                <w:color w:val="363B3B"/>
                <w:sz w:val="18"/>
              </w:rPr>
              <w:t>2.10</w:t>
            </w:r>
          </w:p>
        </w:tc>
        <w:tc>
          <w:tcPr>
            <w:tcW w:type="dxa" w:w="2268"/>
          </w:tcPr>
          <w:p>
            <w:r/>
            <w:r>
              <w:rPr>
                <w:color w:val="363B3B"/>
                <w:sz w:val="18"/>
              </w:rPr>
              <w:t>RR 0.44 (0.37–0.53); P&lt;0.001</w:t>
            </w:r>
          </w:p>
        </w:tc>
      </w:tr>
      <w:tr>
        <w:tc>
          <w:tcPr>
            <w:tcW w:type="dxa" w:w="2268"/>
            <w:shd w:fill="F8F8F8"/>
          </w:tcPr>
          <w:p>
            <w:r/>
            <w:r>
              <w:rPr>
                <w:color w:val="363B3B"/>
                <w:sz w:val="18"/>
              </w:rPr>
              <w:t>AAER (eos ≥300)</w:t>
            </w:r>
          </w:p>
        </w:tc>
        <w:tc>
          <w:tcPr>
            <w:tcW w:type="dxa" w:w="2268"/>
            <w:shd w:fill="F8F8F8"/>
          </w:tcPr>
          <w:p>
            <w:r/>
            <w:r>
              <w:rPr>
                <w:color w:val="363B3B"/>
                <w:sz w:val="18"/>
              </w:rPr>
              <w:t>0.85</w:t>
            </w:r>
          </w:p>
        </w:tc>
        <w:tc>
          <w:tcPr>
            <w:tcW w:type="dxa" w:w="2268"/>
            <w:shd w:fill="F8F8F8"/>
          </w:tcPr>
          <w:p>
            <w:r/>
            <w:r>
              <w:rPr>
                <w:color w:val="363B3B"/>
                <w:sz w:val="18"/>
              </w:rPr>
              <w:t>2.26</w:t>
            </w:r>
          </w:p>
        </w:tc>
        <w:tc>
          <w:tcPr>
            <w:tcW w:type="dxa" w:w="2268"/>
            <w:shd w:fill="F8F8F8"/>
          </w:tcPr>
          <w:p>
            <w:r/>
            <w:r>
              <w:rPr>
                <w:color w:val="363B3B"/>
                <w:sz w:val="18"/>
              </w:rPr>
              <w:t>RR 0.38 (0.29–0.49); P&lt;0.001</w:t>
            </w:r>
          </w:p>
        </w:tc>
      </w:tr>
      <w:tr>
        <w:tc>
          <w:tcPr>
            <w:tcW w:type="dxa" w:w="2268"/>
          </w:tcPr>
          <w:p>
            <w:r/>
            <w:r>
              <w:rPr>
                <w:color w:val="363B3B"/>
                <w:sz w:val="18"/>
              </w:rPr>
              <w:t>AAER (eos &lt;300)</w:t>
            </w:r>
          </w:p>
        </w:tc>
        <w:tc>
          <w:tcPr>
            <w:tcW w:type="dxa" w:w="2268"/>
          </w:tcPr>
          <w:p>
            <w:r/>
            <w:r>
              <w:rPr>
                <w:color w:val="363B3B"/>
                <w:sz w:val="18"/>
              </w:rPr>
              <w:t>1.14</w:t>
            </w:r>
          </w:p>
        </w:tc>
        <w:tc>
          <w:tcPr>
            <w:tcW w:type="dxa" w:w="2268"/>
          </w:tcPr>
          <w:p>
            <w:r/>
            <w:r>
              <w:rPr>
                <w:color w:val="363B3B"/>
                <w:sz w:val="18"/>
              </w:rPr>
              <w:t>1.92</w:t>
            </w:r>
          </w:p>
        </w:tc>
        <w:tc>
          <w:tcPr>
            <w:tcW w:type="dxa" w:w="2268"/>
          </w:tcPr>
          <w:p>
            <w:r/>
            <w:r>
              <w:rPr>
                <w:color w:val="363B3B"/>
                <w:sz w:val="18"/>
              </w:rPr>
              <w:t>RR 0.59 (0.45–0.78); P&lt;0.001</w:t>
            </w:r>
          </w:p>
        </w:tc>
      </w:tr>
      <w:tr>
        <w:tc>
          <w:tcPr>
            <w:tcW w:type="dxa" w:w="2268"/>
            <w:shd w:fill="F8F8F8"/>
          </w:tcPr>
          <w:p>
            <w:r/>
            <w:r>
              <w:rPr>
                <w:color w:val="363B3B"/>
                <w:sz w:val="18"/>
              </w:rPr>
              <w:t>Pre-BD FEV₁ at Week 52</w:t>
            </w:r>
          </w:p>
        </w:tc>
        <w:tc>
          <w:tcPr>
            <w:tcW w:type="dxa" w:w="2268"/>
            <w:shd w:fill="F8F8F8"/>
          </w:tcPr>
          <w:p>
            <w:r/>
            <w:r>
              <w:rPr>
                <w:color w:val="363B3B"/>
                <w:sz w:val="18"/>
              </w:rPr>
              <w:t>+0.29 L</w:t>
            </w:r>
          </w:p>
        </w:tc>
        <w:tc>
          <w:tcPr>
            <w:tcW w:type="dxa" w:w="2268"/>
            <w:shd w:fill="F8F8F8"/>
          </w:tcPr>
          <w:p>
            <w:r/>
            <w:r>
              <w:rPr>
                <w:color w:val="363B3B"/>
                <w:sz w:val="18"/>
              </w:rPr>
              <w:t>+0.04 L</w:t>
            </w:r>
          </w:p>
        </w:tc>
        <w:tc>
          <w:tcPr>
            <w:tcW w:type="dxa" w:w="2268"/>
            <w:shd w:fill="F8F8F8"/>
          </w:tcPr>
          <w:p>
            <w:r/>
            <w:r>
              <w:rPr>
                <w:color w:val="363B3B"/>
                <w:sz w:val="18"/>
              </w:rPr>
              <w:t>+0.25 L (0.18–0.32); P&lt;0.001</w:t>
            </w:r>
          </w:p>
        </w:tc>
      </w:tr>
      <w:tr>
        <w:tc>
          <w:tcPr>
            <w:tcW w:type="dxa" w:w="2268"/>
          </w:tcPr>
          <w:p>
            <w:r/>
            <w:r>
              <w:rPr>
                <w:color w:val="363B3B"/>
                <w:sz w:val="18"/>
              </w:rPr>
              <w:t>ACQ-6 at Week 52</w:t>
            </w:r>
          </w:p>
        </w:tc>
        <w:tc>
          <w:tcPr>
            <w:tcW w:type="dxa" w:w="2268"/>
          </w:tcPr>
          <w:p>
            <w:r/>
            <w:r>
              <w:rPr>
                <w:color w:val="363B3B"/>
                <w:sz w:val="18"/>
              </w:rPr>
              <w:t>−1.55</w:t>
            </w:r>
          </w:p>
        </w:tc>
        <w:tc>
          <w:tcPr>
            <w:tcW w:type="dxa" w:w="2268"/>
          </w:tcPr>
          <w:p>
            <w:r/>
            <w:r>
              <w:rPr>
                <w:color w:val="363B3B"/>
                <w:sz w:val="18"/>
              </w:rPr>
              <w:t>−1.07</w:t>
            </w:r>
          </w:p>
        </w:tc>
        <w:tc>
          <w:tcPr>
            <w:tcW w:type="dxa" w:w="2268"/>
          </w:tcPr>
          <w:p>
            <w:r/>
            <w:r>
              <w:rPr>
                <w:color w:val="363B3B"/>
                <w:sz w:val="18"/>
              </w:rPr>
              <w:t>−0.48 (−0.62 to −0.34); P&lt;0.001</w:t>
            </w:r>
          </w:p>
        </w:tc>
      </w:tr>
    </w:tbl>
    <w:p>
      <w:pPr>
        <w:jc w:val="center"/>
      </w:pPr>
      <w:r>
        <w:rPr>
          <w:color w:val="CCCCCC"/>
          <w:sz w:val="16"/>
        </w:rPr>
        <w:t>────────────────────────────────────────────────────────────</w:t>
      </w:r>
    </w:p>
    <w:p>
      <w:r>
        <w:rPr>
          <w:b/>
          <w:i w:val="0"/>
          <w:color w:val="363B3B"/>
          <w:sz w:val="20"/>
        </w:rPr>
        <w:t>Tab 2: "LUMINOS-OCS: Oral corticosteroid sparing"</w:t>
      </w:r>
    </w:p>
    <w:p>
      <w:pPr>
        <w:jc w:val="center"/>
      </w:pPr>
      <w:r>
        <w:drawing>
          <wp:inline xmlns:a="http://schemas.openxmlformats.org/drawingml/2006/main" xmlns:pic="http://schemas.openxmlformats.org/drawingml/2006/picture">
            <wp:extent cx="3200400" cy="2389632"/>
            <wp:docPr id="8" name="Picture 8"/>
            <wp:cNvGraphicFramePr>
              <a:graphicFrameLocks noChangeAspect="1"/>
            </wp:cNvGraphicFramePr>
            <a:graphic>
              <a:graphicData uri="http://schemas.openxmlformats.org/drawingml/2006/picture">
                <pic:pic>
                  <pic:nvPicPr>
                    <pic:cNvPr id="0" name="tab-luminos-ocs.jpeg"/>
                    <pic:cNvPicPr/>
                  </pic:nvPicPr>
                  <pic:blipFill>
                    <a:blip r:embed="rId16"/>
                    <a:stretch>
                      <a:fillRect/>
                    </a:stretch>
                  </pic:blipFill>
                  <pic:spPr>
                    <a:xfrm>
                      <a:off x="0" y="0"/>
                      <a:ext cx="3200400" cy="2389632"/>
                    </a:xfrm>
                    <a:prstGeom prst="rect"/>
                  </pic:spPr>
                </pic:pic>
              </a:graphicData>
            </a:graphic>
          </wp:inline>
        </w:drawing>
      </w:r>
    </w:p>
    <w:p>
      <w:pPr>
        <w:jc w:val="center"/>
      </w:pPr>
      <w:r>
        <w:rPr>
          <w:color w:val="005599"/>
          <w:sz w:val="16"/>
          <w:u w:val="single"/>
        </w:rPr>
        <w:t>https://treluxia-images.pages.dev/tab-luminos-ocs.jpeg</w:t>
      </w:r>
    </w:p>
    <w:p>
      <w:pPr>
        <w:jc w:val="center"/>
      </w:pPr>
      <w:r>
        <w:rPr>
          <w:i/>
          <w:color w:val="666666"/>
          <w:sz w:val="16"/>
        </w:rPr>
        <w:t>Usage: LUMINOS Data — OCS sparing tab</w:t>
      </w:r>
    </w:p>
    <w:p>
      <w:r>
        <w:rPr>
          <w:b/>
          <w:sz w:val="20"/>
        </w:rPr>
        <w:t xml:space="preserve">Heading: </w:t>
      </w:r>
      <w:r>
        <w:rPr>
          <w:sz w:val="20"/>
        </w:rPr>
        <w:t>LUMINOS-OCS: Enabling steroid freedom for OCS-dependent patients</w:t>
      </w:r>
    </w:p>
    <w:p>
      <w:r>
        <w:rPr>
          <w:b/>
        </w:rPr>
        <w:t xml:space="preserve">Body text: </w:t>
      </w:r>
      <w:r>
        <w:t>LUMINOS-OCS was a randomised, double-blind, placebo-controlled trial in 407 adults with severe asthma dependent on maintenance oral corticosteroids (≥5 mg prednisolone equivalent daily) receiving high-dose ICS plus additional controllers.²</w:t>
      </w:r>
    </w:p>
    <w:p/>
    <w:p>
      <w:r>
        <w:rPr>
          <w:b/>
        </w:rPr>
        <w:t xml:space="preserve">Body text (continued): </w:t>
      </w:r>
      <w:r>
        <w:t>TRELUXIA enabled a median 75% reduction in OCS dose at Week 48, compared with 25% for placebo (odds ratio 2.58; P&lt;0.001). Over one-third of TRELUXIA-treated patients (37.9%) achieved complete OCS elimination, compared with 10.8% of placebo patients (OR 5.07; P&lt;0.001). Critically, OCS reduction was achieved while maintaining asthma control: the AAER during the OCS reduction phase was 61% lower with TRELUXIA than placebo (RR 0.39; P&lt;0.001), and ACQ-6 scores improved significantly (difference: −0.73; P&lt;0.001).²</w:t>
      </w:r>
    </w:p>
    <w:p>
      <w:r>
        <w:rPr>
          <w:b/>
          <w:i w:val="0"/>
          <w:color w:val="363B3B"/>
          <w:sz w:val="20"/>
        </w:rPr>
        <w:t>Data table: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TRELUXIA (n=203)</w:t>
            </w:r>
          </w:p>
        </w:tc>
        <w:tc>
          <w:tcPr>
            <w:tcW w:type="dxa" w:w="2268"/>
            <w:shd w:fill="830051"/>
          </w:tcPr>
          <w:p>
            <w:r/>
            <w:r>
              <w:rPr>
                <w:b/>
                <w:color w:val="FFFFFF"/>
                <w:sz w:val="18"/>
              </w:rPr>
              <w:t>Placebo (n=204)</w:t>
            </w:r>
          </w:p>
        </w:tc>
        <w:tc>
          <w:tcPr>
            <w:tcW w:type="dxa" w:w="2268"/>
            <w:shd w:fill="830051"/>
          </w:tcPr>
          <w:p>
            <w:r/>
            <w:r>
              <w:rPr>
                <w:b/>
                <w:color w:val="FFFFFF"/>
                <w:sz w:val="18"/>
              </w:rPr>
              <w:t>Treatment effect</w:t>
            </w:r>
          </w:p>
        </w:tc>
      </w:tr>
      <w:tr>
        <w:tc>
          <w:tcPr>
            <w:tcW w:type="dxa" w:w="2268"/>
          </w:tcPr>
          <w:p>
            <w:r/>
            <w:r>
              <w:rPr>
                <w:color w:val="363B3B"/>
                <w:sz w:val="18"/>
              </w:rPr>
              <w:t>Median OCS reduction at Week 48</w:t>
            </w:r>
          </w:p>
        </w:tc>
        <w:tc>
          <w:tcPr>
            <w:tcW w:type="dxa" w:w="2268"/>
          </w:tcPr>
          <w:p>
            <w:r/>
            <w:r>
              <w:rPr>
                <w:color w:val="363B3B"/>
                <w:sz w:val="18"/>
              </w:rPr>
              <w:t>−75%</w:t>
            </w:r>
          </w:p>
        </w:tc>
        <w:tc>
          <w:tcPr>
            <w:tcW w:type="dxa" w:w="2268"/>
          </w:tcPr>
          <w:p>
            <w:r/>
            <w:r>
              <w:rPr>
                <w:color w:val="363B3B"/>
                <w:sz w:val="18"/>
              </w:rPr>
              <w:t>−25%</w:t>
            </w:r>
          </w:p>
        </w:tc>
        <w:tc>
          <w:tcPr>
            <w:tcW w:type="dxa" w:w="2268"/>
          </w:tcPr>
          <w:p>
            <w:r/>
            <w:r>
              <w:rPr>
                <w:color w:val="363B3B"/>
                <w:sz w:val="18"/>
              </w:rPr>
              <w:t>OR 2.58 (1.79–3.72); P&lt;0.001</w:t>
            </w:r>
          </w:p>
        </w:tc>
      </w:tr>
      <w:tr>
        <w:tc>
          <w:tcPr>
            <w:tcW w:type="dxa" w:w="2268"/>
            <w:shd w:fill="F8F8F8"/>
          </w:tcPr>
          <w:p>
            <w:r/>
            <w:r>
              <w:rPr>
                <w:color w:val="363B3B"/>
                <w:sz w:val="18"/>
              </w:rPr>
              <w:t>≥50% OCS reduction</w:t>
            </w:r>
          </w:p>
        </w:tc>
        <w:tc>
          <w:tcPr>
            <w:tcW w:type="dxa" w:w="2268"/>
            <w:shd w:fill="F8F8F8"/>
          </w:tcPr>
          <w:p>
            <w:r/>
            <w:r>
              <w:rPr>
                <w:color w:val="363B3B"/>
                <w:sz w:val="18"/>
              </w:rPr>
              <w:t>71.4%</w:t>
            </w:r>
          </w:p>
        </w:tc>
        <w:tc>
          <w:tcPr>
            <w:tcW w:type="dxa" w:w="2268"/>
            <w:shd w:fill="F8F8F8"/>
          </w:tcPr>
          <w:p>
            <w:r/>
            <w:r>
              <w:rPr>
                <w:color w:val="363B3B"/>
                <w:sz w:val="18"/>
              </w:rPr>
              <w:t>41.7%</w:t>
            </w:r>
          </w:p>
        </w:tc>
        <w:tc>
          <w:tcPr>
            <w:tcW w:type="dxa" w:w="2268"/>
            <w:shd w:fill="F8F8F8"/>
          </w:tcPr>
          <w:p>
            <w:r/>
            <w:r>
              <w:rPr>
                <w:color w:val="363B3B"/>
                <w:sz w:val="18"/>
              </w:rPr>
              <w:t>OR 3.49 (2.31–5.27); P&lt;0.001</w:t>
            </w:r>
          </w:p>
        </w:tc>
      </w:tr>
      <w:tr>
        <w:tc>
          <w:tcPr>
            <w:tcW w:type="dxa" w:w="2268"/>
          </w:tcPr>
          <w:p>
            <w:r/>
            <w:r>
              <w:rPr>
                <w:color w:val="363B3B"/>
                <w:sz w:val="18"/>
              </w:rPr>
              <w:t>Complete OCS elimination</w:t>
            </w:r>
          </w:p>
        </w:tc>
        <w:tc>
          <w:tcPr>
            <w:tcW w:type="dxa" w:w="2268"/>
          </w:tcPr>
          <w:p>
            <w:r/>
            <w:r>
              <w:rPr>
                <w:color w:val="363B3B"/>
                <w:sz w:val="18"/>
              </w:rPr>
              <w:t>37.9%</w:t>
            </w:r>
          </w:p>
        </w:tc>
        <w:tc>
          <w:tcPr>
            <w:tcW w:type="dxa" w:w="2268"/>
          </w:tcPr>
          <w:p>
            <w:r/>
            <w:r>
              <w:rPr>
                <w:color w:val="363B3B"/>
                <w:sz w:val="18"/>
              </w:rPr>
              <w:t>10.8%</w:t>
            </w:r>
          </w:p>
        </w:tc>
        <w:tc>
          <w:tcPr>
            <w:tcW w:type="dxa" w:w="2268"/>
          </w:tcPr>
          <w:p>
            <w:r/>
            <w:r>
              <w:rPr>
                <w:color w:val="363B3B"/>
                <w:sz w:val="18"/>
              </w:rPr>
              <w:t>OR 5.07 (3.03–8.49); P&lt;0.001</w:t>
            </w:r>
          </w:p>
        </w:tc>
      </w:tr>
      <w:tr>
        <w:tc>
          <w:tcPr>
            <w:tcW w:type="dxa" w:w="2268"/>
            <w:shd w:fill="F8F8F8"/>
          </w:tcPr>
          <w:p>
            <w:r/>
            <w:r>
              <w:rPr>
                <w:color w:val="363B3B"/>
                <w:sz w:val="18"/>
              </w:rPr>
              <w:t>AAER during OCS reduction</w:t>
            </w:r>
          </w:p>
        </w:tc>
        <w:tc>
          <w:tcPr>
            <w:tcW w:type="dxa" w:w="2268"/>
            <w:shd w:fill="F8F8F8"/>
          </w:tcPr>
          <w:p>
            <w:r/>
            <w:r>
              <w:rPr>
                <w:color w:val="363B3B"/>
                <w:sz w:val="18"/>
              </w:rPr>
              <w:t>0.76</w:t>
            </w:r>
          </w:p>
        </w:tc>
        <w:tc>
          <w:tcPr>
            <w:tcW w:type="dxa" w:w="2268"/>
            <w:shd w:fill="F8F8F8"/>
          </w:tcPr>
          <w:p>
            <w:r/>
            <w:r>
              <w:rPr>
                <w:color w:val="363B3B"/>
                <w:sz w:val="18"/>
              </w:rPr>
              <w:t>1.97</w:t>
            </w:r>
          </w:p>
        </w:tc>
        <w:tc>
          <w:tcPr>
            <w:tcW w:type="dxa" w:w="2268"/>
            <w:shd w:fill="F8F8F8"/>
          </w:tcPr>
          <w:p>
            <w:r/>
            <w:r>
              <w:rPr>
                <w:color w:val="363B3B"/>
                <w:sz w:val="18"/>
              </w:rPr>
              <w:t>RR 0.39 (0.28–0.53); P&lt;0.001</w:t>
            </w:r>
          </w:p>
        </w:tc>
      </w:tr>
      <w:tr>
        <w:tc>
          <w:tcPr>
            <w:tcW w:type="dxa" w:w="2268"/>
          </w:tcPr>
          <w:p>
            <w:r/>
            <w:r>
              <w:rPr>
                <w:color w:val="363B3B"/>
                <w:sz w:val="18"/>
              </w:rPr>
              <w:t>ACQ-6 at Week 48</w:t>
            </w:r>
          </w:p>
        </w:tc>
        <w:tc>
          <w:tcPr>
            <w:tcW w:type="dxa" w:w="2268"/>
          </w:tcPr>
          <w:p>
            <w:r/>
            <w:r>
              <w:rPr>
                <w:color w:val="363B3B"/>
                <w:sz w:val="18"/>
              </w:rPr>
              <w:t>−1.41</w:t>
            </w:r>
          </w:p>
        </w:tc>
        <w:tc>
          <w:tcPr>
            <w:tcW w:type="dxa" w:w="2268"/>
          </w:tcPr>
          <w:p>
            <w:r/>
            <w:r>
              <w:rPr>
                <w:color w:val="363B3B"/>
                <w:sz w:val="18"/>
              </w:rPr>
              <w:t>−0.68</w:t>
            </w:r>
          </w:p>
        </w:tc>
        <w:tc>
          <w:tcPr>
            <w:tcW w:type="dxa" w:w="2268"/>
          </w:tcPr>
          <w:p>
            <w:r/>
            <w:r>
              <w:rPr>
                <w:color w:val="363B3B"/>
                <w:sz w:val="18"/>
              </w:rPr>
              <w:t>−0.73 (−0.97 to −0.49); P&lt;0.001</w:t>
            </w:r>
          </w:p>
        </w:tc>
      </w:tr>
    </w:tbl>
    <w:p>
      <w:pPr>
        <w:jc w:val="center"/>
      </w:pPr>
      <w:r>
        <w:rPr>
          <w:color w:val="CCCCCC"/>
          <w:sz w:val="16"/>
        </w:rPr>
        <w:t>────────────────────────────────────────────────────────────</w:t>
      </w:r>
    </w:p>
    <w:p>
      <w:pPr>
        <w:pStyle w:val="Heading3"/>
      </w:pPr>
      <w:r>
        <w:rPr>
          <w:color w:val="006B77"/>
        </w:rPr>
        <w:t>Section 4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LUMINOS Data | TRELUXIA (trelimovab) | Exacerbation &amp; OCS Outcomes | AstraZeneca UK</w:t>
      </w:r>
    </w:p>
    <w:p>
      <w:r>
        <w:rPr>
          <w:b w:val="0"/>
          <w:i w:val="0"/>
          <w:color w:val="363B3B"/>
          <w:sz w:val="20"/>
        </w:rPr>
        <w:t>Description: Explore the LUMINOS clinical programme for TRELUXIA (trelimovab) — Phase III exacerbation reduction, lung function improvement, and oral corticosteroid sparing in adults and adolescents with severe asthma.</w:t>
      </w:r>
    </w:p>
    <w:p>
      <w:r>
        <w:br w:type="page"/>
      </w:r>
    </w:p>
    <w:p>
      <w:pPr>
        <w:pStyle w:val="Heading2"/>
      </w:pPr>
      <w:r>
        <w:rPr>
          <w:color w:val="830051"/>
        </w:rPr>
        <w:t>PAGE 3: Safety</w:t>
      </w:r>
    </w:p>
    <w:p>
      <w:r>
        <w:rPr>
          <w:b/>
          <w:sz w:val="20"/>
        </w:rPr>
        <w:t xml:space="preserve">URL path: </w:t>
      </w:r>
      <w:r>
        <w:rPr>
          <w:sz w:val="20"/>
        </w:rPr>
        <w:t>/treluxia/safety</w:t>
      </w:r>
    </w:p>
    <w:p>
      <w:pPr>
        <w:jc w:val="center"/>
      </w:pPr>
      <w:r>
        <w:rPr>
          <w:color w:val="CCCCCC"/>
          <w:sz w:val="16"/>
        </w:rPr>
        <w:t>────────────────────────────────────────────────────────────</w:t>
      </w:r>
    </w:p>
    <w:p>
      <w:pPr>
        <w:pStyle w:val="Heading3"/>
      </w:pPr>
      <w:r>
        <w:rPr>
          <w:color w:val="006B77"/>
        </w:rPr>
        <w:t>Section 1 — Page header (text only, no image)</w:t>
      </w:r>
    </w:p>
    <w:p>
      <w:r>
        <w:rPr>
          <w:b/>
          <w:sz w:val="20"/>
        </w:rPr>
        <w:t xml:space="preserve">Block: </w:t>
      </w:r>
      <w:r>
        <w:rPr>
          <w:sz w:val="20"/>
        </w:rPr>
        <w:t>title</w:t>
      </w:r>
    </w:p>
    <w:p>
      <w:r>
        <w:rPr>
          <w:b/>
          <w:sz w:val="20"/>
        </w:rPr>
        <w:t xml:space="preserve">Heading: </w:t>
      </w:r>
      <w:r>
        <w:rPr>
          <w:sz w:val="20"/>
        </w:rPr>
        <w:t>Safety profile of TRELUXIA</w:t>
      </w:r>
    </w:p>
    <w:p>
      <w:r>
        <w:rPr>
          <w:b/>
        </w:rPr>
        <w:t xml:space="preserve">Body text: </w:t>
      </w:r>
      <w:r>
        <w:t>TRELUXIA™ (trelimovab) has been evaluated in over 700 patients across the LUMINOS clinical programme, with treatment durations of up to 52 weeks.¹ ² ³</w:t>
      </w:r>
    </w:p>
    <w:p>
      <w:pPr>
        <w:jc w:val="center"/>
      </w:pPr>
      <w:r>
        <w:rPr>
          <w:color w:val="CCCCCC"/>
          <w:sz w:val="16"/>
        </w:rPr>
        <w:t>────────────────────────────────────────────────────────────</w:t>
      </w:r>
    </w:p>
    <w:p>
      <w:pPr>
        <w:pStyle w:val="Heading3"/>
      </w:pPr>
      <w:r>
        <w:rPr>
          <w:color w:val="006B77"/>
        </w:rPr>
        <w:t>Section 2 — Key safety message (centred text) | highlight background</w:t>
      </w:r>
    </w:p>
    <w:p>
      <w:r>
        <w:rPr>
          <w:b/>
          <w:sz w:val="20"/>
        </w:rPr>
        <w:t xml:space="preserve">Block: </w:t>
      </w:r>
      <w:r>
        <w:rPr>
          <w:sz w:val="20"/>
        </w:rPr>
        <w:t>introduction</w:t>
      </w:r>
    </w:p>
    <w:p>
      <w:r>
        <w:rPr>
          <w:b/>
        </w:rPr>
        <w:t xml:space="preserve">Section metadata: </w:t>
      </w:r>
      <w:r>
        <w:rPr>
          <w:color w:val="666666"/>
        </w:rPr>
        <w:t>Style: highlight</w:t>
      </w:r>
    </w:p>
    <w:p>
      <w:r>
        <w:rPr>
          <w:b/>
          <w:sz w:val="20"/>
        </w:rPr>
        <w:t xml:space="preserve">Heading: </w:t>
      </w:r>
      <w:r>
        <w:rPr>
          <w:sz w:val="20"/>
        </w:rPr>
        <w:t>A favourable safety profile consistent with a targeted biologic</w:t>
      </w:r>
    </w:p>
    <w:p>
      <w:r>
        <w:rPr>
          <w:b/>
        </w:rPr>
        <w:t xml:space="preserve">Body text: </w:t>
      </w:r>
      <w:r>
        <w:t>The overall safety profile of TRELUXIA is consistent with expectations for a human IgG2 monoclonal antibody targeting an epithelial cytokine. Serious adverse events were lower with TRELUXIA than placebo (8.4% vs 11.2%), driven by fewer asthma-related hospitalisations. Treatment discontinuation due to adverse events was low (2.4% vs 3.1%). The most common adverse events were mild upper respiratory tract infections and injection site reactions.¹ ² ³</w:t>
      </w:r>
    </w:p>
    <w:p>
      <w:pPr>
        <w:jc w:val="center"/>
      </w:pPr>
      <w:r>
        <w:rPr>
          <w:color w:val="CCCCCC"/>
          <w:sz w:val="16"/>
        </w:rPr>
        <w:t>────────────────────────────────────────────────────────────</w:t>
      </w:r>
    </w:p>
    <w:p>
      <w:pPr>
        <w:pStyle w:val="Heading3"/>
      </w:pPr>
      <w:r>
        <w:rPr>
          <w:color w:val="006B77"/>
        </w:rPr>
        <w:t>Section 3 — Safety overview (centred text) | light background</w:t>
      </w:r>
    </w:p>
    <w:p>
      <w:r>
        <w:rPr>
          <w:b/>
          <w:sz w:val="20"/>
        </w:rPr>
        <w:t xml:space="preserve">Block: </w:t>
      </w:r>
      <w:r>
        <w:rPr>
          <w:sz w:val="20"/>
        </w:rPr>
        <w:t>introduction</w:t>
      </w:r>
    </w:p>
    <w:p>
      <w:r>
        <w:rPr>
          <w:b/>
        </w:rPr>
        <w:t xml:space="preserve">Section metadata: </w:t>
      </w:r>
      <w:r>
        <w:rPr>
          <w:color w:val="666666"/>
        </w:rPr>
        <w:t>Style: light</w:t>
      </w:r>
    </w:p>
    <w:p>
      <w:r>
        <w:rPr>
          <w:b/>
          <w:sz w:val="20"/>
        </w:rPr>
        <w:t xml:space="preserve">Heading: </w:t>
      </w:r>
      <w:r>
        <w:rPr>
          <w:sz w:val="20"/>
        </w:rPr>
        <w:t>Safety profile across the LUMINOS programme</w:t>
      </w:r>
    </w:p>
    <w:p>
      <w:r>
        <w:rPr>
          <w:b/>
        </w:rPr>
        <w:t xml:space="preserve">Body text: </w:t>
      </w:r>
      <w:r>
        <w:t>Across pooled LUMINOS data (N=732 TRELUXIA), the adverse event profile was dominated by common respiratory infections and mild injection site reactions. No clinically significant immunosuppression, malignancy signal, or cardiovascular safety concerns were identified. Anti-drug antibodies were detected in 5.1% of patients but had no impact on efficacy or safety. Anaphylaxis was rare (0.4%) and all events resolved with standard management.¹ ² ³</w:t>
      </w:r>
    </w:p>
    <w:p>
      <w:pPr>
        <w:jc w:val="center"/>
      </w:pPr>
      <w:r>
        <w:rPr>
          <w:color w:val="CCCCCC"/>
          <w:sz w:val="16"/>
        </w:rPr>
        <w:t>────────────────────────────────────────────────────────────</w:t>
      </w:r>
    </w:p>
    <w:p>
      <w:pPr>
        <w:pStyle w:val="Heading3"/>
      </w:pPr>
      <w:r>
        <w:rPr>
          <w:color w:val="006B77"/>
        </w:rPr>
        <w:t>Section 4 — Adverse events table | light background</w:t>
      </w:r>
    </w:p>
    <w:p>
      <w:r>
        <w:rPr>
          <w:b/>
          <w:sz w:val="20"/>
        </w:rPr>
        <w:t xml:space="preserve">Block: </w:t>
      </w:r>
      <w:r>
        <w:rPr>
          <w:sz w:val="20"/>
        </w:rPr>
        <w:t>table-data</w:t>
      </w:r>
    </w:p>
    <w:p>
      <w:r>
        <w:rPr>
          <w:b/>
        </w:rPr>
        <w:t xml:space="preserve">Section metadata: </w:t>
      </w:r>
      <w:r>
        <w:rPr>
          <w:color w:val="666666"/>
        </w:rPr>
        <w:t>Style: light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830051"/>
          </w:tcPr>
          <w:p>
            <w:r/>
            <w:r>
              <w:rPr>
                <w:b/>
                <w:color w:val="FFFFFF"/>
                <w:sz w:val="18"/>
              </w:rPr>
              <w:t>Adverse event</w:t>
            </w:r>
          </w:p>
        </w:tc>
        <w:tc>
          <w:tcPr>
            <w:tcW w:type="dxa" w:w="3024"/>
            <w:shd w:fill="830051"/>
          </w:tcPr>
          <w:p>
            <w:r/>
            <w:r>
              <w:rPr>
                <w:b/>
                <w:color w:val="FFFFFF"/>
                <w:sz w:val="18"/>
              </w:rPr>
              <w:t>TRELUXIA (%)</w:t>
            </w:r>
          </w:p>
        </w:tc>
        <w:tc>
          <w:tcPr>
            <w:tcW w:type="dxa" w:w="3024"/>
            <w:shd w:fill="830051"/>
          </w:tcPr>
          <w:p>
            <w:r/>
            <w:r>
              <w:rPr>
                <w:b/>
                <w:color w:val="FFFFFF"/>
                <w:sz w:val="18"/>
              </w:rPr>
              <w:t>Placebo (%)</w:t>
            </w:r>
          </w:p>
        </w:tc>
      </w:tr>
      <w:tr>
        <w:tc>
          <w:tcPr>
            <w:tcW w:type="dxa" w:w="3024"/>
          </w:tcPr>
          <w:p>
            <w:r/>
            <w:r>
              <w:rPr>
                <w:color w:val="363B3B"/>
                <w:sz w:val="18"/>
              </w:rPr>
              <w:t>Nasopharyngitis</w:t>
            </w:r>
          </w:p>
        </w:tc>
        <w:tc>
          <w:tcPr>
            <w:tcW w:type="dxa" w:w="3024"/>
          </w:tcPr>
          <w:p>
            <w:r/>
            <w:r>
              <w:rPr>
                <w:color w:val="363B3B"/>
                <w:sz w:val="18"/>
              </w:rPr>
              <w:t>10.4</w:t>
            </w:r>
          </w:p>
        </w:tc>
        <w:tc>
          <w:tcPr>
            <w:tcW w:type="dxa" w:w="3024"/>
          </w:tcPr>
          <w:p>
            <w:r/>
            <w:r>
              <w:rPr>
                <w:color w:val="363B3B"/>
                <w:sz w:val="18"/>
              </w:rPr>
              <w:t>9.8</w:t>
            </w:r>
          </w:p>
        </w:tc>
      </w:tr>
      <w:tr>
        <w:tc>
          <w:tcPr>
            <w:tcW w:type="dxa" w:w="3024"/>
            <w:shd w:fill="F8F8F8"/>
          </w:tcPr>
          <w:p>
            <w:r/>
            <w:r>
              <w:rPr>
                <w:color w:val="363B3B"/>
                <w:sz w:val="18"/>
              </w:rPr>
              <w:t>Upper respiratory tract infection</w:t>
            </w:r>
          </w:p>
        </w:tc>
        <w:tc>
          <w:tcPr>
            <w:tcW w:type="dxa" w:w="3024"/>
            <w:shd w:fill="F8F8F8"/>
          </w:tcPr>
          <w:p>
            <w:r/>
            <w:r>
              <w:rPr>
                <w:color w:val="363B3B"/>
                <w:sz w:val="18"/>
              </w:rPr>
              <w:t>8.1</w:t>
            </w:r>
          </w:p>
        </w:tc>
        <w:tc>
          <w:tcPr>
            <w:tcW w:type="dxa" w:w="3024"/>
            <w:shd w:fill="F8F8F8"/>
          </w:tcPr>
          <w:p>
            <w:r/>
            <w:r>
              <w:rPr>
                <w:color w:val="363B3B"/>
                <w:sz w:val="18"/>
              </w:rPr>
              <w:t>7.4</w:t>
            </w:r>
          </w:p>
        </w:tc>
      </w:tr>
      <w:tr>
        <w:tc>
          <w:tcPr>
            <w:tcW w:type="dxa" w:w="3024"/>
          </w:tcPr>
          <w:p>
            <w:r/>
            <w:r>
              <w:rPr>
                <w:color w:val="363B3B"/>
                <w:sz w:val="18"/>
              </w:rPr>
              <w:t>Headache</w:t>
            </w:r>
          </w:p>
        </w:tc>
        <w:tc>
          <w:tcPr>
            <w:tcW w:type="dxa" w:w="3024"/>
          </w:tcPr>
          <w:p>
            <w:r/>
            <w:r>
              <w:rPr>
                <w:color w:val="363B3B"/>
                <w:sz w:val="18"/>
              </w:rPr>
              <w:t>6.7</w:t>
            </w:r>
          </w:p>
        </w:tc>
        <w:tc>
          <w:tcPr>
            <w:tcW w:type="dxa" w:w="3024"/>
          </w:tcPr>
          <w:p>
            <w:r/>
            <w:r>
              <w:rPr>
                <w:color w:val="363B3B"/>
                <w:sz w:val="18"/>
              </w:rPr>
              <w:t>5.2</w:t>
            </w:r>
          </w:p>
        </w:tc>
      </w:tr>
      <w:tr>
        <w:tc>
          <w:tcPr>
            <w:tcW w:type="dxa" w:w="3024"/>
            <w:shd w:fill="F8F8F8"/>
          </w:tcPr>
          <w:p>
            <w:r/>
            <w:r>
              <w:rPr>
                <w:color w:val="363B3B"/>
                <w:sz w:val="18"/>
              </w:rPr>
              <w:t>Injection site reactions</w:t>
            </w:r>
          </w:p>
        </w:tc>
        <w:tc>
          <w:tcPr>
            <w:tcW w:type="dxa" w:w="3024"/>
            <w:shd w:fill="F8F8F8"/>
          </w:tcPr>
          <w:p>
            <w:r/>
            <w:r>
              <w:rPr>
                <w:color w:val="363B3B"/>
                <w:sz w:val="18"/>
              </w:rPr>
              <w:t>4.6</w:t>
            </w:r>
          </w:p>
        </w:tc>
        <w:tc>
          <w:tcPr>
            <w:tcW w:type="dxa" w:w="3024"/>
            <w:shd w:fill="F8F8F8"/>
          </w:tcPr>
          <w:p>
            <w:r/>
            <w:r>
              <w:rPr>
                <w:color w:val="363B3B"/>
                <w:sz w:val="18"/>
              </w:rPr>
              <w:t>2.8</w:t>
            </w:r>
          </w:p>
        </w:tc>
      </w:tr>
      <w:tr>
        <w:tc>
          <w:tcPr>
            <w:tcW w:type="dxa" w:w="3024"/>
          </w:tcPr>
          <w:p>
            <w:r/>
            <w:r>
              <w:rPr>
                <w:color w:val="363B3B"/>
                <w:sz w:val="18"/>
              </w:rPr>
              <w:t>Arthralgia</w:t>
            </w:r>
          </w:p>
        </w:tc>
        <w:tc>
          <w:tcPr>
            <w:tcW w:type="dxa" w:w="3024"/>
          </w:tcPr>
          <w:p>
            <w:r/>
            <w:r>
              <w:rPr>
                <w:color w:val="363B3B"/>
                <w:sz w:val="18"/>
              </w:rPr>
              <w:t>3.8</w:t>
            </w:r>
          </w:p>
        </w:tc>
        <w:tc>
          <w:tcPr>
            <w:tcW w:type="dxa" w:w="3024"/>
          </w:tcPr>
          <w:p>
            <w:r/>
            <w:r>
              <w:rPr>
                <w:color w:val="363B3B"/>
                <w:sz w:val="18"/>
              </w:rPr>
              <w:t>3.1</w:t>
            </w:r>
          </w:p>
        </w:tc>
      </w:tr>
      <w:tr>
        <w:tc>
          <w:tcPr>
            <w:tcW w:type="dxa" w:w="3024"/>
            <w:shd w:fill="F8F8F8"/>
          </w:tcPr>
          <w:p>
            <w:r/>
            <w:r>
              <w:rPr>
                <w:color w:val="363B3B"/>
                <w:sz w:val="18"/>
              </w:rPr>
              <w:t>Back pain</w:t>
            </w:r>
          </w:p>
        </w:tc>
        <w:tc>
          <w:tcPr>
            <w:tcW w:type="dxa" w:w="3024"/>
            <w:shd w:fill="F8F8F8"/>
          </w:tcPr>
          <w:p>
            <w:r/>
            <w:r>
              <w:rPr>
                <w:color w:val="363B3B"/>
                <w:sz w:val="18"/>
              </w:rPr>
              <w:t>3.2</w:t>
            </w:r>
          </w:p>
        </w:tc>
        <w:tc>
          <w:tcPr>
            <w:tcW w:type="dxa" w:w="3024"/>
            <w:shd w:fill="F8F8F8"/>
          </w:tcPr>
          <w:p>
            <w:r/>
            <w:r>
              <w:rPr>
                <w:color w:val="363B3B"/>
                <w:sz w:val="18"/>
              </w:rPr>
              <w:t>2.6</w:t>
            </w:r>
          </w:p>
        </w:tc>
      </w:tr>
      <w:tr>
        <w:tc>
          <w:tcPr>
            <w:tcW w:type="dxa" w:w="3024"/>
          </w:tcPr>
          <w:p>
            <w:r/>
            <w:r>
              <w:rPr>
                <w:color w:val="363B3B"/>
                <w:sz w:val="18"/>
              </w:rPr>
              <w:t>Pharyngitis</w:t>
            </w:r>
          </w:p>
        </w:tc>
        <w:tc>
          <w:tcPr>
            <w:tcW w:type="dxa" w:w="3024"/>
          </w:tcPr>
          <w:p>
            <w:r/>
            <w:r>
              <w:rPr>
                <w:color w:val="363B3B"/>
                <w:sz w:val="18"/>
              </w:rPr>
              <w:t>2.9</w:t>
            </w:r>
          </w:p>
        </w:tc>
        <w:tc>
          <w:tcPr>
            <w:tcW w:type="dxa" w:w="3024"/>
          </w:tcPr>
          <w:p>
            <w:r/>
            <w:r>
              <w:rPr>
                <w:color w:val="363B3B"/>
                <w:sz w:val="18"/>
              </w:rPr>
              <w:t>2.5</w:t>
            </w:r>
          </w:p>
        </w:tc>
      </w:tr>
      <w:tr>
        <w:tc>
          <w:tcPr>
            <w:tcW w:type="dxa" w:w="3024"/>
            <w:shd w:fill="F8F8F8"/>
          </w:tcPr>
          <w:p>
            <w:r/>
            <w:r>
              <w:rPr>
                <w:color w:val="363B3B"/>
                <w:sz w:val="18"/>
              </w:rPr>
              <w:t>Fatigue</w:t>
            </w:r>
          </w:p>
        </w:tc>
        <w:tc>
          <w:tcPr>
            <w:tcW w:type="dxa" w:w="3024"/>
            <w:shd w:fill="F8F8F8"/>
          </w:tcPr>
          <w:p>
            <w:r/>
            <w:r>
              <w:rPr>
                <w:color w:val="363B3B"/>
                <w:sz w:val="18"/>
              </w:rPr>
              <w:t>2.4</w:t>
            </w:r>
          </w:p>
        </w:tc>
        <w:tc>
          <w:tcPr>
            <w:tcW w:type="dxa" w:w="3024"/>
            <w:shd w:fill="F8F8F8"/>
          </w:tcPr>
          <w:p>
            <w:r/>
            <w:r>
              <w:rPr>
                <w:color w:val="363B3B"/>
                <w:sz w:val="18"/>
              </w:rPr>
              <w:t>1.9</w:t>
            </w:r>
          </w:p>
        </w:tc>
      </w:tr>
    </w:tbl>
    <w:p>
      <w:pPr>
        <w:jc w:val="center"/>
      </w:pPr>
      <w:r>
        <w:rPr>
          <w:color w:val="CCCCCC"/>
          <w:sz w:val="16"/>
        </w:rPr>
        <w:t>────────────────────────────────────────────────────────────</w:t>
      </w:r>
    </w:p>
    <w:p>
      <w:pPr>
        <w:pStyle w:val="Heading3"/>
      </w:pPr>
      <w:r>
        <w:rPr>
          <w:color w:val="006B77"/>
        </w:rPr>
        <w:t>Section 5 — Key safety consideration cards (equal columns)</w:t>
      </w:r>
    </w:p>
    <w:p>
      <w:r>
        <w:rPr>
          <w:b/>
          <w:sz w:val="20"/>
        </w:rPr>
        <w:t xml:space="preserve">Block: </w:t>
      </w:r>
      <w:r>
        <w:rPr>
          <w:sz w:val="20"/>
        </w:rPr>
        <w:t>cards-teaser</w:t>
      </w:r>
    </w:p>
    <w:p/>
    <w:p>
      <w:pPr>
        <w:jc w:val="center"/>
      </w:pPr>
      <w:r>
        <w:drawing>
          <wp:inline xmlns:a="http://schemas.openxmlformats.org/drawingml/2006/main" xmlns:pic="http://schemas.openxmlformats.org/drawingml/2006/picture">
            <wp:extent cx="2743200" cy="2048256"/>
            <wp:docPr id="9" name="Picture 9"/>
            <wp:cNvGraphicFramePr>
              <a:graphicFrameLocks noChangeAspect="1"/>
            </wp:cNvGraphicFramePr>
            <a:graphic>
              <a:graphicData uri="http://schemas.openxmlformats.org/drawingml/2006/picture">
                <pic:pic>
                  <pic:nvPicPr>
                    <pic:cNvPr id="0" name="card-isr.jpeg"/>
                    <pic:cNvPicPr/>
                  </pic:nvPicPr>
                  <pic:blipFill>
                    <a:blip r:embed="rId17"/>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https://treluxia-images.pages.dev/card-isr.jpeg</w:t>
      </w:r>
    </w:p>
    <w:p>
      <w:pPr>
        <w:jc w:val="center"/>
      </w:pPr>
      <w:r>
        <w:rPr>
          <w:i/>
          <w:color w:val="666666"/>
          <w:sz w:val="16"/>
        </w:rPr>
        <w:t>Usage: Safety — injection site reactions card</w:t>
      </w:r>
    </w:p>
    <w:p>
      <w:r>
        <w:rPr>
          <w:b/>
          <w:sz w:val="20"/>
        </w:rPr>
        <w:t xml:space="preserve">Card heading: </w:t>
      </w:r>
      <w:r>
        <w:rPr>
          <w:sz w:val="20"/>
        </w:rPr>
        <w:t>Injection site reactions</w:t>
      </w:r>
    </w:p>
    <w:p>
      <w:r>
        <w:rPr>
          <w:b/>
        </w:rPr>
        <w:t xml:space="preserve">Card body: </w:t>
      </w:r>
      <w:r>
        <w:t>Injection site reactions occurred in 4.6% of TRELUXIA-treated patients vs 2.8% with placebo. The most common were erythema, pain, and swelling. All ISRs were mild to moderate in severity. No injection site reaction led to treatment discontinuation.³</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10" name="Picture 10"/>
            <wp:cNvGraphicFramePr>
              <a:graphicFrameLocks noChangeAspect="1"/>
            </wp:cNvGraphicFramePr>
            <a:graphic>
              <a:graphicData uri="http://schemas.openxmlformats.org/drawingml/2006/picture">
                <pic:pic>
                  <pic:nvPicPr>
                    <pic:cNvPr id="0" name="card-anaphylaxis.jpeg"/>
                    <pic:cNvPicPr/>
                  </pic:nvPicPr>
                  <pic:blipFill>
                    <a:blip r:embed="rId18"/>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https://treluxia-images.pages.dev/card-anaphylaxis.jpeg</w:t>
      </w:r>
    </w:p>
    <w:p>
      <w:pPr>
        <w:jc w:val="center"/>
      </w:pPr>
      <w:r>
        <w:rPr>
          <w:i/>
          <w:color w:val="666666"/>
          <w:sz w:val="16"/>
        </w:rPr>
        <w:t>Usage: Safety — anaphylaxis card</w:t>
      </w:r>
    </w:p>
    <w:p>
      <w:r>
        <w:rPr>
          <w:b/>
          <w:sz w:val="20"/>
        </w:rPr>
        <w:t xml:space="preserve">Card heading: </w:t>
      </w:r>
      <w:r>
        <w:rPr>
          <w:sz w:val="20"/>
        </w:rPr>
        <w:t>Anaphylaxis and hypersensitivity</w:t>
      </w:r>
    </w:p>
    <w:p>
      <w:r>
        <w:rPr>
          <w:b/>
        </w:rPr>
        <w:t xml:space="preserve">Card body: </w:t>
      </w:r>
      <w:r>
        <w:t>Anaphylaxis was reported in 3 patients (0.4%) receiving TRELUXIA. All events occurred within 24 hours of injection and resolved with standard treatment. The first 3 doses should be administered under healthcare professional supervision. Patients should carry an adrenaline auto-injector for the duration of treatment.³</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11" name="Picture 11"/>
            <wp:cNvGraphicFramePr>
              <a:graphicFrameLocks noChangeAspect="1"/>
            </wp:cNvGraphicFramePr>
            <a:graphic>
              <a:graphicData uri="http://schemas.openxmlformats.org/drawingml/2006/picture">
                <pic:pic>
                  <pic:nvPicPr>
                    <pic:cNvPr id="0" name="card-infections.jpeg"/>
                    <pic:cNvPicPr/>
                  </pic:nvPicPr>
                  <pic:blipFill>
                    <a:blip r:embed="rId19"/>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https://treluxia-images.pages.dev/card-infections.jpeg</w:t>
      </w:r>
    </w:p>
    <w:p>
      <w:pPr>
        <w:jc w:val="center"/>
      </w:pPr>
      <w:r>
        <w:rPr>
          <w:i/>
          <w:color w:val="666666"/>
          <w:sz w:val="16"/>
        </w:rPr>
        <w:t>Usage: Safety — infections card</w:t>
      </w:r>
    </w:p>
    <w:p>
      <w:r>
        <w:rPr>
          <w:b/>
          <w:sz w:val="20"/>
        </w:rPr>
        <w:t xml:space="preserve">Card heading: </w:t>
      </w:r>
      <w:r>
        <w:rPr>
          <w:sz w:val="20"/>
        </w:rPr>
        <w:t>Infections and immunogenicity</w:t>
      </w:r>
    </w:p>
    <w:p>
      <w:r>
        <w:rPr>
          <w:b/>
        </w:rPr>
        <w:t xml:space="preserve">Card body: </w:t>
      </w:r>
      <w:r>
        <w:t>Upper respiratory tract infections were the most common adverse events, occurring at similar rates in TRELUXIA and placebo groups. No clinically significant immunosuppression was observed. Anti-drug antibodies were detected in 5.1% but had no impact on efficacy, safety, or pharmacokinetics.¹ ³</w:t>
      </w:r>
    </w:p>
    <w:p>
      <w:pPr>
        <w:jc w:val="center"/>
      </w:pPr>
      <w:r>
        <w:rPr>
          <w:color w:val="CCCCCC"/>
          <w:sz w:val="16"/>
        </w:rPr>
        <w:t>────────────────────────────────────────────────────────────</w:t>
      </w:r>
    </w:p>
    <w:p>
      <w:pPr>
        <w:pStyle w:val="Heading3"/>
      </w:pPr>
      <w:r>
        <w:rPr>
          <w:color w:val="006B77"/>
        </w:rPr>
        <w:t>Section 6 — Special populations (two-column: image left, text right) | highlight background</w:t>
      </w:r>
    </w:p>
    <w:p>
      <w:r>
        <w:rPr>
          <w:b/>
          <w:sz w:val="20"/>
        </w:rPr>
        <w:t xml:space="preserve">Block: </w:t>
      </w:r>
      <w:r>
        <w:rPr>
          <w:sz w:val="20"/>
        </w:rPr>
        <w:t>columns-teaser</w:t>
      </w:r>
    </w:p>
    <w:p>
      <w:r>
        <w:rPr>
          <w:b/>
        </w:rPr>
        <w:t xml:space="preserve">Section metadata: </w:t>
      </w:r>
      <w:r>
        <w:rPr>
          <w:color w:val="666666"/>
        </w:rPr>
        <w:t>Style: highlight</w:t>
      </w:r>
    </w:p>
    <w:p/>
    <w:p>
      <w:pPr>
        <w:jc w:val="center"/>
      </w:pPr>
      <w:r>
        <w:drawing>
          <wp:inline xmlns:a="http://schemas.openxmlformats.org/drawingml/2006/main" xmlns:pic="http://schemas.openxmlformats.org/drawingml/2006/picture">
            <wp:extent cx="3200400" cy="2389632"/>
            <wp:docPr id="12" name="Picture 12"/>
            <wp:cNvGraphicFramePr>
              <a:graphicFrameLocks noChangeAspect="1"/>
            </wp:cNvGraphicFramePr>
            <a:graphic>
              <a:graphicData uri="http://schemas.openxmlformats.org/drawingml/2006/picture">
                <pic:pic>
                  <pic:nvPicPr>
                    <pic:cNvPr id="0" name="columns-special-pops.jpeg"/>
                    <pic:cNvPicPr/>
                  </pic:nvPicPr>
                  <pic:blipFill>
                    <a:blip r:embed="rId20"/>
                    <a:stretch>
                      <a:fillRect/>
                    </a:stretch>
                  </pic:blipFill>
                  <pic:spPr>
                    <a:xfrm>
                      <a:off x="0" y="0"/>
                      <a:ext cx="3200400" cy="2389632"/>
                    </a:xfrm>
                    <a:prstGeom prst="rect"/>
                  </pic:spPr>
                </pic:pic>
              </a:graphicData>
            </a:graphic>
          </wp:inline>
        </w:drawing>
      </w:r>
    </w:p>
    <w:p>
      <w:pPr>
        <w:jc w:val="center"/>
      </w:pPr>
      <w:r>
        <w:rPr>
          <w:color w:val="005599"/>
          <w:sz w:val="16"/>
          <w:u w:val="single"/>
        </w:rPr>
        <w:t>https://treluxia-images.pages.dev/columns-special-pops.jpeg</w:t>
      </w:r>
    </w:p>
    <w:p>
      <w:pPr>
        <w:jc w:val="center"/>
      </w:pPr>
      <w:r>
        <w:rPr>
          <w:i/>
          <w:color w:val="666666"/>
          <w:sz w:val="16"/>
        </w:rPr>
        <w:t>Usage: Safety — special populations</w:t>
      </w:r>
    </w:p>
    <w:p>
      <w:r>
        <w:rPr>
          <w:b/>
          <w:sz w:val="20"/>
        </w:rPr>
        <w:t xml:space="preserve">Heading: </w:t>
      </w:r>
      <w:r>
        <w:rPr>
          <w:sz w:val="20"/>
        </w:rPr>
        <w:t>Special populations</w:t>
      </w:r>
    </w:p>
    <w:p>
      <w:r>
        <w:rPr>
          <w:b/>
        </w:rPr>
        <w:t xml:space="preserve">Body text: </w:t>
      </w:r>
      <w:r>
        <w:t>Adolescents (12–17 years): Same dose as adults (210 mg Q4W). In LUMINOS-1, 63 adolescents received TRELUXIA with consistent efficacy and safety.³</w:t>
        <w:br/>
        <w:br/>
        <w:t>Elderly patients: No dose adjustment required in patients aged ≥65 years. 11% of LUMINOS-1 patients were ≥65 years.³</w:t>
        <w:br/>
        <w:br/>
        <w:t>Pregnancy and fertility: TRELUXIA should only be used during pregnancy if the potential benefit justifies the potential risk to the foetus. Human IgG antibodies cross the placental barrier.³</w:t>
        <w:br/>
        <w:br/>
        <w:t>Renal/hepatic impairment: No dose adjustment for mild to moderate impairment. Not studied in severe impairment.³</w:t>
      </w:r>
    </w:p>
    <w:p>
      <w:pPr>
        <w:jc w:val="center"/>
      </w:pPr>
      <w:r>
        <w:rPr>
          <w:color w:val="CCCCCC"/>
          <w:sz w:val="16"/>
        </w:rPr>
        <w:t>────────────────────────────────────────────────────────────</w:t>
      </w:r>
    </w:p>
    <w:p>
      <w:pPr>
        <w:pStyle w:val="Heading3"/>
      </w:pPr>
      <w:r>
        <w:rPr>
          <w:color w:val="006B77"/>
        </w:rPr>
        <w:t>Section 7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Safety | TRELUXIA (trelimovab) | Adverse Events &amp; Monitoring | AstraZeneca UK</w:t>
      </w:r>
    </w:p>
    <w:p>
      <w:r>
        <w:rPr>
          <w:b w:val="0"/>
          <w:i w:val="0"/>
          <w:color w:val="363B3B"/>
          <w:sz w:val="20"/>
        </w:rPr>
        <w:t>Description: Review the safety profile of TRELUXIA (trelimovab) including injection site reactions, anaphylaxis risk, infection rates, and special population recommendations for severe asthma.</w:t>
      </w:r>
    </w:p>
    <w:p>
      <w:r>
        <w:br w:type="page"/>
      </w:r>
    </w:p>
    <w:p>
      <w:pPr>
        <w:pStyle w:val="Heading2"/>
      </w:pPr>
      <w:r>
        <w:rPr>
          <w:color w:val="830051"/>
        </w:rPr>
        <w:t>PAGE 4: Dosing &amp; Administration</w:t>
      </w:r>
    </w:p>
    <w:p>
      <w:r>
        <w:rPr>
          <w:b/>
          <w:sz w:val="20"/>
        </w:rPr>
        <w:t xml:space="preserve">URL path: </w:t>
      </w:r>
      <w:r>
        <w:rPr>
          <w:sz w:val="20"/>
        </w:rPr>
        <w:t>/treluxia/dosing</w:t>
      </w:r>
    </w:p>
    <w:p>
      <w:pPr>
        <w:jc w:val="center"/>
      </w:pPr>
      <w:r>
        <w:rPr>
          <w:color w:val="CCCCCC"/>
          <w:sz w:val="16"/>
        </w:rPr>
        <w:t>────────────────────────────────────────────────────────────</w:t>
      </w:r>
    </w:p>
    <w:p>
      <w:pPr>
        <w:pStyle w:val="Heading3"/>
      </w:pPr>
      <w:r>
        <w:rPr>
          <w:color w:val="006B77"/>
        </w:rPr>
        <w:t>Section 1 — Hero (full-width image with text overlay)</w:t>
      </w:r>
    </w:p>
    <w:p>
      <w:r>
        <w:rPr>
          <w:b/>
          <w:sz w:val="20"/>
        </w:rPr>
        <w:t xml:space="preserve">Block: </w:t>
      </w:r>
      <w:r>
        <w:rPr>
          <w:sz w:val="20"/>
        </w:rPr>
        <w:t>hero-teaser</w:t>
      </w:r>
    </w:p>
    <w:p/>
    <w:p>
      <w:pPr>
        <w:jc w:val="center"/>
      </w:pPr>
      <w:r>
        <w:drawing>
          <wp:inline xmlns:a="http://schemas.openxmlformats.org/drawingml/2006/main" xmlns:pic="http://schemas.openxmlformats.org/drawingml/2006/picture">
            <wp:extent cx="5029200" cy="2806995"/>
            <wp:docPr id="13" name="Picture 13"/>
            <wp:cNvGraphicFramePr>
              <a:graphicFrameLocks noChangeAspect="1"/>
            </wp:cNvGraphicFramePr>
            <a:graphic>
              <a:graphicData uri="http://schemas.openxmlformats.org/drawingml/2006/picture">
                <pic:pic>
                  <pic:nvPicPr>
                    <pic:cNvPr id="0" name="hero-dosing.jpeg"/>
                    <pic:cNvPicPr/>
                  </pic:nvPicPr>
                  <pic:blipFill>
                    <a:blip r:embed="rId21"/>
                    <a:stretch>
                      <a:fillRect/>
                    </a:stretch>
                  </pic:blipFill>
                  <pic:spPr>
                    <a:xfrm>
                      <a:off x="0" y="0"/>
                      <a:ext cx="5029200" cy="2806995"/>
                    </a:xfrm>
                    <a:prstGeom prst="rect"/>
                  </pic:spPr>
                </pic:pic>
              </a:graphicData>
            </a:graphic>
          </wp:inline>
        </w:drawing>
      </w:r>
    </w:p>
    <w:p>
      <w:pPr>
        <w:jc w:val="center"/>
      </w:pPr>
      <w:r>
        <w:rPr>
          <w:color w:val="005599"/>
          <w:sz w:val="16"/>
          <w:u w:val="single"/>
        </w:rPr>
        <w:t>https://treluxia-images.pages.dev/hero-dosing.jpeg</w:t>
      </w:r>
    </w:p>
    <w:p>
      <w:pPr>
        <w:jc w:val="center"/>
      </w:pPr>
      <w:r>
        <w:rPr>
          <w:i/>
          <w:color w:val="666666"/>
          <w:sz w:val="16"/>
        </w:rPr>
        <w:t>Usage: Dosing — hero</w:t>
      </w:r>
    </w:p>
    <w:p>
      <w:r>
        <w:rPr>
          <w:b/>
          <w:sz w:val="20"/>
        </w:rPr>
        <w:t xml:space="preserve">Heading: </w:t>
      </w:r>
      <w:r>
        <w:rPr>
          <w:sz w:val="20"/>
        </w:rPr>
        <w:t>Dosing and administration</w:t>
      </w:r>
    </w:p>
    <w:p>
      <w:r>
        <w:rPr>
          <w:b/>
        </w:rPr>
        <w:t xml:space="preserve">Body text: </w:t>
      </w:r>
      <w:r>
        <w:t>TRELUXIA™ (trelimovab) offers a simple once-every-4-weeks subcutaneous injection for adults and adolescents with severe asthma, with the option for self-administration after initial supervised doses.³</w:t>
      </w:r>
    </w:p>
    <w:p>
      <w:pPr>
        <w:jc w:val="center"/>
      </w:pPr>
      <w:r>
        <w:rPr>
          <w:color w:val="CCCCCC"/>
          <w:sz w:val="16"/>
        </w:rPr>
        <w:t>────────────────────────────────────────────────────────────</w:t>
      </w:r>
    </w:p>
    <w:p>
      <w:pPr>
        <w:pStyle w:val="Heading3"/>
      </w:pPr>
      <w:r>
        <w:rPr>
          <w:color w:val="006B77"/>
        </w:rPr>
        <w:t>Section 2 — Dosing regimen (two-column) | light background</w:t>
      </w:r>
    </w:p>
    <w:p>
      <w:r>
        <w:rPr>
          <w:b/>
          <w:sz w:val="20"/>
        </w:rPr>
        <w:t xml:space="preserve">Block: </w:t>
      </w:r>
      <w:r>
        <w:rPr>
          <w:sz w:val="20"/>
        </w:rPr>
        <w:t>columns-teaser</w:t>
      </w:r>
    </w:p>
    <w:p>
      <w:r>
        <w:rPr>
          <w:b/>
        </w:rPr>
        <w:t xml:space="preserve">Section metadata: </w:t>
      </w:r>
      <w:r>
        <w:rPr>
          <w:color w:val="666666"/>
        </w:rPr>
        <w:t>Style: light</w:t>
      </w:r>
    </w:p>
    <w:p/>
    <w:p>
      <w:pPr>
        <w:jc w:val="center"/>
      </w:pPr>
      <w:r>
        <w:drawing>
          <wp:inline xmlns:a="http://schemas.openxmlformats.org/drawingml/2006/main" xmlns:pic="http://schemas.openxmlformats.org/drawingml/2006/picture">
            <wp:extent cx="3200400" cy="2389632"/>
            <wp:docPr id="14" name="Picture 14"/>
            <wp:cNvGraphicFramePr>
              <a:graphicFrameLocks noChangeAspect="1"/>
            </wp:cNvGraphicFramePr>
            <a:graphic>
              <a:graphicData uri="http://schemas.openxmlformats.org/drawingml/2006/picture">
                <pic:pic>
                  <pic:nvPicPr>
                    <pic:cNvPr id="0" name="columns-dosing.jpeg"/>
                    <pic:cNvPicPr/>
                  </pic:nvPicPr>
                  <pic:blipFill>
                    <a:blip r:embed="rId22"/>
                    <a:stretch>
                      <a:fillRect/>
                    </a:stretch>
                  </pic:blipFill>
                  <pic:spPr>
                    <a:xfrm>
                      <a:off x="0" y="0"/>
                      <a:ext cx="3200400" cy="2389632"/>
                    </a:xfrm>
                    <a:prstGeom prst="rect"/>
                  </pic:spPr>
                </pic:pic>
              </a:graphicData>
            </a:graphic>
          </wp:inline>
        </w:drawing>
      </w:r>
    </w:p>
    <w:p>
      <w:pPr>
        <w:jc w:val="center"/>
      </w:pPr>
      <w:r>
        <w:rPr>
          <w:color w:val="005599"/>
          <w:sz w:val="16"/>
          <w:u w:val="single"/>
        </w:rPr>
        <w:t>https://treluxia-images.pages.dev/columns-dosing.jpeg</w:t>
      </w:r>
    </w:p>
    <w:p>
      <w:pPr>
        <w:jc w:val="center"/>
      </w:pPr>
      <w:r>
        <w:rPr>
          <w:i/>
          <w:color w:val="666666"/>
          <w:sz w:val="16"/>
        </w:rPr>
        <w:t>Usage: Dosing — regimen</w:t>
      </w:r>
    </w:p>
    <w:p>
      <w:r>
        <w:rPr>
          <w:b/>
          <w:sz w:val="20"/>
        </w:rPr>
        <w:t xml:space="preserve">Heading: </w:t>
      </w:r>
      <w:r>
        <w:rPr>
          <w:sz w:val="20"/>
        </w:rPr>
        <w:t>Simple dosing with no titration required</w:t>
      </w:r>
    </w:p>
    <w:p>
      <w:r>
        <w:rPr>
          <w:b/>
        </w:rPr>
        <w:t xml:space="preserve">Body text: </w:t>
      </w:r>
      <w:r>
        <w:t>Dose: 210 mg subcutaneous injection once every 4 weeks (Q4W).³</w:t>
        <w:br/>
        <w:br/>
        <w:t>No weight-based dosing adjustment required.³</w:t>
        <w:br/>
        <w:br/>
        <w:t>No dose titration required — full therapeutic dose from Day 1.³</w:t>
        <w:br/>
        <w:br/>
        <w:t>Same dose for adults and adolescents aged ≥12 years.³</w:t>
        <w:br/>
        <w:br/>
        <w:t>Available as a pre-filled syringe or pre-filled pen (autoinjector) for patient convenience.³</w:t>
      </w:r>
    </w:p>
    <w:p>
      <w:pPr>
        <w:jc w:val="center"/>
      </w:pPr>
      <w:r>
        <w:rPr>
          <w:color w:val="CCCCCC"/>
          <w:sz w:val="16"/>
        </w:rPr>
        <w:t>────────────────────────────────────────────────────────────</w:t>
      </w:r>
    </w:p>
    <w:p>
      <w:pPr>
        <w:pStyle w:val="Heading3"/>
      </w:pPr>
      <w:r>
        <w:rPr>
          <w:color w:val="006B77"/>
        </w:rPr>
        <w:t>Section 3 — Administration guidance (two-column)</w:t>
      </w:r>
    </w:p>
    <w:p>
      <w:r>
        <w:rPr>
          <w:b/>
          <w:sz w:val="20"/>
        </w:rPr>
        <w:t xml:space="preserve">Block: </w:t>
      </w:r>
      <w:r>
        <w:rPr>
          <w:sz w:val="20"/>
        </w:rPr>
        <w:t>columns-teaser</w:t>
      </w:r>
    </w:p>
    <w:p/>
    <w:p>
      <w:pPr>
        <w:jc w:val="center"/>
      </w:pPr>
      <w:r>
        <w:drawing>
          <wp:inline xmlns:a="http://schemas.openxmlformats.org/drawingml/2006/main" xmlns:pic="http://schemas.openxmlformats.org/drawingml/2006/picture">
            <wp:extent cx="3200400" cy="2389632"/>
            <wp:docPr id="15" name="Picture 15"/>
            <wp:cNvGraphicFramePr>
              <a:graphicFrameLocks noChangeAspect="1"/>
            </wp:cNvGraphicFramePr>
            <a:graphic>
              <a:graphicData uri="http://schemas.openxmlformats.org/drawingml/2006/picture">
                <pic:pic>
                  <pic:nvPicPr>
                    <pic:cNvPr id="0" name="columns-admin.jpeg"/>
                    <pic:cNvPicPr/>
                  </pic:nvPicPr>
                  <pic:blipFill>
                    <a:blip r:embed="rId23"/>
                    <a:stretch>
                      <a:fillRect/>
                    </a:stretch>
                  </pic:blipFill>
                  <pic:spPr>
                    <a:xfrm>
                      <a:off x="0" y="0"/>
                      <a:ext cx="3200400" cy="2389632"/>
                    </a:xfrm>
                    <a:prstGeom prst="rect"/>
                  </pic:spPr>
                </pic:pic>
              </a:graphicData>
            </a:graphic>
          </wp:inline>
        </w:drawing>
      </w:r>
    </w:p>
    <w:p>
      <w:pPr>
        <w:jc w:val="center"/>
      </w:pPr>
      <w:r>
        <w:rPr>
          <w:color w:val="005599"/>
          <w:sz w:val="16"/>
          <w:u w:val="single"/>
        </w:rPr>
        <w:t>https://treluxia-images.pages.dev/columns-admin.jpeg</w:t>
      </w:r>
    </w:p>
    <w:p>
      <w:pPr>
        <w:jc w:val="center"/>
      </w:pPr>
      <w:r>
        <w:rPr>
          <w:i/>
          <w:color w:val="666666"/>
          <w:sz w:val="16"/>
        </w:rPr>
        <w:t>Usage: Dosing — administration</w:t>
      </w:r>
    </w:p>
    <w:p>
      <w:r>
        <w:rPr>
          <w:b/>
          <w:sz w:val="20"/>
        </w:rPr>
        <w:t xml:space="preserve">Heading: </w:t>
      </w:r>
      <w:r>
        <w:rPr>
          <w:sz w:val="20"/>
        </w:rPr>
        <w:t>Administration and self-injection guidance</w:t>
      </w:r>
    </w:p>
    <w:p>
      <w:r>
        <w:rPr>
          <w:b/>
        </w:rPr>
        <w:t xml:space="preserve">Body text: </w:t>
      </w:r>
      <w:r>
        <w:t>The first 3 doses should be administered under the supervision of a healthcare professional. Thereafter, patients or caregivers may self-administer after training in subcutaneous injection technique.³</w:t>
        <w:br/>
        <w:br/>
        <w:t>Injection sites: Thigh, abdomen (excluding 5 cm around the navel), or upper arm (if administered by caregiver). Rotate injection sites between doses.³</w:t>
        <w:br/>
        <w:br/>
        <w:t>Allow TRELUXIA to reach room temperature (approximately 30 minutes) before injection. Do not use external heat sources. Do not shake.³</w:t>
        <w:br/>
        <w:br/>
        <w:t>Do not inject into areas that are tender, bruised, erythematous, or indurated.³</w:t>
      </w:r>
    </w:p>
    <w:p>
      <w:pPr>
        <w:jc w:val="center"/>
      </w:pPr>
      <w:r>
        <w:rPr>
          <w:color w:val="CCCCCC"/>
          <w:sz w:val="16"/>
        </w:rPr>
        <w:t>────────────────────────────────────────────────────────────</w:t>
      </w:r>
    </w:p>
    <w:p>
      <w:pPr>
        <w:pStyle w:val="Heading3"/>
      </w:pPr>
      <w:r>
        <w:rPr>
          <w:color w:val="006B77"/>
        </w:rPr>
        <w:t>Section 4 — Concomitant therapy and corticosteroid management (two-column) | highlight background</w:t>
      </w:r>
    </w:p>
    <w:p>
      <w:r>
        <w:rPr>
          <w:b/>
          <w:sz w:val="20"/>
        </w:rPr>
        <w:t xml:space="preserve">Block: </w:t>
      </w:r>
      <w:r>
        <w:rPr>
          <w:sz w:val="20"/>
        </w:rPr>
        <w:t>columns-teaser</w:t>
      </w:r>
    </w:p>
    <w:p>
      <w:r>
        <w:rPr>
          <w:b/>
        </w:rPr>
        <w:t xml:space="preserve">Section metadata: </w:t>
      </w:r>
      <w:r>
        <w:rPr>
          <w:color w:val="666666"/>
        </w:rPr>
        <w:t>Style: highlight</w:t>
      </w:r>
    </w:p>
    <w:p/>
    <w:p>
      <w:pPr>
        <w:jc w:val="center"/>
      </w:pPr>
      <w:r>
        <w:drawing>
          <wp:inline xmlns:a="http://schemas.openxmlformats.org/drawingml/2006/main" xmlns:pic="http://schemas.openxmlformats.org/drawingml/2006/picture">
            <wp:extent cx="3200400" cy="2389632"/>
            <wp:docPr id="16" name="Picture 16"/>
            <wp:cNvGraphicFramePr>
              <a:graphicFrameLocks noChangeAspect="1"/>
            </wp:cNvGraphicFramePr>
            <a:graphic>
              <a:graphicData uri="http://schemas.openxmlformats.org/drawingml/2006/picture">
                <pic:pic>
                  <pic:nvPicPr>
                    <pic:cNvPr id="0" name="columns-ocs-management.jpeg"/>
                    <pic:cNvPicPr/>
                  </pic:nvPicPr>
                  <pic:blipFill>
                    <a:blip r:embed="rId24"/>
                    <a:stretch>
                      <a:fillRect/>
                    </a:stretch>
                  </pic:blipFill>
                  <pic:spPr>
                    <a:xfrm>
                      <a:off x="0" y="0"/>
                      <a:ext cx="3200400" cy="2389632"/>
                    </a:xfrm>
                    <a:prstGeom prst="rect"/>
                  </pic:spPr>
                </pic:pic>
              </a:graphicData>
            </a:graphic>
          </wp:inline>
        </w:drawing>
      </w:r>
    </w:p>
    <w:p>
      <w:pPr>
        <w:jc w:val="center"/>
      </w:pPr>
      <w:r>
        <w:rPr>
          <w:color w:val="005599"/>
          <w:sz w:val="16"/>
          <w:u w:val="single"/>
        </w:rPr>
        <w:t>https://treluxia-images.pages.dev/columns-ocs-management.jpeg</w:t>
      </w:r>
    </w:p>
    <w:p>
      <w:pPr>
        <w:jc w:val="center"/>
      </w:pPr>
      <w:r>
        <w:rPr>
          <w:i/>
          <w:color w:val="666666"/>
          <w:sz w:val="16"/>
        </w:rPr>
        <w:t>Usage: Dosing — OCS management</w:t>
      </w:r>
    </w:p>
    <w:p>
      <w:r>
        <w:rPr>
          <w:b/>
          <w:sz w:val="20"/>
        </w:rPr>
        <w:t xml:space="preserve">Heading: </w:t>
      </w:r>
      <w:r>
        <w:rPr>
          <w:sz w:val="20"/>
        </w:rPr>
        <w:t>Concomitant therapy and corticosteroid management</w:t>
      </w:r>
    </w:p>
    <w:p>
      <w:r>
        <w:rPr>
          <w:b/>
        </w:rPr>
        <w:t xml:space="preserve">Body text: </w:t>
      </w:r>
      <w:r>
        <w:t>TRELUXIA should be added to existing maintenance asthma therapy. Do not abruptly discontinue inhaled corticosteroids or oral corticosteroids upon initiation.³</w:t>
        <w:br/>
        <w:br/>
        <w:t>For patients receiving maintenance oral corticosteroids, reduction may be considered after at least 12 weeks of TRELUXIA treatment, under physician supervision. Reduce OCS dose gradually (no faster than 2.5 mg prednisolone equivalent per month) while monitoring asthma symptoms and exacerbation frequency.² ³</w:t>
        <w:br/>
        <w:br/>
        <w:t>TRELUXIA may be used alongside ICS, LABA, LTRA, LAMA, theophylline, and oral corticosteroids. No clinically significant drug interactions have been identified.³</w:t>
      </w:r>
    </w:p>
    <w:p>
      <w:pPr>
        <w:jc w:val="center"/>
      </w:pPr>
      <w:r>
        <w:rPr>
          <w:color w:val="CCCCCC"/>
          <w:sz w:val="16"/>
        </w:rPr>
        <w:t>────────────────────────────────────────────────────────────</w:t>
      </w:r>
    </w:p>
    <w:p>
      <w:pPr>
        <w:pStyle w:val="Heading3"/>
      </w:pPr>
      <w:r>
        <w:rPr>
          <w:color w:val="006B77"/>
        </w:rPr>
        <w:t>Section 5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Dosing | TRELUXIA (trelimovab) | Q4W Subcutaneous Injection | AstraZeneca UK</w:t>
      </w:r>
    </w:p>
    <w:p>
      <w:r>
        <w:rPr>
          <w:b w:val="0"/>
          <w:i w:val="0"/>
          <w:color w:val="363B3B"/>
          <w:sz w:val="20"/>
        </w:rPr>
        <w:t>Description: Dosing and administration guidance for TRELUXIA (trelimovab) including injection technique, self-administration training, concomitant therapy, and corticosteroid management in severe asthma.</w:t>
      </w:r>
    </w:p>
    <w:p>
      <w:r>
        <w:br w:type="page"/>
      </w:r>
    </w:p>
    <w:p>
      <w:pPr>
        <w:pStyle w:val="Heading2"/>
      </w:pPr>
      <w:r>
        <w:rPr>
          <w:color w:val="830051"/>
        </w:rPr>
        <w:t>PAGE 5: How TRELUXIA Works</w:t>
      </w:r>
    </w:p>
    <w:p>
      <w:r>
        <w:rPr>
          <w:b/>
          <w:sz w:val="20"/>
        </w:rPr>
        <w:t xml:space="preserve">URL path: </w:t>
      </w:r>
      <w:r>
        <w:rPr>
          <w:sz w:val="20"/>
        </w:rPr>
        <w:t>/treluxia/how-treluxia-works</w:t>
      </w:r>
    </w:p>
    <w:p>
      <w:pPr>
        <w:jc w:val="center"/>
      </w:pPr>
      <w:r>
        <w:rPr>
          <w:color w:val="CCCCCC"/>
          <w:sz w:val="16"/>
        </w:rPr>
        <w:t>────────────────────────────────────────────────────────────</w:t>
      </w:r>
    </w:p>
    <w:p>
      <w:pPr>
        <w:pStyle w:val="Heading3"/>
      </w:pPr>
      <w:r>
        <w:rPr>
          <w:color w:val="006B77"/>
        </w:rPr>
        <w:t>Section 1 — Hero (full-width image with text overlay)</w:t>
      </w:r>
    </w:p>
    <w:p>
      <w:r>
        <w:rPr>
          <w:b/>
          <w:sz w:val="20"/>
        </w:rPr>
        <w:t xml:space="preserve">Block: </w:t>
      </w:r>
      <w:r>
        <w:rPr>
          <w:sz w:val="20"/>
        </w:rPr>
        <w:t>hero-teaser</w:t>
      </w:r>
    </w:p>
    <w:p/>
    <w:p>
      <w:pPr>
        <w:jc w:val="center"/>
      </w:pPr>
      <w:r>
        <w:drawing>
          <wp:inline xmlns:a="http://schemas.openxmlformats.org/drawingml/2006/main" xmlns:pic="http://schemas.openxmlformats.org/drawingml/2006/picture">
            <wp:extent cx="5029200" cy="2806995"/>
            <wp:docPr id="17" name="Picture 17"/>
            <wp:cNvGraphicFramePr>
              <a:graphicFrameLocks noChangeAspect="1"/>
            </wp:cNvGraphicFramePr>
            <a:graphic>
              <a:graphicData uri="http://schemas.openxmlformats.org/drawingml/2006/picture">
                <pic:pic>
                  <pic:nvPicPr>
                    <pic:cNvPr id="0" name="hero-moa.jpeg"/>
                    <pic:cNvPicPr/>
                  </pic:nvPicPr>
                  <pic:blipFill>
                    <a:blip r:embed="rId25"/>
                    <a:stretch>
                      <a:fillRect/>
                    </a:stretch>
                  </pic:blipFill>
                  <pic:spPr>
                    <a:xfrm>
                      <a:off x="0" y="0"/>
                      <a:ext cx="5029200" cy="2806995"/>
                    </a:xfrm>
                    <a:prstGeom prst="rect"/>
                  </pic:spPr>
                </pic:pic>
              </a:graphicData>
            </a:graphic>
          </wp:inline>
        </w:drawing>
      </w:r>
    </w:p>
    <w:p>
      <w:pPr>
        <w:jc w:val="center"/>
      </w:pPr>
      <w:r>
        <w:rPr>
          <w:color w:val="005599"/>
          <w:sz w:val="16"/>
          <w:u w:val="single"/>
        </w:rPr>
        <w:t>https://treluxia-images.pages.dev/hero-moa.jpeg</w:t>
      </w:r>
    </w:p>
    <w:p>
      <w:pPr>
        <w:jc w:val="center"/>
      </w:pPr>
      <w:r>
        <w:rPr>
          <w:i/>
          <w:color w:val="666666"/>
          <w:sz w:val="16"/>
        </w:rPr>
        <w:t>Usage: How TRELUXIA Works — hero</w:t>
      </w:r>
    </w:p>
    <w:p>
      <w:r>
        <w:rPr>
          <w:b/>
          <w:sz w:val="20"/>
        </w:rPr>
        <w:t xml:space="preserve">Heading: </w:t>
      </w:r>
      <w:r>
        <w:rPr>
          <w:sz w:val="20"/>
        </w:rPr>
        <w:t>Upstream control at the source of airway inflammation</w:t>
      </w:r>
    </w:p>
    <w:p>
      <w:r>
        <w:rPr>
          <w:b/>
        </w:rPr>
        <w:t xml:space="preserve">Body text: </w:t>
      </w:r>
      <w:r>
        <w:t>TRELUXIA™ (trelimovab) blocks TSLP, an epithelial cytokine that initiates multiple inflammatory cascades in asthma — providing broad anti-inflammatory control beyond single-pathway biologics.³ ⁵</w:t>
      </w:r>
    </w:p>
    <w:p>
      <w:pPr>
        <w:jc w:val="center"/>
      </w:pPr>
      <w:r>
        <w:rPr>
          <w:color w:val="CCCCCC"/>
          <w:sz w:val="16"/>
        </w:rPr>
        <w:t>────────────────────────────────────────────────────────────</w:t>
      </w:r>
    </w:p>
    <w:p>
      <w:pPr>
        <w:pStyle w:val="Heading3"/>
      </w:pPr>
      <w:r>
        <w:rPr>
          <w:color w:val="006B77"/>
        </w:rPr>
        <w:t>Section 2 — The TSLP pathway (two-column)</w:t>
      </w:r>
    </w:p>
    <w:p>
      <w:r>
        <w:rPr>
          <w:b/>
          <w:sz w:val="20"/>
        </w:rPr>
        <w:t xml:space="preserve">Block: </w:t>
      </w:r>
      <w:r>
        <w:rPr>
          <w:sz w:val="20"/>
        </w:rPr>
        <w:t>columns-teaser</w:t>
      </w:r>
    </w:p>
    <w:p/>
    <w:p>
      <w:pPr>
        <w:jc w:val="center"/>
      </w:pPr>
      <w:r>
        <w:drawing>
          <wp:inline xmlns:a="http://schemas.openxmlformats.org/drawingml/2006/main" xmlns:pic="http://schemas.openxmlformats.org/drawingml/2006/picture">
            <wp:extent cx="3200400" cy="2389632"/>
            <wp:docPr id="18" name="Picture 18"/>
            <wp:cNvGraphicFramePr>
              <a:graphicFrameLocks noChangeAspect="1"/>
            </wp:cNvGraphicFramePr>
            <a:graphic>
              <a:graphicData uri="http://schemas.openxmlformats.org/drawingml/2006/picture">
                <pic:pic>
                  <pic:nvPicPr>
                    <pic:cNvPr id="0" name="columns-tslp-pathway.jpeg"/>
                    <pic:cNvPicPr/>
                  </pic:nvPicPr>
                  <pic:blipFill>
                    <a:blip r:embed="rId26"/>
                    <a:stretch>
                      <a:fillRect/>
                    </a:stretch>
                  </pic:blipFill>
                  <pic:spPr>
                    <a:xfrm>
                      <a:off x="0" y="0"/>
                      <a:ext cx="3200400" cy="2389632"/>
                    </a:xfrm>
                    <a:prstGeom prst="rect"/>
                  </pic:spPr>
                </pic:pic>
              </a:graphicData>
            </a:graphic>
          </wp:inline>
        </w:drawing>
      </w:r>
    </w:p>
    <w:p>
      <w:pPr>
        <w:jc w:val="center"/>
      </w:pPr>
      <w:r>
        <w:rPr>
          <w:color w:val="005599"/>
          <w:sz w:val="16"/>
          <w:u w:val="single"/>
        </w:rPr>
        <w:t>https://treluxia-images.pages.dev/columns-tslp-pathway.jpeg</w:t>
      </w:r>
    </w:p>
    <w:p>
      <w:pPr>
        <w:jc w:val="center"/>
      </w:pPr>
      <w:r>
        <w:rPr>
          <w:i/>
          <w:color w:val="666666"/>
          <w:sz w:val="16"/>
        </w:rPr>
        <w:t>Usage: MoA — TSLP pathway</w:t>
      </w:r>
    </w:p>
    <w:p>
      <w:r>
        <w:rPr>
          <w:b/>
          <w:sz w:val="20"/>
        </w:rPr>
        <w:t xml:space="preserve">Heading: </w:t>
      </w:r>
      <w:r>
        <w:rPr>
          <w:sz w:val="20"/>
        </w:rPr>
        <w:t>TSLP: the upstream driver of severe asthma inflammation</w:t>
      </w:r>
    </w:p>
    <w:p>
      <w:r>
        <w:rPr>
          <w:b/>
        </w:rPr>
        <w:t xml:space="preserve">Body text: </w:t>
      </w:r>
      <w:r>
        <w:t>Thymic stromal lymphopoietin (TSLP) is produced by airway epithelial cells in response to environmental triggers including allergens, viral infections, pollutants, and mechanical injury.⁵</w:t>
        <w:br/>
        <w:br/>
        <w:t>Once released, TSLP activates dendritic cells and innate lymphoid cells (ILC2s), initiating a cascade of downstream inflammatory events: Th2 cell differentiation and IL-4/IL-5/IL-13 production, eosinophil recruitment and activation, IgE class switching and mast cell sensitisation, and structural cell activation driving airway remodelling.⁴ ⁵</w:t>
        <w:br/>
        <w:br/>
        <w:t>Crucially, TSLP also drives non-type 2 inflammatory pathways including mast cell cytokine release and neutrophil-mediated inflammation, making it relevant across the full phenotypic spectrum of severe asthma.⁵</w:t>
      </w:r>
    </w:p>
    <w:p>
      <w:pPr>
        <w:jc w:val="center"/>
      </w:pPr>
      <w:r>
        <w:rPr>
          <w:color w:val="CCCCCC"/>
          <w:sz w:val="16"/>
        </w:rPr>
        <w:t>────────────────────────────────────────────────────────────</w:t>
      </w:r>
    </w:p>
    <w:p>
      <w:pPr>
        <w:pStyle w:val="Heading3"/>
      </w:pPr>
      <w:r>
        <w:rPr>
          <w:color w:val="006B77"/>
        </w:rPr>
        <w:t>Section 3 — TRELUXIA mechanism (two-column) | highlight background</w:t>
      </w:r>
    </w:p>
    <w:p>
      <w:r>
        <w:rPr>
          <w:b/>
          <w:sz w:val="20"/>
        </w:rPr>
        <w:t xml:space="preserve">Block: </w:t>
      </w:r>
      <w:r>
        <w:rPr>
          <w:sz w:val="20"/>
        </w:rPr>
        <w:t>columns-teaser</w:t>
      </w:r>
    </w:p>
    <w:p>
      <w:r>
        <w:rPr>
          <w:b/>
        </w:rPr>
        <w:t xml:space="preserve">Section metadata: </w:t>
      </w:r>
      <w:r>
        <w:rPr>
          <w:color w:val="666666"/>
        </w:rPr>
        <w:t>Style: highlight</w:t>
      </w:r>
    </w:p>
    <w:p/>
    <w:p>
      <w:pPr>
        <w:jc w:val="center"/>
      </w:pPr>
      <w:r>
        <w:drawing>
          <wp:inline xmlns:a="http://schemas.openxmlformats.org/drawingml/2006/main" xmlns:pic="http://schemas.openxmlformats.org/drawingml/2006/picture">
            <wp:extent cx="3200400" cy="2389632"/>
            <wp:docPr id="19" name="Picture 19"/>
            <wp:cNvGraphicFramePr>
              <a:graphicFrameLocks noChangeAspect="1"/>
            </wp:cNvGraphicFramePr>
            <a:graphic>
              <a:graphicData uri="http://schemas.openxmlformats.org/drawingml/2006/picture">
                <pic:pic>
                  <pic:nvPicPr>
                    <pic:cNvPr id="0" name="columns-mechanism.jpeg"/>
                    <pic:cNvPicPr/>
                  </pic:nvPicPr>
                  <pic:blipFill>
                    <a:blip r:embed="rId27"/>
                    <a:stretch>
                      <a:fillRect/>
                    </a:stretch>
                  </pic:blipFill>
                  <pic:spPr>
                    <a:xfrm>
                      <a:off x="0" y="0"/>
                      <a:ext cx="3200400" cy="2389632"/>
                    </a:xfrm>
                    <a:prstGeom prst="rect"/>
                  </pic:spPr>
                </pic:pic>
              </a:graphicData>
            </a:graphic>
          </wp:inline>
        </w:drawing>
      </w:r>
    </w:p>
    <w:p>
      <w:pPr>
        <w:jc w:val="center"/>
      </w:pPr>
      <w:r>
        <w:rPr>
          <w:color w:val="005599"/>
          <w:sz w:val="16"/>
          <w:u w:val="single"/>
        </w:rPr>
        <w:t>https://treluxia-images.pages.dev/columns-mechanism.jpeg</w:t>
      </w:r>
    </w:p>
    <w:p>
      <w:pPr>
        <w:jc w:val="center"/>
      </w:pPr>
      <w:r>
        <w:rPr>
          <w:i/>
          <w:color w:val="666666"/>
          <w:sz w:val="16"/>
        </w:rPr>
        <w:t>Usage: MoA — TRELUXIA mechanism</w:t>
      </w:r>
    </w:p>
    <w:p>
      <w:r>
        <w:rPr>
          <w:b/>
          <w:sz w:val="20"/>
        </w:rPr>
        <w:t xml:space="preserve">Heading: </w:t>
      </w:r>
      <w:r>
        <w:rPr>
          <w:sz w:val="20"/>
        </w:rPr>
        <w:t>How TRELUXIA blocks TSLP signalling</w:t>
      </w:r>
    </w:p>
    <w:p>
      <w:r>
        <w:rPr>
          <w:b/>
        </w:rPr>
        <w:t xml:space="preserve">Body text: </w:t>
      </w:r>
      <w:r>
        <w:t>Trelimovab is a human IgG2λ monoclonal antibody that binds specifically to TSLP, preventing its interaction with the heterodimeric TSLP receptor complex (TSLPR/IL-7Rα) on the surface of immune cells.³</w:t>
        <w:br/>
        <w:br/>
        <w:t>By neutralising TSLP at the top of the inflammatory cascade, trelimovab inhibits the activation of downstream type 2 and non-type 2 pathways simultaneously — reducing eosinophilic inflammation, Th2 cytokine production, IgE synthesis, mast cell activation, and non-eosinophilic inflammatory mechanisms.³ ⁵</w:t>
        <w:br/>
        <w:br/>
        <w:t>This broad upstream mechanism distinguishes TRELUXIA from biologics that target single downstream mediators (IL-5, IL-4/IL-13, IgE), enabling efficacy across all severe asthma phenotypes including those with low eosinophil counts and mixed inflammatory signatures.³</w:t>
      </w:r>
    </w:p>
    <w:p>
      <w:pPr>
        <w:jc w:val="center"/>
      </w:pPr>
      <w:r>
        <w:rPr>
          <w:color w:val="CCCCCC"/>
          <w:sz w:val="16"/>
        </w:rPr>
        <w:t>────────────────────────────────────────────────────────────</w:t>
      </w:r>
    </w:p>
    <w:p>
      <w:pPr>
        <w:pStyle w:val="Heading3"/>
      </w:pPr>
      <w:r>
        <w:rPr>
          <w:color w:val="006B77"/>
        </w:rPr>
        <w:t>Section 4 — Positioning in the treatment pathway (two-column) | light background</w:t>
      </w:r>
    </w:p>
    <w:p>
      <w:r>
        <w:rPr>
          <w:b/>
          <w:sz w:val="20"/>
        </w:rPr>
        <w:t xml:space="preserve">Block: </w:t>
      </w:r>
      <w:r>
        <w:rPr>
          <w:sz w:val="20"/>
        </w:rPr>
        <w:t>columns-teaser</w:t>
      </w:r>
    </w:p>
    <w:p>
      <w:r>
        <w:rPr>
          <w:b/>
        </w:rPr>
        <w:t xml:space="preserve">Section metadata: </w:t>
      </w:r>
      <w:r>
        <w:rPr>
          <w:color w:val="666666"/>
        </w:rPr>
        <w:t>Style: light</w:t>
      </w:r>
    </w:p>
    <w:p/>
    <w:p>
      <w:pPr>
        <w:jc w:val="center"/>
      </w:pPr>
      <w:r>
        <w:drawing>
          <wp:inline xmlns:a="http://schemas.openxmlformats.org/drawingml/2006/main" xmlns:pic="http://schemas.openxmlformats.org/drawingml/2006/picture">
            <wp:extent cx="3200400" cy="2389632"/>
            <wp:docPr id="20" name="Picture 20"/>
            <wp:cNvGraphicFramePr>
              <a:graphicFrameLocks noChangeAspect="1"/>
            </wp:cNvGraphicFramePr>
            <a:graphic>
              <a:graphicData uri="http://schemas.openxmlformats.org/drawingml/2006/picture">
                <pic:pic>
                  <pic:nvPicPr>
                    <pic:cNvPr id="0" name="columns-positioning.jpeg"/>
                    <pic:cNvPicPr/>
                  </pic:nvPicPr>
                  <pic:blipFill>
                    <a:blip r:embed="rId28"/>
                    <a:stretch>
                      <a:fillRect/>
                    </a:stretch>
                  </pic:blipFill>
                  <pic:spPr>
                    <a:xfrm>
                      <a:off x="0" y="0"/>
                      <a:ext cx="3200400" cy="2389632"/>
                    </a:xfrm>
                    <a:prstGeom prst="rect"/>
                  </pic:spPr>
                </pic:pic>
              </a:graphicData>
            </a:graphic>
          </wp:inline>
        </w:drawing>
      </w:r>
    </w:p>
    <w:p>
      <w:pPr>
        <w:jc w:val="center"/>
      </w:pPr>
      <w:r>
        <w:rPr>
          <w:color w:val="005599"/>
          <w:sz w:val="16"/>
          <w:u w:val="single"/>
        </w:rPr>
        <w:t>https://treluxia-images.pages.dev/columns-positioning.jpeg</w:t>
      </w:r>
    </w:p>
    <w:p>
      <w:pPr>
        <w:jc w:val="center"/>
      </w:pPr>
      <w:r>
        <w:rPr>
          <w:i/>
          <w:color w:val="666666"/>
          <w:sz w:val="16"/>
        </w:rPr>
        <w:t>Usage: MoA — treatment positioning</w:t>
      </w:r>
    </w:p>
    <w:p>
      <w:r>
        <w:rPr>
          <w:b/>
          <w:sz w:val="20"/>
        </w:rPr>
        <w:t xml:space="preserve">Heading: </w:t>
      </w:r>
      <w:r>
        <w:rPr>
          <w:sz w:val="20"/>
        </w:rPr>
        <w:t>TRELUXIA in the severe asthma treatment pathway</w:t>
      </w:r>
    </w:p>
    <w:p>
      <w:r>
        <w:rPr>
          <w:b/>
        </w:rPr>
        <w:t xml:space="preserve">Body text: </w:t>
      </w:r>
      <w:r>
        <w:t>Current guidelines recommend biologic therapy for patients with severe asthma that remains uncontrolled despite high-dose ICS plus additional controllers.⁴ Existing biologic options — anti-IL-5/5R, anti-IL-4/13, and anti-IgE — primarily target type 2 inflammatory pathways and require biomarker-based patient selection.⁴</w:t>
        <w:br/>
        <w:br/>
        <w:t>TRELUXIA’s upstream TSLP blockade offers a complementary approach: it is indicated irrespective of inflammatory phenotype, providing a treatment option for patients across the entire severe asthma spectrum — including those who may not be eligible for or who have responded inadequately to existing biologics targeting single downstream pathways.³ ⁴</w:t>
      </w:r>
    </w:p>
    <w:p>
      <w:pPr>
        <w:jc w:val="center"/>
      </w:pPr>
      <w:r>
        <w:rPr>
          <w:color w:val="CCCCCC"/>
          <w:sz w:val="16"/>
        </w:rPr>
        <w:t>────────────────────────────────────────────────────────────</w:t>
      </w:r>
    </w:p>
    <w:p>
      <w:pPr>
        <w:pStyle w:val="Heading3"/>
      </w:pPr>
      <w:r>
        <w:rPr>
          <w:color w:val="006B77"/>
        </w:rPr>
        <w:t>Section 5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How TRELUXIA Works | Anti-TSLP Mechanism | Upstream Asthma Control | AstraZeneca UK</w:t>
      </w:r>
    </w:p>
    <w:p>
      <w:r>
        <w:rPr>
          <w:b w:val="0"/>
          <w:i w:val="0"/>
          <w:color w:val="363B3B"/>
          <w:sz w:val="20"/>
        </w:rPr>
        <w:t>Description: Understand the mechanism of action of TRELUXIA (trelimovab) — an anti-TSLP monoclonal antibody providing broad upstream control of airway inflammation in severe asthma.</w:t>
      </w:r>
    </w:p>
    <w:p>
      <w:r>
        <w:br w:type="page"/>
      </w:r>
    </w:p>
    <w:p>
      <w:pPr>
        <w:pStyle w:val="Heading2"/>
      </w:pPr>
      <w:r>
        <w:rPr>
          <w:color w:val="830051"/>
        </w:rPr>
        <w:t>PAGE 6: Resources</w:t>
      </w:r>
    </w:p>
    <w:p>
      <w:r>
        <w:rPr>
          <w:b/>
          <w:sz w:val="20"/>
        </w:rPr>
        <w:t xml:space="preserve">URL path: </w:t>
      </w:r>
      <w:r>
        <w:rPr>
          <w:sz w:val="20"/>
        </w:rPr>
        <w:t>/treluxia/resources</w:t>
      </w:r>
    </w:p>
    <w:p>
      <w:pPr>
        <w:jc w:val="center"/>
      </w:pPr>
      <w:r>
        <w:rPr>
          <w:color w:val="CCCCCC"/>
          <w:sz w:val="16"/>
        </w:rPr>
        <w:t>────────────────────────────────────────────────────────────</w:t>
      </w:r>
    </w:p>
    <w:p>
      <w:pPr>
        <w:pStyle w:val="Heading3"/>
      </w:pPr>
      <w:r>
        <w:rPr>
          <w:color w:val="006B77"/>
        </w:rPr>
        <w:t>Section 1 — Page header (text only, no image)</w:t>
      </w:r>
    </w:p>
    <w:p>
      <w:r>
        <w:rPr>
          <w:b/>
          <w:sz w:val="20"/>
        </w:rPr>
        <w:t xml:space="preserve">Block: </w:t>
      </w:r>
      <w:r>
        <w:rPr>
          <w:sz w:val="20"/>
        </w:rPr>
        <w:t>title</w:t>
      </w:r>
    </w:p>
    <w:p>
      <w:r>
        <w:rPr>
          <w:b/>
          <w:sz w:val="20"/>
        </w:rPr>
        <w:t xml:space="preserve">Heading: </w:t>
      </w:r>
      <w:r>
        <w:rPr>
          <w:sz w:val="20"/>
        </w:rPr>
        <w:t>Resources for healthcare professionals</w:t>
      </w:r>
    </w:p>
    <w:p>
      <w:r>
        <w:rPr>
          <w:b/>
        </w:rPr>
        <w:t xml:space="preserve">Body text: </w:t>
      </w:r>
      <w:r>
        <w:t>TRELUXIA™ (trelimovab) resources to support clinical decision-making and patient care in severe asthma.</w:t>
      </w:r>
    </w:p>
    <w:p>
      <w:pPr>
        <w:jc w:val="center"/>
      </w:pPr>
      <w:r>
        <w:rPr>
          <w:color w:val="CCCCCC"/>
          <w:sz w:val="16"/>
        </w:rPr>
        <w:t>────────────────────────────────────────────────────────────</w:t>
      </w:r>
    </w:p>
    <w:p>
      <w:pPr>
        <w:pStyle w:val="Heading3"/>
      </w:pPr>
      <w:r>
        <w:rPr>
          <w:color w:val="006B77"/>
        </w:rPr>
        <w:t>Section 2 — Resource cards (equal columns)</w:t>
      </w:r>
    </w:p>
    <w:p>
      <w:r>
        <w:rPr>
          <w:b/>
          <w:sz w:val="20"/>
        </w:rPr>
        <w:t xml:space="preserve">Block: </w:t>
      </w:r>
      <w:r>
        <w:rPr>
          <w:sz w:val="20"/>
        </w:rPr>
        <w:t>cards-teaser</w:t>
      </w:r>
    </w:p>
    <w:p/>
    <w:p>
      <w:pPr>
        <w:jc w:val="center"/>
      </w:pPr>
      <w:r>
        <w:drawing>
          <wp:inline xmlns:a="http://schemas.openxmlformats.org/drawingml/2006/main" xmlns:pic="http://schemas.openxmlformats.org/drawingml/2006/picture">
            <wp:extent cx="2743200" cy="2048256"/>
            <wp:docPr id="21" name="Picture 21"/>
            <wp:cNvGraphicFramePr>
              <a:graphicFrameLocks noChangeAspect="1"/>
            </wp:cNvGraphicFramePr>
            <a:graphic>
              <a:graphicData uri="http://schemas.openxmlformats.org/drawingml/2006/picture">
                <pic:pic>
                  <pic:nvPicPr>
                    <pic:cNvPr id="0" name="card-prescribing-guide.jpeg"/>
                    <pic:cNvPicPr/>
                  </pic:nvPicPr>
                  <pic:blipFill>
                    <a:blip r:embed="rId29"/>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https://treluxia-images.pages.dev/card-prescribing-guide.jpeg</w:t>
      </w:r>
    </w:p>
    <w:p>
      <w:pPr>
        <w:jc w:val="center"/>
      </w:pPr>
      <w:r>
        <w:rPr>
          <w:i/>
          <w:color w:val="666666"/>
          <w:sz w:val="16"/>
        </w:rPr>
        <w:t>Usage: Resources — prescribing guide card</w:t>
      </w:r>
    </w:p>
    <w:p>
      <w:r>
        <w:rPr>
          <w:b/>
          <w:sz w:val="20"/>
        </w:rPr>
        <w:t xml:space="preserve">Card heading: </w:t>
      </w:r>
      <w:r>
        <w:rPr>
          <w:sz w:val="20"/>
        </w:rPr>
        <w:t>Prescribing guide</w:t>
      </w:r>
    </w:p>
    <w:p>
      <w:r>
        <w:rPr>
          <w:b/>
        </w:rPr>
        <w:t xml:space="preserve">Card body: </w:t>
      </w:r>
      <w:r>
        <w:t>Download the TRELUXIA prescribing guide with dosing summary, injection technique checklist, monitoring recommendations, and concomitant therapy guidance for severe asthma in adults and adolescents.</w:t>
      </w:r>
    </w:p>
    <w:p>
      <w:r>
        <w:rPr>
          <w:b/>
          <w:sz w:val="20"/>
        </w:rPr>
        <w:t xml:space="preserve">Card link: </w:t>
      </w:r>
      <w:r>
        <w:rPr>
          <w:sz w:val="20"/>
        </w:rPr>
        <w:t>Download prescribing guide (PDF)</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22" name="Picture 22"/>
            <wp:cNvGraphicFramePr>
              <a:graphicFrameLocks noChangeAspect="1"/>
            </wp:cNvGraphicFramePr>
            <a:graphic>
              <a:graphicData uri="http://schemas.openxmlformats.org/drawingml/2006/picture">
                <pic:pic>
                  <pic:nvPicPr>
                    <pic:cNvPr id="0" name="card-patient-materials.jpeg"/>
                    <pic:cNvPicPr/>
                  </pic:nvPicPr>
                  <pic:blipFill>
                    <a:blip r:embed="rId30"/>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https://treluxia-images.pages.dev/card-patient-materials.jpeg</w:t>
      </w:r>
    </w:p>
    <w:p>
      <w:pPr>
        <w:jc w:val="center"/>
      </w:pPr>
      <w:r>
        <w:rPr>
          <w:i/>
          <w:color w:val="666666"/>
          <w:sz w:val="16"/>
        </w:rPr>
        <w:t>Usage: Resources — patient materials card</w:t>
      </w:r>
    </w:p>
    <w:p>
      <w:r>
        <w:rPr>
          <w:b/>
          <w:sz w:val="20"/>
        </w:rPr>
        <w:t xml:space="preserve">Card heading: </w:t>
      </w:r>
      <w:r>
        <w:rPr>
          <w:sz w:val="20"/>
        </w:rPr>
        <w:t>Patient support materials</w:t>
      </w:r>
    </w:p>
    <w:p>
      <w:r>
        <w:rPr>
          <w:b/>
        </w:rPr>
        <w:t xml:space="preserve">Card body: </w:t>
      </w:r>
      <w:r>
        <w:t>Access patient-facing materials including the TRELUXIA self-injection guide, asthma action plan template, and OCS reduction diary to support shared decision-making and self-management.</w:t>
      </w:r>
    </w:p>
    <w:p>
      <w:r>
        <w:rPr>
          <w:b/>
          <w:sz w:val="20"/>
        </w:rPr>
        <w:t xml:space="preserve">Card link: </w:t>
      </w:r>
      <w:r>
        <w:rPr>
          <w:sz w:val="20"/>
        </w:rPr>
        <w:t>View patient materials</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23" name="Picture 23"/>
            <wp:cNvGraphicFramePr>
              <a:graphicFrameLocks noChangeAspect="1"/>
            </wp:cNvGraphicFramePr>
            <a:graphic>
              <a:graphicData uri="http://schemas.openxmlformats.org/drawingml/2006/picture">
                <pic:pic>
                  <pic:nvPicPr>
                    <pic:cNvPr id="0" name="card-clinical-data.jpeg"/>
                    <pic:cNvPicPr/>
                  </pic:nvPicPr>
                  <pic:blipFill>
                    <a:blip r:embed="rId31"/>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https://treluxia-images.pages.dev/card-clinical-data.jpeg</w:t>
      </w:r>
    </w:p>
    <w:p>
      <w:pPr>
        <w:jc w:val="center"/>
      </w:pPr>
      <w:r>
        <w:rPr>
          <w:i/>
          <w:color w:val="666666"/>
          <w:sz w:val="16"/>
        </w:rPr>
        <w:t>Usage: Resources — clinical data card</w:t>
      </w:r>
    </w:p>
    <w:p>
      <w:r>
        <w:rPr>
          <w:b/>
          <w:sz w:val="20"/>
        </w:rPr>
        <w:t xml:space="preserve">Card heading: </w:t>
      </w:r>
      <w:r>
        <w:rPr>
          <w:sz w:val="20"/>
        </w:rPr>
        <w:t>LUMINOS clinical data summary</w:t>
      </w:r>
    </w:p>
    <w:p>
      <w:r>
        <w:rPr>
          <w:b/>
        </w:rPr>
        <w:t xml:space="preserve">Card body: </w:t>
      </w:r>
      <w:r>
        <w:t>Request the LUMINOS clinical data compendium with full trial results from LUMINOS-1 and LUMINOS-OCS, including subgroup analyses by eosinophil count, atopic status, and prior biologic use.</w:t>
      </w:r>
    </w:p>
    <w:p>
      <w:r>
        <w:rPr>
          <w:b/>
          <w:sz w:val="20"/>
        </w:rPr>
        <w:t xml:space="preserve">Card link: </w:t>
      </w:r>
      <w:r>
        <w:rPr>
          <w:sz w:val="20"/>
        </w:rPr>
        <w:t>Request clinical data pack</w:t>
      </w:r>
    </w:p>
    <w:p>
      <w:pPr>
        <w:jc w:val="center"/>
      </w:pPr>
      <w:r>
        <w:rPr>
          <w:color w:val="CCCCCC"/>
          <w:sz w:val="16"/>
        </w:rPr>
        <w:t>────────────────────────────────────────────────────────────</w:t>
      </w:r>
    </w:p>
    <w:p>
      <w:pPr>
        <w:pStyle w:val="Heading3"/>
      </w:pPr>
      <w:r>
        <w:rPr>
          <w:color w:val="006B77"/>
        </w:rPr>
        <w:t>Section 3 — Medical information contact (two-column) | highlight background</w:t>
      </w:r>
    </w:p>
    <w:p>
      <w:r>
        <w:rPr>
          <w:b/>
          <w:sz w:val="20"/>
        </w:rPr>
        <w:t xml:space="preserve">Block: </w:t>
      </w:r>
      <w:r>
        <w:rPr>
          <w:sz w:val="20"/>
        </w:rPr>
        <w:t>columns-teaser</w:t>
      </w:r>
    </w:p>
    <w:p>
      <w:r>
        <w:rPr>
          <w:b/>
        </w:rPr>
        <w:t xml:space="preserve">Section metadata: </w:t>
      </w:r>
      <w:r>
        <w:rPr>
          <w:color w:val="666666"/>
        </w:rPr>
        <w:t>Style: highlight</w:t>
      </w:r>
    </w:p>
    <w:p/>
    <w:p>
      <w:pPr>
        <w:jc w:val="center"/>
      </w:pPr>
      <w:r>
        <w:drawing>
          <wp:inline xmlns:a="http://schemas.openxmlformats.org/drawingml/2006/main" xmlns:pic="http://schemas.openxmlformats.org/drawingml/2006/picture">
            <wp:extent cx="3200400" cy="2389632"/>
            <wp:docPr id="24" name="Picture 24"/>
            <wp:cNvGraphicFramePr>
              <a:graphicFrameLocks noChangeAspect="1"/>
            </wp:cNvGraphicFramePr>
            <a:graphic>
              <a:graphicData uri="http://schemas.openxmlformats.org/drawingml/2006/picture">
                <pic:pic>
                  <pic:nvPicPr>
                    <pic:cNvPr id="0" name="columns-contact.jpeg"/>
                    <pic:cNvPicPr/>
                  </pic:nvPicPr>
                  <pic:blipFill>
                    <a:blip r:embed="rId32"/>
                    <a:stretch>
                      <a:fillRect/>
                    </a:stretch>
                  </pic:blipFill>
                  <pic:spPr>
                    <a:xfrm>
                      <a:off x="0" y="0"/>
                      <a:ext cx="3200400" cy="2389632"/>
                    </a:xfrm>
                    <a:prstGeom prst="rect"/>
                  </pic:spPr>
                </pic:pic>
              </a:graphicData>
            </a:graphic>
          </wp:inline>
        </w:drawing>
      </w:r>
    </w:p>
    <w:p>
      <w:pPr>
        <w:jc w:val="center"/>
      </w:pPr>
      <w:r>
        <w:rPr>
          <w:color w:val="005599"/>
          <w:sz w:val="16"/>
          <w:u w:val="single"/>
        </w:rPr>
        <w:t>https://treluxia-images.pages.dev/columns-contact.jpeg</w:t>
      </w:r>
    </w:p>
    <w:p>
      <w:pPr>
        <w:jc w:val="center"/>
      </w:pPr>
      <w:r>
        <w:rPr>
          <w:i/>
          <w:color w:val="666666"/>
          <w:sz w:val="16"/>
        </w:rPr>
        <w:t>Usage: Resources — contact</w:t>
      </w:r>
    </w:p>
    <w:p>
      <w:r>
        <w:rPr>
          <w:b/>
          <w:sz w:val="20"/>
        </w:rPr>
        <w:t xml:space="preserve">Heading: </w:t>
      </w:r>
      <w:r>
        <w:rPr>
          <w:sz w:val="20"/>
        </w:rPr>
        <w:t>Medical information and support</w:t>
      </w:r>
    </w:p>
    <w:p>
      <w:r>
        <w:rPr>
          <w:b/>
        </w:rPr>
        <w:t xml:space="preserve">Body text: </w:t>
      </w:r>
      <w:r>
        <w:t>For medical information enquiries about TRELUXIA, contact AstraZeneca Medical Information:</w:t>
        <w:br/>
        <w:br/>
        <w:t>Online: contactazmedical.astrazeneca.com</w:t>
        <w:br/>
        <w:t>Phone: 0800 783 0033</w:t>
        <w:br/>
        <w:t>Email: medinfo.uk@astrazeneca.com</w:t>
        <w:br/>
        <w:br/>
        <w:t>For adverse event reporting, visit www.mhra.gov.uk/yellowcard or contact AstraZeneca directly.</w:t>
      </w:r>
    </w:p>
    <w:p>
      <w:pPr>
        <w:jc w:val="center"/>
      </w:pPr>
      <w:r>
        <w:rPr>
          <w:color w:val="CCCCCC"/>
          <w:sz w:val="16"/>
        </w:rPr>
        <w:t>────────────────────────────────────────────────────────────</w:t>
      </w:r>
    </w:p>
    <w:p>
      <w:pPr>
        <w:pStyle w:val="Heading3"/>
      </w:pPr>
      <w:r>
        <w:rPr>
          <w:color w:val="006B77"/>
        </w:rPr>
        <w:t>Section 4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Resources | TRELUXIA (trelimovab) | HCP Support Materials | AstraZeneca UK</w:t>
      </w:r>
    </w:p>
    <w:p>
      <w:r>
        <w:rPr>
          <w:b w:val="0"/>
          <w:i w:val="0"/>
          <w:color w:val="363B3B"/>
          <w:sz w:val="20"/>
        </w:rPr>
        <w:t>Description: Download prescribing guides, patient support materials, and clinical data summaries for TRELUXIA (trelimovab) in severe asthma. Contact AstraZeneca Medical Information for enquiries.</w:t>
      </w:r>
    </w:p>
    <w:p>
      <w:r>
        <w:br w:type="page"/>
      </w:r>
    </w:p>
    <w:p>
      <w:pPr>
        <w:pStyle w:val="Heading1"/>
      </w:pPr>
      <w:r>
        <w:rPr>
          <w:color w:val="830051"/>
        </w:rPr>
        <w:t>10. Footer Content</w:t>
      </w:r>
    </w:p>
    <w:p>
      <w:r>
        <w:rPr>
          <w:b/>
          <w:sz w:val="20"/>
        </w:rPr>
        <w:t xml:space="preserve">Row 1 — Brand: </w:t>
      </w:r>
      <w:r>
        <w:rPr>
          <w:sz w:val="20"/>
        </w:rPr>
        <w:t>AstraZeneca logo | GB-98204 | DOP: March 2026 | © AstraZeneca 2026. TRELUXIA is a trademark of the AstraZeneca group of companies.</w:t>
      </w:r>
    </w:p>
    <w:p>
      <w:r>
        <w:rPr>
          <w:b/>
          <w:sz w:val="20"/>
        </w:rPr>
        <w:t xml:space="preserve">Row 2 — Site links: </w:t>
      </w:r>
      <w:r>
        <w:rPr>
          <w:sz w:val="20"/>
        </w:rPr>
        <w:t>LUMINOS Data | Safety | Dosing &amp; Administration | How TRELUXIA Works | Resources</w:t>
      </w:r>
    </w:p>
    <w:p>
      <w:r>
        <w:rPr>
          <w:b/>
          <w:sz w:val="20"/>
        </w:rPr>
        <w:t xml:space="preserve">Row 3 — Regulatory links: </w:t>
      </w:r>
      <w:r>
        <w:rPr>
          <w:sz w:val="20"/>
        </w:rPr>
        <w:t>Report Adverse Event (https://yellowcard.mhra.gov.uk/) | Medical Information (https://contactazmedical.astrazeneca.com/) | Privacy Policy (https://www.astrazeneca.co.uk/our-company/privacy-notice.html) | Terms of Use (https://www.astrazeneca.co.uk/our-company/terms-of-use.html) | Accessibility (https://www.astrazeneca.co.uk/accessibility.html)</w:t>
      </w:r>
    </w:p>
    <w:p>
      <w:r>
        <w:rPr>
          <w:b/>
          <w:sz w:val="20"/>
        </w:rPr>
        <w:t xml:space="preserve">Row 4 — Date: </w:t>
      </w:r>
      <w:r>
        <w:rPr>
          <w:sz w:val="20"/>
        </w:rPr>
        <w:t>Date of Preparation: March 2026</w:t>
      </w:r>
    </w:p>
    <w:p>
      <w:pPr>
        <w:jc w:val="center"/>
      </w:pPr>
      <w:r>
        <w:rPr>
          <w:color w:val="CCCCCC"/>
          <w:sz w:val="16"/>
        </w:rPr>
        <w:t>────────────────────────────────────────────────────────────</w:t>
      </w:r>
    </w:p>
    <w:p>
      <w:pPr>
        <w:pStyle w:val="Heading1"/>
      </w:pPr>
      <w:r>
        <w:rPr>
          <w:color w:val="830051"/>
        </w:rPr>
        <w:t>11. Image Assets</w:t>
      </w:r>
    </w:p>
    <w:p>
      <w:r>
        <w:rPr>
          <w:b w:val="0"/>
          <w:i w:val="0"/>
          <w:color w:val="363B3B"/>
          <w:sz w:val="20"/>
        </w:rPr>
        <w:t>All images are generated using the AZ brand image pipeline and deployed to https://treluxia-images.pages.dev/. Each image is shown below with its CDN URL and usage context.</w:t>
      </w:r>
    </w:p>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830051"/>
          </w:tcPr>
          <w:p>
            <w:r/>
            <w:r>
              <w:rPr>
                <w:b/>
                <w:color w:val="FFFFFF"/>
                <w:sz w:val="18"/>
              </w:rPr>
              <w:t>#</w:t>
            </w:r>
          </w:p>
        </w:tc>
        <w:tc>
          <w:tcPr>
            <w:tcW w:type="dxa" w:w="1814"/>
            <w:shd w:fill="830051"/>
          </w:tcPr>
          <w:p>
            <w:r/>
            <w:r>
              <w:rPr>
                <w:b/>
                <w:color w:val="FFFFFF"/>
                <w:sz w:val="18"/>
              </w:rPr>
              <w:t>Filename</w:t>
            </w:r>
          </w:p>
        </w:tc>
        <w:tc>
          <w:tcPr>
            <w:tcW w:type="dxa" w:w="1814"/>
            <w:shd w:fill="830051"/>
          </w:tcPr>
          <w:p>
            <w:r/>
            <w:r>
              <w:rPr>
                <w:b/>
                <w:color w:val="FFFFFF"/>
                <w:sz w:val="18"/>
              </w:rPr>
              <w:t>CDN URL</w:t>
            </w:r>
          </w:p>
        </w:tc>
        <w:tc>
          <w:tcPr>
            <w:tcW w:type="dxa" w:w="1814"/>
            <w:shd w:fill="830051"/>
          </w:tcPr>
          <w:p>
            <w:r/>
            <w:r>
              <w:rPr>
                <w:b/>
                <w:color w:val="FFFFFF"/>
                <w:sz w:val="18"/>
              </w:rPr>
              <w:t>Dimensions</w:t>
            </w:r>
          </w:p>
        </w:tc>
        <w:tc>
          <w:tcPr>
            <w:tcW w:type="dxa" w:w="1814"/>
            <w:shd w:fill="830051"/>
          </w:tcPr>
          <w:p>
            <w:r/>
            <w:r>
              <w:rPr>
                <w:b/>
                <w:color w:val="FFFFFF"/>
                <w:sz w:val="18"/>
              </w:rPr>
              <w:t>Usage</w:t>
            </w:r>
          </w:p>
        </w:tc>
      </w:tr>
      <w:tr>
        <w:tc>
          <w:tcPr>
            <w:tcW w:type="dxa" w:w="1814"/>
          </w:tcPr>
          <w:p>
            <w:r/>
            <w:r>
              <w:rPr>
                <w:color w:val="363B3B"/>
                <w:sz w:val="18"/>
              </w:rPr>
              <w:t>1</w:t>
            </w:r>
          </w:p>
        </w:tc>
        <w:tc>
          <w:tcPr>
            <w:tcW w:type="dxa" w:w="1814"/>
          </w:tcPr>
          <w:p>
            <w:r/>
            <w:r>
              <w:rPr>
                <w:color w:val="363B3B"/>
                <w:sz w:val="18"/>
              </w:rPr>
              <w:t>hero-home.jpeg</w:t>
            </w:r>
          </w:p>
        </w:tc>
        <w:tc>
          <w:tcPr>
            <w:tcW w:type="dxa" w:w="1814"/>
          </w:tcPr>
          <w:p>
            <w:r/>
            <w:r>
              <w:rPr>
                <w:color w:val="363B3B"/>
                <w:sz w:val="18"/>
              </w:rPr>
              <w:t>https://treluxia-images.pages.dev/hero-home.jpeg</w:t>
            </w:r>
          </w:p>
        </w:tc>
        <w:tc>
          <w:tcPr>
            <w:tcW w:type="dxa" w:w="1814"/>
          </w:tcPr>
          <w:p>
            <w:r/>
            <w:r>
              <w:rPr>
                <w:color w:val="363B3B"/>
                <w:sz w:val="18"/>
              </w:rPr>
              <w:t>1440×810</w:t>
            </w:r>
          </w:p>
        </w:tc>
        <w:tc>
          <w:tcPr>
            <w:tcW w:type="dxa" w:w="1814"/>
          </w:tcPr>
          <w:p>
            <w:r/>
            <w:r>
              <w:rPr>
                <w:color w:val="363B3B"/>
                <w:sz w:val="18"/>
              </w:rPr>
              <w:t>Home — hero</w:t>
            </w:r>
          </w:p>
        </w:tc>
      </w:tr>
      <w:tr>
        <w:tc>
          <w:tcPr>
            <w:tcW w:type="dxa" w:w="1814"/>
            <w:shd w:fill="F8F8F8"/>
          </w:tcPr>
          <w:p>
            <w:r/>
            <w:r>
              <w:rPr>
                <w:color w:val="363B3B"/>
                <w:sz w:val="18"/>
              </w:rPr>
              <w:t>2</w:t>
            </w:r>
          </w:p>
        </w:tc>
        <w:tc>
          <w:tcPr>
            <w:tcW w:type="dxa" w:w="1814"/>
            <w:shd w:fill="F8F8F8"/>
          </w:tcPr>
          <w:p>
            <w:r/>
            <w:r>
              <w:rPr>
                <w:color w:val="363B3B"/>
                <w:sz w:val="18"/>
              </w:rPr>
              <w:t>hero-efficacy.jpeg</w:t>
            </w:r>
          </w:p>
        </w:tc>
        <w:tc>
          <w:tcPr>
            <w:tcW w:type="dxa" w:w="1814"/>
            <w:shd w:fill="F8F8F8"/>
          </w:tcPr>
          <w:p>
            <w:r/>
            <w:r>
              <w:rPr>
                <w:color w:val="363B3B"/>
                <w:sz w:val="18"/>
              </w:rPr>
              <w:t>https://treluxia-images.pages.dev/hero-efficacy.jpeg</w:t>
            </w:r>
          </w:p>
        </w:tc>
        <w:tc>
          <w:tcPr>
            <w:tcW w:type="dxa" w:w="1814"/>
            <w:shd w:fill="F8F8F8"/>
          </w:tcPr>
          <w:p>
            <w:r/>
            <w:r>
              <w:rPr>
                <w:color w:val="363B3B"/>
                <w:sz w:val="18"/>
              </w:rPr>
              <w:t>1440×810</w:t>
            </w:r>
          </w:p>
        </w:tc>
        <w:tc>
          <w:tcPr>
            <w:tcW w:type="dxa" w:w="1814"/>
            <w:shd w:fill="F8F8F8"/>
          </w:tcPr>
          <w:p>
            <w:r/>
            <w:r>
              <w:rPr>
                <w:color w:val="363B3B"/>
                <w:sz w:val="18"/>
              </w:rPr>
              <w:t>LUMINOS Data — hero</w:t>
            </w:r>
          </w:p>
        </w:tc>
      </w:tr>
      <w:tr>
        <w:tc>
          <w:tcPr>
            <w:tcW w:type="dxa" w:w="1814"/>
          </w:tcPr>
          <w:p>
            <w:r/>
            <w:r>
              <w:rPr>
                <w:color w:val="363B3B"/>
                <w:sz w:val="18"/>
              </w:rPr>
              <w:t>3</w:t>
            </w:r>
          </w:p>
        </w:tc>
        <w:tc>
          <w:tcPr>
            <w:tcW w:type="dxa" w:w="1814"/>
          </w:tcPr>
          <w:p>
            <w:r/>
            <w:r>
              <w:rPr>
                <w:color w:val="363B3B"/>
                <w:sz w:val="18"/>
              </w:rPr>
              <w:t>hero-dosing.jpeg</w:t>
            </w:r>
          </w:p>
        </w:tc>
        <w:tc>
          <w:tcPr>
            <w:tcW w:type="dxa" w:w="1814"/>
          </w:tcPr>
          <w:p>
            <w:r/>
            <w:r>
              <w:rPr>
                <w:color w:val="363B3B"/>
                <w:sz w:val="18"/>
              </w:rPr>
              <w:t>https://treluxia-images.pages.dev/hero-dosing.jpeg</w:t>
            </w:r>
          </w:p>
        </w:tc>
        <w:tc>
          <w:tcPr>
            <w:tcW w:type="dxa" w:w="1814"/>
          </w:tcPr>
          <w:p>
            <w:r/>
            <w:r>
              <w:rPr>
                <w:color w:val="363B3B"/>
                <w:sz w:val="18"/>
              </w:rPr>
              <w:t>1440×810</w:t>
            </w:r>
          </w:p>
        </w:tc>
        <w:tc>
          <w:tcPr>
            <w:tcW w:type="dxa" w:w="1814"/>
          </w:tcPr>
          <w:p>
            <w:r/>
            <w:r>
              <w:rPr>
                <w:color w:val="363B3B"/>
                <w:sz w:val="18"/>
              </w:rPr>
              <w:t>Dosing — hero</w:t>
            </w:r>
          </w:p>
        </w:tc>
      </w:tr>
      <w:tr>
        <w:tc>
          <w:tcPr>
            <w:tcW w:type="dxa" w:w="1814"/>
            <w:shd w:fill="F8F8F8"/>
          </w:tcPr>
          <w:p>
            <w:r/>
            <w:r>
              <w:rPr>
                <w:color w:val="363B3B"/>
                <w:sz w:val="18"/>
              </w:rPr>
              <w:t>4</w:t>
            </w:r>
          </w:p>
        </w:tc>
        <w:tc>
          <w:tcPr>
            <w:tcW w:type="dxa" w:w="1814"/>
            <w:shd w:fill="F8F8F8"/>
          </w:tcPr>
          <w:p>
            <w:r/>
            <w:r>
              <w:rPr>
                <w:color w:val="363B3B"/>
                <w:sz w:val="18"/>
              </w:rPr>
              <w:t>hero-moa.jpeg</w:t>
            </w:r>
          </w:p>
        </w:tc>
        <w:tc>
          <w:tcPr>
            <w:tcW w:type="dxa" w:w="1814"/>
            <w:shd w:fill="F8F8F8"/>
          </w:tcPr>
          <w:p>
            <w:r/>
            <w:r>
              <w:rPr>
                <w:color w:val="363B3B"/>
                <w:sz w:val="18"/>
              </w:rPr>
              <w:t>https://treluxia-images.pages.dev/hero-moa.jpeg</w:t>
            </w:r>
          </w:p>
        </w:tc>
        <w:tc>
          <w:tcPr>
            <w:tcW w:type="dxa" w:w="1814"/>
            <w:shd w:fill="F8F8F8"/>
          </w:tcPr>
          <w:p>
            <w:r/>
            <w:r>
              <w:rPr>
                <w:color w:val="363B3B"/>
                <w:sz w:val="18"/>
              </w:rPr>
              <w:t>1440×810</w:t>
            </w:r>
          </w:p>
        </w:tc>
        <w:tc>
          <w:tcPr>
            <w:tcW w:type="dxa" w:w="1814"/>
            <w:shd w:fill="F8F8F8"/>
          </w:tcPr>
          <w:p>
            <w:r/>
            <w:r>
              <w:rPr>
                <w:color w:val="363B3B"/>
                <w:sz w:val="18"/>
              </w:rPr>
              <w:t>How TRELUXIA Works — hero</w:t>
            </w:r>
          </w:p>
        </w:tc>
      </w:tr>
      <w:tr>
        <w:tc>
          <w:tcPr>
            <w:tcW w:type="dxa" w:w="1814"/>
          </w:tcPr>
          <w:p>
            <w:r/>
            <w:r>
              <w:rPr>
                <w:color w:val="363B3B"/>
                <w:sz w:val="18"/>
              </w:rPr>
              <w:t>5</w:t>
            </w:r>
          </w:p>
        </w:tc>
        <w:tc>
          <w:tcPr>
            <w:tcW w:type="dxa" w:w="1814"/>
          </w:tcPr>
          <w:p>
            <w:r/>
            <w:r>
              <w:rPr>
                <w:color w:val="363B3B"/>
                <w:sz w:val="18"/>
              </w:rPr>
              <w:t>card-exacerbations.jpeg</w:t>
            </w:r>
          </w:p>
        </w:tc>
        <w:tc>
          <w:tcPr>
            <w:tcW w:type="dxa" w:w="1814"/>
          </w:tcPr>
          <w:p>
            <w:r/>
            <w:r>
              <w:rPr>
                <w:color w:val="363B3B"/>
                <w:sz w:val="18"/>
              </w:rPr>
              <w:t>https://treluxia-images.pages.dev/card-exacerbations.jpeg</w:t>
            </w:r>
          </w:p>
        </w:tc>
        <w:tc>
          <w:tcPr>
            <w:tcW w:type="dxa" w:w="1814"/>
          </w:tcPr>
          <w:p>
            <w:r/>
            <w:r>
              <w:rPr>
                <w:color w:val="363B3B"/>
                <w:sz w:val="18"/>
              </w:rPr>
              <w:t>800×600</w:t>
            </w:r>
          </w:p>
        </w:tc>
        <w:tc>
          <w:tcPr>
            <w:tcW w:type="dxa" w:w="1814"/>
          </w:tcPr>
          <w:p>
            <w:r/>
            <w:r>
              <w:rPr>
                <w:color w:val="363B3B"/>
                <w:sz w:val="18"/>
              </w:rPr>
              <w:t>Home — exacerbation reduction card</w:t>
            </w:r>
          </w:p>
        </w:tc>
      </w:tr>
      <w:tr>
        <w:tc>
          <w:tcPr>
            <w:tcW w:type="dxa" w:w="1814"/>
            <w:shd w:fill="F8F8F8"/>
          </w:tcPr>
          <w:p>
            <w:r/>
            <w:r>
              <w:rPr>
                <w:color w:val="363B3B"/>
                <w:sz w:val="18"/>
              </w:rPr>
              <w:t>6</w:t>
            </w:r>
          </w:p>
        </w:tc>
        <w:tc>
          <w:tcPr>
            <w:tcW w:type="dxa" w:w="1814"/>
            <w:shd w:fill="F8F8F8"/>
          </w:tcPr>
          <w:p>
            <w:r/>
            <w:r>
              <w:rPr>
                <w:color w:val="363B3B"/>
                <w:sz w:val="18"/>
              </w:rPr>
              <w:t>card-lung-function.jpeg</w:t>
            </w:r>
          </w:p>
        </w:tc>
        <w:tc>
          <w:tcPr>
            <w:tcW w:type="dxa" w:w="1814"/>
            <w:shd w:fill="F8F8F8"/>
          </w:tcPr>
          <w:p>
            <w:r/>
            <w:r>
              <w:rPr>
                <w:color w:val="363B3B"/>
                <w:sz w:val="18"/>
              </w:rPr>
              <w:t>https://treluxia-images.pages.dev/card-lung-function.jpeg</w:t>
            </w:r>
          </w:p>
        </w:tc>
        <w:tc>
          <w:tcPr>
            <w:tcW w:type="dxa" w:w="1814"/>
            <w:shd w:fill="F8F8F8"/>
          </w:tcPr>
          <w:p>
            <w:r/>
            <w:r>
              <w:rPr>
                <w:color w:val="363B3B"/>
                <w:sz w:val="18"/>
              </w:rPr>
              <w:t>800×600</w:t>
            </w:r>
          </w:p>
        </w:tc>
        <w:tc>
          <w:tcPr>
            <w:tcW w:type="dxa" w:w="1814"/>
            <w:shd w:fill="F8F8F8"/>
          </w:tcPr>
          <w:p>
            <w:r/>
            <w:r>
              <w:rPr>
                <w:color w:val="363B3B"/>
                <w:sz w:val="18"/>
              </w:rPr>
              <w:t>Home — lung function card</w:t>
            </w:r>
          </w:p>
        </w:tc>
      </w:tr>
      <w:tr>
        <w:tc>
          <w:tcPr>
            <w:tcW w:type="dxa" w:w="1814"/>
          </w:tcPr>
          <w:p>
            <w:r/>
            <w:r>
              <w:rPr>
                <w:color w:val="363B3B"/>
                <w:sz w:val="18"/>
              </w:rPr>
              <w:t>7</w:t>
            </w:r>
          </w:p>
        </w:tc>
        <w:tc>
          <w:tcPr>
            <w:tcW w:type="dxa" w:w="1814"/>
          </w:tcPr>
          <w:p>
            <w:r/>
            <w:r>
              <w:rPr>
                <w:color w:val="363B3B"/>
                <w:sz w:val="18"/>
              </w:rPr>
              <w:t>card-ocs.jpeg</w:t>
            </w:r>
          </w:p>
        </w:tc>
        <w:tc>
          <w:tcPr>
            <w:tcW w:type="dxa" w:w="1814"/>
          </w:tcPr>
          <w:p>
            <w:r/>
            <w:r>
              <w:rPr>
                <w:color w:val="363B3B"/>
                <w:sz w:val="18"/>
              </w:rPr>
              <w:t>https://treluxia-images.pages.dev/card-ocs.jpeg</w:t>
            </w:r>
          </w:p>
        </w:tc>
        <w:tc>
          <w:tcPr>
            <w:tcW w:type="dxa" w:w="1814"/>
          </w:tcPr>
          <w:p>
            <w:r/>
            <w:r>
              <w:rPr>
                <w:color w:val="363B3B"/>
                <w:sz w:val="18"/>
              </w:rPr>
              <w:t>800×600</w:t>
            </w:r>
          </w:p>
        </w:tc>
        <w:tc>
          <w:tcPr>
            <w:tcW w:type="dxa" w:w="1814"/>
          </w:tcPr>
          <w:p>
            <w:r/>
            <w:r>
              <w:rPr>
                <w:color w:val="363B3B"/>
                <w:sz w:val="18"/>
              </w:rPr>
              <w:t>Home — OCS sparing card</w:t>
            </w:r>
          </w:p>
        </w:tc>
      </w:tr>
      <w:tr>
        <w:tc>
          <w:tcPr>
            <w:tcW w:type="dxa" w:w="1814"/>
            <w:shd w:fill="F8F8F8"/>
          </w:tcPr>
          <w:p>
            <w:r/>
            <w:r>
              <w:rPr>
                <w:color w:val="363B3B"/>
                <w:sz w:val="18"/>
              </w:rPr>
              <w:t>8</w:t>
            </w:r>
          </w:p>
        </w:tc>
        <w:tc>
          <w:tcPr>
            <w:tcW w:type="dxa" w:w="1814"/>
            <w:shd w:fill="F8F8F8"/>
          </w:tcPr>
          <w:p>
            <w:r/>
            <w:r>
              <w:rPr>
                <w:color w:val="363B3B"/>
                <w:sz w:val="18"/>
              </w:rPr>
              <w:t>card-isr.jpeg</w:t>
            </w:r>
          </w:p>
        </w:tc>
        <w:tc>
          <w:tcPr>
            <w:tcW w:type="dxa" w:w="1814"/>
            <w:shd w:fill="F8F8F8"/>
          </w:tcPr>
          <w:p>
            <w:r/>
            <w:r>
              <w:rPr>
                <w:color w:val="363B3B"/>
                <w:sz w:val="18"/>
              </w:rPr>
              <w:t>https://treluxia-images.pages.dev/card-isr.jpeg</w:t>
            </w:r>
          </w:p>
        </w:tc>
        <w:tc>
          <w:tcPr>
            <w:tcW w:type="dxa" w:w="1814"/>
            <w:shd w:fill="F8F8F8"/>
          </w:tcPr>
          <w:p>
            <w:r/>
            <w:r>
              <w:rPr>
                <w:color w:val="363B3B"/>
                <w:sz w:val="18"/>
              </w:rPr>
              <w:t>800×600</w:t>
            </w:r>
          </w:p>
        </w:tc>
        <w:tc>
          <w:tcPr>
            <w:tcW w:type="dxa" w:w="1814"/>
            <w:shd w:fill="F8F8F8"/>
          </w:tcPr>
          <w:p>
            <w:r/>
            <w:r>
              <w:rPr>
                <w:color w:val="363B3B"/>
                <w:sz w:val="18"/>
              </w:rPr>
              <w:t>Safety — injection site reactions card</w:t>
            </w:r>
          </w:p>
        </w:tc>
      </w:tr>
      <w:tr>
        <w:tc>
          <w:tcPr>
            <w:tcW w:type="dxa" w:w="1814"/>
          </w:tcPr>
          <w:p>
            <w:r/>
            <w:r>
              <w:rPr>
                <w:color w:val="363B3B"/>
                <w:sz w:val="18"/>
              </w:rPr>
              <w:t>9</w:t>
            </w:r>
          </w:p>
        </w:tc>
        <w:tc>
          <w:tcPr>
            <w:tcW w:type="dxa" w:w="1814"/>
          </w:tcPr>
          <w:p>
            <w:r/>
            <w:r>
              <w:rPr>
                <w:color w:val="363B3B"/>
                <w:sz w:val="18"/>
              </w:rPr>
              <w:t>card-anaphylaxis.jpeg</w:t>
            </w:r>
          </w:p>
        </w:tc>
        <w:tc>
          <w:tcPr>
            <w:tcW w:type="dxa" w:w="1814"/>
          </w:tcPr>
          <w:p>
            <w:r/>
            <w:r>
              <w:rPr>
                <w:color w:val="363B3B"/>
                <w:sz w:val="18"/>
              </w:rPr>
              <w:t>https://treluxia-images.pages.dev/card-anaphylaxis.jpeg</w:t>
            </w:r>
          </w:p>
        </w:tc>
        <w:tc>
          <w:tcPr>
            <w:tcW w:type="dxa" w:w="1814"/>
          </w:tcPr>
          <w:p>
            <w:r/>
            <w:r>
              <w:rPr>
                <w:color w:val="363B3B"/>
                <w:sz w:val="18"/>
              </w:rPr>
              <w:t>800×600</w:t>
            </w:r>
          </w:p>
        </w:tc>
        <w:tc>
          <w:tcPr>
            <w:tcW w:type="dxa" w:w="1814"/>
          </w:tcPr>
          <w:p>
            <w:r/>
            <w:r>
              <w:rPr>
                <w:color w:val="363B3B"/>
                <w:sz w:val="18"/>
              </w:rPr>
              <w:t>Safety — anaphylaxis card</w:t>
            </w:r>
          </w:p>
        </w:tc>
      </w:tr>
      <w:tr>
        <w:tc>
          <w:tcPr>
            <w:tcW w:type="dxa" w:w="1814"/>
            <w:shd w:fill="F8F8F8"/>
          </w:tcPr>
          <w:p>
            <w:r/>
            <w:r>
              <w:rPr>
                <w:color w:val="363B3B"/>
                <w:sz w:val="18"/>
              </w:rPr>
              <w:t>10</w:t>
            </w:r>
          </w:p>
        </w:tc>
        <w:tc>
          <w:tcPr>
            <w:tcW w:type="dxa" w:w="1814"/>
            <w:shd w:fill="F8F8F8"/>
          </w:tcPr>
          <w:p>
            <w:r/>
            <w:r>
              <w:rPr>
                <w:color w:val="363B3B"/>
                <w:sz w:val="18"/>
              </w:rPr>
              <w:t>card-infections.jpeg</w:t>
            </w:r>
          </w:p>
        </w:tc>
        <w:tc>
          <w:tcPr>
            <w:tcW w:type="dxa" w:w="1814"/>
            <w:shd w:fill="F8F8F8"/>
          </w:tcPr>
          <w:p>
            <w:r/>
            <w:r>
              <w:rPr>
                <w:color w:val="363B3B"/>
                <w:sz w:val="18"/>
              </w:rPr>
              <w:t>https://treluxia-images.pages.dev/card-infections.jpeg</w:t>
            </w:r>
          </w:p>
        </w:tc>
        <w:tc>
          <w:tcPr>
            <w:tcW w:type="dxa" w:w="1814"/>
            <w:shd w:fill="F8F8F8"/>
          </w:tcPr>
          <w:p>
            <w:r/>
            <w:r>
              <w:rPr>
                <w:color w:val="363B3B"/>
                <w:sz w:val="18"/>
              </w:rPr>
              <w:t>800×600</w:t>
            </w:r>
          </w:p>
        </w:tc>
        <w:tc>
          <w:tcPr>
            <w:tcW w:type="dxa" w:w="1814"/>
            <w:shd w:fill="F8F8F8"/>
          </w:tcPr>
          <w:p>
            <w:r/>
            <w:r>
              <w:rPr>
                <w:color w:val="363B3B"/>
                <w:sz w:val="18"/>
              </w:rPr>
              <w:t>Safety — infections card</w:t>
            </w:r>
          </w:p>
        </w:tc>
      </w:tr>
      <w:tr>
        <w:tc>
          <w:tcPr>
            <w:tcW w:type="dxa" w:w="1814"/>
          </w:tcPr>
          <w:p>
            <w:r/>
            <w:r>
              <w:rPr>
                <w:color w:val="363B3B"/>
                <w:sz w:val="18"/>
              </w:rPr>
              <w:t>11</w:t>
            </w:r>
          </w:p>
        </w:tc>
        <w:tc>
          <w:tcPr>
            <w:tcW w:type="dxa" w:w="1814"/>
          </w:tcPr>
          <w:p>
            <w:r/>
            <w:r>
              <w:rPr>
                <w:color w:val="363B3B"/>
                <w:sz w:val="18"/>
              </w:rPr>
              <w:t>card-prescribing-guide.jpeg</w:t>
            </w:r>
          </w:p>
        </w:tc>
        <w:tc>
          <w:tcPr>
            <w:tcW w:type="dxa" w:w="1814"/>
          </w:tcPr>
          <w:p>
            <w:r/>
            <w:r>
              <w:rPr>
                <w:color w:val="363B3B"/>
                <w:sz w:val="18"/>
              </w:rPr>
              <w:t>https://treluxia-images.pages.dev/card-prescribing-guide.jpeg</w:t>
            </w:r>
          </w:p>
        </w:tc>
        <w:tc>
          <w:tcPr>
            <w:tcW w:type="dxa" w:w="1814"/>
          </w:tcPr>
          <w:p>
            <w:r/>
            <w:r>
              <w:rPr>
                <w:color w:val="363B3B"/>
                <w:sz w:val="18"/>
              </w:rPr>
              <w:t>800×600</w:t>
            </w:r>
          </w:p>
        </w:tc>
        <w:tc>
          <w:tcPr>
            <w:tcW w:type="dxa" w:w="1814"/>
          </w:tcPr>
          <w:p>
            <w:r/>
            <w:r>
              <w:rPr>
                <w:color w:val="363B3B"/>
                <w:sz w:val="18"/>
              </w:rPr>
              <w:t>Resources — prescribing guide card</w:t>
            </w:r>
          </w:p>
        </w:tc>
      </w:tr>
      <w:tr>
        <w:tc>
          <w:tcPr>
            <w:tcW w:type="dxa" w:w="1814"/>
            <w:shd w:fill="F8F8F8"/>
          </w:tcPr>
          <w:p>
            <w:r/>
            <w:r>
              <w:rPr>
                <w:color w:val="363B3B"/>
                <w:sz w:val="18"/>
              </w:rPr>
              <w:t>12</w:t>
            </w:r>
          </w:p>
        </w:tc>
        <w:tc>
          <w:tcPr>
            <w:tcW w:type="dxa" w:w="1814"/>
            <w:shd w:fill="F8F8F8"/>
          </w:tcPr>
          <w:p>
            <w:r/>
            <w:r>
              <w:rPr>
                <w:color w:val="363B3B"/>
                <w:sz w:val="18"/>
              </w:rPr>
              <w:t>card-patient-materials.jpeg</w:t>
            </w:r>
          </w:p>
        </w:tc>
        <w:tc>
          <w:tcPr>
            <w:tcW w:type="dxa" w:w="1814"/>
            <w:shd w:fill="F8F8F8"/>
          </w:tcPr>
          <w:p>
            <w:r/>
            <w:r>
              <w:rPr>
                <w:color w:val="363B3B"/>
                <w:sz w:val="18"/>
              </w:rPr>
              <w:t>https://treluxia-images.pages.dev/card-patient-materials.jpeg</w:t>
            </w:r>
          </w:p>
        </w:tc>
        <w:tc>
          <w:tcPr>
            <w:tcW w:type="dxa" w:w="1814"/>
            <w:shd w:fill="F8F8F8"/>
          </w:tcPr>
          <w:p>
            <w:r/>
            <w:r>
              <w:rPr>
                <w:color w:val="363B3B"/>
                <w:sz w:val="18"/>
              </w:rPr>
              <w:t>800×600</w:t>
            </w:r>
          </w:p>
        </w:tc>
        <w:tc>
          <w:tcPr>
            <w:tcW w:type="dxa" w:w="1814"/>
            <w:shd w:fill="F8F8F8"/>
          </w:tcPr>
          <w:p>
            <w:r/>
            <w:r>
              <w:rPr>
                <w:color w:val="363B3B"/>
                <w:sz w:val="18"/>
              </w:rPr>
              <w:t>Resources — patient materials card</w:t>
            </w:r>
          </w:p>
        </w:tc>
      </w:tr>
      <w:tr>
        <w:tc>
          <w:tcPr>
            <w:tcW w:type="dxa" w:w="1814"/>
          </w:tcPr>
          <w:p>
            <w:r/>
            <w:r>
              <w:rPr>
                <w:color w:val="363B3B"/>
                <w:sz w:val="18"/>
              </w:rPr>
              <w:t>13</w:t>
            </w:r>
          </w:p>
        </w:tc>
        <w:tc>
          <w:tcPr>
            <w:tcW w:type="dxa" w:w="1814"/>
          </w:tcPr>
          <w:p>
            <w:r/>
            <w:r>
              <w:rPr>
                <w:color w:val="363B3B"/>
                <w:sz w:val="18"/>
              </w:rPr>
              <w:t>card-clinical-data.jpeg</w:t>
            </w:r>
          </w:p>
        </w:tc>
        <w:tc>
          <w:tcPr>
            <w:tcW w:type="dxa" w:w="1814"/>
          </w:tcPr>
          <w:p>
            <w:r/>
            <w:r>
              <w:rPr>
                <w:color w:val="363B3B"/>
                <w:sz w:val="18"/>
              </w:rPr>
              <w:t>https://treluxia-images.pages.dev/card-clinical-data.jpeg</w:t>
            </w:r>
          </w:p>
        </w:tc>
        <w:tc>
          <w:tcPr>
            <w:tcW w:type="dxa" w:w="1814"/>
          </w:tcPr>
          <w:p>
            <w:r/>
            <w:r>
              <w:rPr>
                <w:color w:val="363B3B"/>
                <w:sz w:val="18"/>
              </w:rPr>
              <w:t>800×600</w:t>
            </w:r>
          </w:p>
        </w:tc>
        <w:tc>
          <w:tcPr>
            <w:tcW w:type="dxa" w:w="1814"/>
          </w:tcPr>
          <w:p>
            <w:r/>
            <w:r>
              <w:rPr>
                <w:color w:val="363B3B"/>
                <w:sz w:val="18"/>
              </w:rPr>
              <w:t>Resources — clinical data card</w:t>
            </w:r>
          </w:p>
        </w:tc>
      </w:tr>
      <w:tr>
        <w:tc>
          <w:tcPr>
            <w:tcW w:type="dxa" w:w="1814"/>
            <w:shd w:fill="F8F8F8"/>
          </w:tcPr>
          <w:p>
            <w:r/>
            <w:r>
              <w:rPr>
                <w:color w:val="363B3B"/>
                <w:sz w:val="18"/>
              </w:rPr>
              <w:t>14</w:t>
            </w:r>
          </w:p>
        </w:tc>
        <w:tc>
          <w:tcPr>
            <w:tcW w:type="dxa" w:w="1814"/>
            <w:shd w:fill="F8F8F8"/>
          </w:tcPr>
          <w:p>
            <w:r/>
            <w:r>
              <w:rPr>
                <w:color w:val="363B3B"/>
                <w:sz w:val="18"/>
              </w:rPr>
              <w:t>columns-moa-preview.jpeg</w:t>
            </w:r>
          </w:p>
        </w:tc>
        <w:tc>
          <w:tcPr>
            <w:tcW w:type="dxa" w:w="1814"/>
            <w:shd w:fill="F8F8F8"/>
          </w:tcPr>
          <w:p>
            <w:r/>
            <w:r>
              <w:rPr>
                <w:color w:val="363B3B"/>
                <w:sz w:val="18"/>
              </w:rPr>
              <w:t>https://treluxia-images.pages.dev/columns-moa-preview.jpeg</w:t>
            </w:r>
          </w:p>
        </w:tc>
        <w:tc>
          <w:tcPr>
            <w:tcW w:type="dxa" w:w="1814"/>
            <w:shd w:fill="F8F8F8"/>
          </w:tcPr>
          <w:p>
            <w:r/>
            <w:r>
              <w:rPr>
                <w:color w:val="363B3B"/>
                <w:sz w:val="18"/>
              </w:rPr>
              <w:t>800×600</w:t>
            </w:r>
          </w:p>
        </w:tc>
        <w:tc>
          <w:tcPr>
            <w:tcW w:type="dxa" w:w="1814"/>
            <w:shd w:fill="F8F8F8"/>
          </w:tcPr>
          <w:p>
            <w:r/>
            <w:r>
              <w:rPr>
                <w:color w:val="363B3B"/>
                <w:sz w:val="18"/>
              </w:rPr>
              <w:t>Home — MoA teaser</w:t>
            </w:r>
          </w:p>
        </w:tc>
      </w:tr>
      <w:tr>
        <w:tc>
          <w:tcPr>
            <w:tcW w:type="dxa" w:w="1814"/>
          </w:tcPr>
          <w:p>
            <w:r/>
            <w:r>
              <w:rPr>
                <w:color w:val="363B3B"/>
                <w:sz w:val="18"/>
              </w:rPr>
              <w:t>15</w:t>
            </w:r>
          </w:p>
        </w:tc>
        <w:tc>
          <w:tcPr>
            <w:tcW w:type="dxa" w:w="1814"/>
          </w:tcPr>
          <w:p>
            <w:r/>
            <w:r>
              <w:rPr>
                <w:color w:val="363B3B"/>
                <w:sz w:val="18"/>
              </w:rPr>
              <w:t>columns-dosing.jpeg</w:t>
            </w:r>
          </w:p>
        </w:tc>
        <w:tc>
          <w:tcPr>
            <w:tcW w:type="dxa" w:w="1814"/>
          </w:tcPr>
          <w:p>
            <w:r/>
            <w:r>
              <w:rPr>
                <w:color w:val="363B3B"/>
                <w:sz w:val="18"/>
              </w:rPr>
              <w:t>https://treluxia-images.pages.dev/columns-dosing.jpeg</w:t>
            </w:r>
          </w:p>
        </w:tc>
        <w:tc>
          <w:tcPr>
            <w:tcW w:type="dxa" w:w="1814"/>
          </w:tcPr>
          <w:p>
            <w:r/>
            <w:r>
              <w:rPr>
                <w:color w:val="363B3B"/>
                <w:sz w:val="18"/>
              </w:rPr>
              <w:t>800×600</w:t>
            </w:r>
          </w:p>
        </w:tc>
        <w:tc>
          <w:tcPr>
            <w:tcW w:type="dxa" w:w="1814"/>
          </w:tcPr>
          <w:p>
            <w:r/>
            <w:r>
              <w:rPr>
                <w:color w:val="363B3B"/>
                <w:sz w:val="18"/>
              </w:rPr>
              <w:t>Dosing — regimen</w:t>
            </w:r>
          </w:p>
        </w:tc>
      </w:tr>
      <w:tr>
        <w:tc>
          <w:tcPr>
            <w:tcW w:type="dxa" w:w="1814"/>
            <w:shd w:fill="F8F8F8"/>
          </w:tcPr>
          <w:p>
            <w:r/>
            <w:r>
              <w:rPr>
                <w:color w:val="363B3B"/>
                <w:sz w:val="18"/>
              </w:rPr>
              <w:t>16</w:t>
            </w:r>
          </w:p>
        </w:tc>
        <w:tc>
          <w:tcPr>
            <w:tcW w:type="dxa" w:w="1814"/>
            <w:shd w:fill="F8F8F8"/>
          </w:tcPr>
          <w:p>
            <w:r/>
            <w:r>
              <w:rPr>
                <w:color w:val="363B3B"/>
                <w:sz w:val="18"/>
              </w:rPr>
              <w:t>columns-admin.jpeg</w:t>
            </w:r>
          </w:p>
        </w:tc>
        <w:tc>
          <w:tcPr>
            <w:tcW w:type="dxa" w:w="1814"/>
            <w:shd w:fill="F8F8F8"/>
          </w:tcPr>
          <w:p>
            <w:r/>
            <w:r>
              <w:rPr>
                <w:color w:val="363B3B"/>
                <w:sz w:val="18"/>
              </w:rPr>
              <w:t>https://treluxia-images.pages.dev/columns-admin.jpeg</w:t>
            </w:r>
          </w:p>
        </w:tc>
        <w:tc>
          <w:tcPr>
            <w:tcW w:type="dxa" w:w="1814"/>
            <w:shd w:fill="F8F8F8"/>
          </w:tcPr>
          <w:p>
            <w:r/>
            <w:r>
              <w:rPr>
                <w:color w:val="363B3B"/>
                <w:sz w:val="18"/>
              </w:rPr>
              <w:t>800×600</w:t>
            </w:r>
          </w:p>
        </w:tc>
        <w:tc>
          <w:tcPr>
            <w:tcW w:type="dxa" w:w="1814"/>
            <w:shd w:fill="F8F8F8"/>
          </w:tcPr>
          <w:p>
            <w:r/>
            <w:r>
              <w:rPr>
                <w:color w:val="363B3B"/>
                <w:sz w:val="18"/>
              </w:rPr>
              <w:t>Dosing — administration</w:t>
            </w:r>
          </w:p>
        </w:tc>
      </w:tr>
      <w:tr>
        <w:tc>
          <w:tcPr>
            <w:tcW w:type="dxa" w:w="1814"/>
          </w:tcPr>
          <w:p>
            <w:r/>
            <w:r>
              <w:rPr>
                <w:color w:val="363B3B"/>
                <w:sz w:val="18"/>
              </w:rPr>
              <w:t>17</w:t>
            </w:r>
          </w:p>
        </w:tc>
        <w:tc>
          <w:tcPr>
            <w:tcW w:type="dxa" w:w="1814"/>
          </w:tcPr>
          <w:p>
            <w:r/>
            <w:r>
              <w:rPr>
                <w:color w:val="363B3B"/>
                <w:sz w:val="18"/>
              </w:rPr>
              <w:t>columns-ocs-management.jpeg</w:t>
            </w:r>
          </w:p>
        </w:tc>
        <w:tc>
          <w:tcPr>
            <w:tcW w:type="dxa" w:w="1814"/>
          </w:tcPr>
          <w:p>
            <w:r/>
            <w:r>
              <w:rPr>
                <w:color w:val="363B3B"/>
                <w:sz w:val="18"/>
              </w:rPr>
              <w:t>https://treluxia-images.pages.dev/columns-ocs-management.jpeg</w:t>
            </w:r>
          </w:p>
        </w:tc>
        <w:tc>
          <w:tcPr>
            <w:tcW w:type="dxa" w:w="1814"/>
          </w:tcPr>
          <w:p>
            <w:r/>
            <w:r>
              <w:rPr>
                <w:color w:val="363B3B"/>
                <w:sz w:val="18"/>
              </w:rPr>
              <w:t>800×600</w:t>
            </w:r>
          </w:p>
        </w:tc>
        <w:tc>
          <w:tcPr>
            <w:tcW w:type="dxa" w:w="1814"/>
          </w:tcPr>
          <w:p>
            <w:r/>
            <w:r>
              <w:rPr>
                <w:color w:val="363B3B"/>
                <w:sz w:val="18"/>
              </w:rPr>
              <w:t>Dosing — OCS management</w:t>
            </w:r>
          </w:p>
        </w:tc>
      </w:tr>
      <w:tr>
        <w:tc>
          <w:tcPr>
            <w:tcW w:type="dxa" w:w="1814"/>
            <w:shd w:fill="F8F8F8"/>
          </w:tcPr>
          <w:p>
            <w:r/>
            <w:r>
              <w:rPr>
                <w:color w:val="363B3B"/>
                <w:sz w:val="18"/>
              </w:rPr>
              <w:t>18</w:t>
            </w:r>
          </w:p>
        </w:tc>
        <w:tc>
          <w:tcPr>
            <w:tcW w:type="dxa" w:w="1814"/>
            <w:shd w:fill="F8F8F8"/>
          </w:tcPr>
          <w:p>
            <w:r/>
            <w:r>
              <w:rPr>
                <w:color w:val="363B3B"/>
                <w:sz w:val="18"/>
              </w:rPr>
              <w:t>columns-tslp-pathway.jpeg</w:t>
            </w:r>
          </w:p>
        </w:tc>
        <w:tc>
          <w:tcPr>
            <w:tcW w:type="dxa" w:w="1814"/>
            <w:shd w:fill="F8F8F8"/>
          </w:tcPr>
          <w:p>
            <w:r/>
            <w:r>
              <w:rPr>
                <w:color w:val="363B3B"/>
                <w:sz w:val="18"/>
              </w:rPr>
              <w:t>https://treluxia-images.pages.dev/columns-tslp-pathway.jpeg</w:t>
            </w:r>
          </w:p>
        </w:tc>
        <w:tc>
          <w:tcPr>
            <w:tcW w:type="dxa" w:w="1814"/>
            <w:shd w:fill="F8F8F8"/>
          </w:tcPr>
          <w:p>
            <w:r/>
            <w:r>
              <w:rPr>
                <w:color w:val="363B3B"/>
                <w:sz w:val="18"/>
              </w:rPr>
              <w:t>800×600</w:t>
            </w:r>
          </w:p>
        </w:tc>
        <w:tc>
          <w:tcPr>
            <w:tcW w:type="dxa" w:w="1814"/>
            <w:shd w:fill="F8F8F8"/>
          </w:tcPr>
          <w:p>
            <w:r/>
            <w:r>
              <w:rPr>
                <w:color w:val="363B3B"/>
                <w:sz w:val="18"/>
              </w:rPr>
              <w:t>MoA — TSLP pathway</w:t>
            </w:r>
          </w:p>
        </w:tc>
      </w:tr>
      <w:tr>
        <w:tc>
          <w:tcPr>
            <w:tcW w:type="dxa" w:w="1814"/>
          </w:tcPr>
          <w:p>
            <w:r/>
            <w:r>
              <w:rPr>
                <w:color w:val="363B3B"/>
                <w:sz w:val="18"/>
              </w:rPr>
              <w:t>19</w:t>
            </w:r>
          </w:p>
        </w:tc>
        <w:tc>
          <w:tcPr>
            <w:tcW w:type="dxa" w:w="1814"/>
          </w:tcPr>
          <w:p>
            <w:r/>
            <w:r>
              <w:rPr>
                <w:color w:val="363B3B"/>
                <w:sz w:val="18"/>
              </w:rPr>
              <w:t>columns-mechanism.jpeg</w:t>
            </w:r>
          </w:p>
        </w:tc>
        <w:tc>
          <w:tcPr>
            <w:tcW w:type="dxa" w:w="1814"/>
          </w:tcPr>
          <w:p>
            <w:r/>
            <w:r>
              <w:rPr>
                <w:color w:val="363B3B"/>
                <w:sz w:val="18"/>
              </w:rPr>
              <w:t>https://treluxia-images.pages.dev/columns-mechanism.jpeg</w:t>
            </w:r>
          </w:p>
        </w:tc>
        <w:tc>
          <w:tcPr>
            <w:tcW w:type="dxa" w:w="1814"/>
          </w:tcPr>
          <w:p>
            <w:r/>
            <w:r>
              <w:rPr>
                <w:color w:val="363B3B"/>
                <w:sz w:val="18"/>
              </w:rPr>
              <w:t>800×600</w:t>
            </w:r>
          </w:p>
        </w:tc>
        <w:tc>
          <w:tcPr>
            <w:tcW w:type="dxa" w:w="1814"/>
          </w:tcPr>
          <w:p>
            <w:r/>
            <w:r>
              <w:rPr>
                <w:color w:val="363B3B"/>
                <w:sz w:val="18"/>
              </w:rPr>
              <w:t>MoA — TRELUXIA mechanism</w:t>
            </w:r>
          </w:p>
        </w:tc>
      </w:tr>
      <w:tr>
        <w:tc>
          <w:tcPr>
            <w:tcW w:type="dxa" w:w="1814"/>
            <w:shd w:fill="F8F8F8"/>
          </w:tcPr>
          <w:p>
            <w:r/>
            <w:r>
              <w:rPr>
                <w:color w:val="363B3B"/>
                <w:sz w:val="18"/>
              </w:rPr>
              <w:t>20</w:t>
            </w:r>
          </w:p>
        </w:tc>
        <w:tc>
          <w:tcPr>
            <w:tcW w:type="dxa" w:w="1814"/>
            <w:shd w:fill="F8F8F8"/>
          </w:tcPr>
          <w:p>
            <w:r/>
            <w:r>
              <w:rPr>
                <w:color w:val="363B3B"/>
                <w:sz w:val="18"/>
              </w:rPr>
              <w:t>columns-positioning.jpeg</w:t>
            </w:r>
          </w:p>
        </w:tc>
        <w:tc>
          <w:tcPr>
            <w:tcW w:type="dxa" w:w="1814"/>
            <w:shd w:fill="F8F8F8"/>
          </w:tcPr>
          <w:p>
            <w:r/>
            <w:r>
              <w:rPr>
                <w:color w:val="363B3B"/>
                <w:sz w:val="18"/>
              </w:rPr>
              <w:t>https://treluxia-images.pages.dev/columns-positioning.jpeg</w:t>
            </w:r>
          </w:p>
        </w:tc>
        <w:tc>
          <w:tcPr>
            <w:tcW w:type="dxa" w:w="1814"/>
            <w:shd w:fill="F8F8F8"/>
          </w:tcPr>
          <w:p>
            <w:r/>
            <w:r>
              <w:rPr>
                <w:color w:val="363B3B"/>
                <w:sz w:val="18"/>
              </w:rPr>
              <w:t>800×600</w:t>
            </w:r>
          </w:p>
        </w:tc>
        <w:tc>
          <w:tcPr>
            <w:tcW w:type="dxa" w:w="1814"/>
            <w:shd w:fill="F8F8F8"/>
          </w:tcPr>
          <w:p>
            <w:r/>
            <w:r>
              <w:rPr>
                <w:color w:val="363B3B"/>
                <w:sz w:val="18"/>
              </w:rPr>
              <w:t>MoA — treatment positioning</w:t>
            </w:r>
          </w:p>
        </w:tc>
      </w:tr>
      <w:tr>
        <w:tc>
          <w:tcPr>
            <w:tcW w:type="dxa" w:w="1814"/>
          </w:tcPr>
          <w:p>
            <w:r/>
            <w:r>
              <w:rPr>
                <w:color w:val="363B3B"/>
                <w:sz w:val="18"/>
              </w:rPr>
              <w:t>21</w:t>
            </w:r>
          </w:p>
        </w:tc>
        <w:tc>
          <w:tcPr>
            <w:tcW w:type="dxa" w:w="1814"/>
          </w:tcPr>
          <w:p>
            <w:r/>
            <w:r>
              <w:rPr>
                <w:color w:val="363B3B"/>
                <w:sz w:val="18"/>
              </w:rPr>
              <w:t>columns-special-pops.jpeg</w:t>
            </w:r>
          </w:p>
        </w:tc>
        <w:tc>
          <w:tcPr>
            <w:tcW w:type="dxa" w:w="1814"/>
          </w:tcPr>
          <w:p>
            <w:r/>
            <w:r>
              <w:rPr>
                <w:color w:val="363B3B"/>
                <w:sz w:val="18"/>
              </w:rPr>
              <w:t>https://treluxia-images.pages.dev/columns-special-pops.jpeg</w:t>
            </w:r>
          </w:p>
        </w:tc>
        <w:tc>
          <w:tcPr>
            <w:tcW w:type="dxa" w:w="1814"/>
          </w:tcPr>
          <w:p>
            <w:r/>
            <w:r>
              <w:rPr>
                <w:color w:val="363B3B"/>
                <w:sz w:val="18"/>
              </w:rPr>
              <w:t>800×600</w:t>
            </w:r>
          </w:p>
        </w:tc>
        <w:tc>
          <w:tcPr>
            <w:tcW w:type="dxa" w:w="1814"/>
          </w:tcPr>
          <w:p>
            <w:r/>
            <w:r>
              <w:rPr>
                <w:color w:val="363B3B"/>
                <w:sz w:val="18"/>
              </w:rPr>
              <w:t>Safety — special populations</w:t>
            </w:r>
          </w:p>
        </w:tc>
      </w:tr>
      <w:tr>
        <w:tc>
          <w:tcPr>
            <w:tcW w:type="dxa" w:w="1814"/>
            <w:shd w:fill="F8F8F8"/>
          </w:tcPr>
          <w:p>
            <w:r/>
            <w:r>
              <w:rPr>
                <w:color w:val="363B3B"/>
                <w:sz w:val="18"/>
              </w:rPr>
              <w:t>22</w:t>
            </w:r>
          </w:p>
        </w:tc>
        <w:tc>
          <w:tcPr>
            <w:tcW w:type="dxa" w:w="1814"/>
            <w:shd w:fill="F8F8F8"/>
          </w:tcPr>
          <w:p>
            <w:r/>
            <w:r>
              <w:rPr>
                <w:color w:val="363B3B"/>
                <w:sz w:val="18"/>
              </w:rPr>
              <w:t>columns-contact.jpeg</w:t>
            </w:r>
          </w:p>
        </w:tc>
        <w:tc>
          <w:tcPr>
            <w:tcW w:type="dxa" w:w="1814"/>
            <w:shd w:fill="F8F8F8"/>
          </w:tcPr>
          <w:p>
            <w:r/>
            <w:r>
              <w:rPr>
                <w:color w:val="363B3B"/>
                <w:sz w:val="18"/>
              </w:rPr>
              <w:t>https://treluxia-images.pages.dev/columns-contact.jpeg</w:t>
            </w:r>
          </w:p>
        </w:tc>
        <w:tc>
          <w:tcPr>
            <w:tcW w:type="dxa" w:w="1814"/>
            <w:shd w:fill="F8F8F8"/>
          </w:tcPr>
          <w:p>
            <w:r/>
            <w:r>
              <w:rPr>
                <w:color w:val="363B3B"/>
                <w:sz w:val="18"/>
              </w:rPr>
              <w:t>800×600</w:t>
            </w:r>
          </w:p>
        </w:tc>
        <w:tc>
          <w:tcPr>
            <w:tcW w:type="dxa" w:w="1814"/>
            <w:shd w:fill="F8F8F8"/>
          </w:tcPr>
          <w:p>
            <w:r/>
            <w:r>
              <w:rPr>
                <w:color w:val="363B3B"/>
                <w:sz w:val="18"/>
              </w:rPr>
              <w:t>Resources — contact</w:t>
            </w:r>
          </w:p>
        </w:tc>
      </w:tr>
      <w:tr>
        <w:tc>
          <w:tcPr>
            <w:tcW w:type="dxa" w:w="1814"/>
          </w:tcPr>
          <w:p>
            <w:r/>
            <w:r>
              <w:rPr>
                <w:color w:val="363B3B"/>
                <w:sz w:val="18"/>
              </w:rPr>
              <w:t>23</w:t>
            </w:r>
          </w:p>
        </w:tc>
        <w:tc>
          <w:tcPr>
            <w:tcW w:type="dxa" w:w="1814"/>
          </w:tcPr>
          <w:p>
            <w:r/>
            <w:r>
              <w:rPr>
                <w:color w:val="363B3B"/>
                <w:sz w:val="18"/>
              </w:rPr>
              <w:t>tab-luminos1.jpeg</w:t>
            </w:r>
          </w:p>
        </w:tc>
        <w:tc>
          <w:tcPr>
            <w:tcW w:type="dxa" w:w="1814"/>
          </w:tcPr>
          <w:p>
            <w:r/>
            <w:r>
              <w:rPr>
                <w:color w:val="363B3B"/>
                <w:sz w:val="18"/>
              </w:rPr>
              <w:t>https://treluxia-images.pages.dev/tab-luminos1.jpeg</w:t>
            </w:r>
          </w:p>
        </w:tc>
        <w:tc>
          <w:tcPr>
            <w:tcW w:type="dxa" w:w="1814"/>
          </w:tcPr>
          <w:p>
            <w:r/>
            <w:r>
              <w:rPr>
                <w:color w:val="363B3B"/>
                <w:sz w:val="18"/>
              </w:rPr>
              <w:t>800×600</w:t>
            </w:r>
          </w:p>
        </w:tc>
        <w:tc>
          <w:tcPr>
            <w:tcW w:type="dxa" w:w="1814"/>
          </w:tcPr>
          <w:p>
            <w:r/>
            <w:r>
              <w:rPr>
                <w:color w:val="363B3B"/>
                <w:sz w:val="18"/>
              </w:rPr>
              <w:t>LUMINOS Data — exacerbation tab</w:t>
            </w:r>
          </w:p>
        </w:tc>
      </w:tr>
      <w:tr>
        <w:tc>
          <w:tcPr>
            <w:tcW w:type="dxa" w:w="1814"/>
            <w:shd w:fill="F8F8F8"/>
          </w:tcPr>
          <w:p>
            <w:r/>
            <w:r>
              <w:rPr>
                <w:color w:val="363B3B"/>
                <w:sz w:val="18"/>
              </w:rPr>
              <w:t>24</w:t>
            </w:r>
          </w:p>
        </w:tc>
        <w:tc>
          <w:tcPr>
            <w:tcW w:type="dxa" w:w="1814"/>
            <w:shd w:fill="F8F8F8"/>
          </w:tcPr>
          <w:p>
            <w:r/>
            <w:r>
              <w:rPr>
                <w:color w:val="363B3B"/>
                <w:sz w:val="18"/>
              </w:rPr>
              <w:t>tab-luminos-ocs.jpeg</w:t>
            </w:r>
          </w:p>
        </w:tc>
        <w:tc>
          <w:tcPr>
            <w:tcW w:type="dxa" w:w="1814"/>
            <w:shd w:fill="F8F8F8"/>
          </w:tcPr>
          <w:p>
            <w:r/>
            <w:r>
              <w:rPr>
                <w:color w:val="363B3B"/>
                <w:sz w:val="18"/>
              </w:rPr>
              <w:t>https://treluxia-images.pages.dev/tab-luminos-ocs.jpeg</w:t>
            </w:r>
          </w:p>
        </w:tc>
        <w:tc>
          <w:tcPr>
            <w:tcW w:type="dxa" w:w="1814"/>
            <w:shd w:fill="F8F8F8"/>
          </w:tcPr>
          <w:p>
            <w:r/>
            <w:r>
              <w:rPr>
                <w:color w:val="363B3B"/>
                <w:sz w:val="18"/>
              </w:rPr>
              <w:t>800×600</w:t>
            </w:r>
          </w:p>
        </w:tc>
        <w:tc>
          <w:tcPr>
            <w:tcW w:type="dxa" w:w="1814"/>
            <w:shd w:fill="F8F8F8"/>
          </w:tcPr>
          <w:p>
            <w:r/>
            <w:r>
              <w:rPr>
                <w:color w:val="363B3B"/>
                <w:sz w:val="18"/>
              </w:rPr>
              <w:t>LUMINOS Data — OCS sparing tab</w:t>
            </w:r>
          </w:p>
        </w:tc>
      </w:tr>
    </w:tbl>
    <w:p/>
    <w:p>
      <w:pPr>
        <w:pStyle w:val="Heading2"/>
      </w:pPr>
      <w:r>
        <w:rPr>
          <w:color w:val="830051"/>
        </w:rPr>
        <w:t>Image previews</w:t>
      </w:r>
    </w:p>
    <w:p>
      <w:pPr>
        <w:jc w:val="center"/>
      </w:pPr>
      <w:r>
        <w:drawing>
          <wp:inline xmlns:a="http://schemas.openxmlformats.org/drawingml/2006/main" xmlns:pic="http://schemas.openxmlformats.org/drawingml/2006/picture">
            <wp:extent cx="4572000" cy="2551814"/>
            <wp:docPr id="25" name="Picture 25"/>
            <wp:cNvGraphicFramePr>
              <a:graphicFrameLocks noChangeAspect="1"/>
            </wp:cNvGraphicFramePr>
            <a:graphic>
              <a:graphicData uri="http://schemas.openxmlformats.org/drawingml/2006/picture">
                <pic:pic>
                  <pic:nvPicPr>
                    <pic:cNvPr id="0" name="hero-home.jpeg"/>
                    <pic:cNvPicPr/>
                  </pic:nvPicPr>
                  <pic:blipFill>
                    <a:blip r:embed="rId9"/>
                    <a:stretch>
                      <a:fillRect/>
                    </a:stretch>
                  </pic:blipFill>
                  <pic:spPr>
                    <a:xfrm>
                      <a:off x="0" y="0"/>
                      <a:ext cx="4572000" cy="2551814"/>
                    </a:xfrm>
                    <a:prstGeom prst="rect"/>
                  </pic:spPr>
                </pic:pic>
              </a:graphicData>
            </a:graphic>
          </wp:inline>
        </w:drawing>
      </w:r>
    </w:p>
    <w:p>
      <w:pPr>
        <w:jc w:val="center"/>
      </w:pPr>
      <w:r>
        <w:rPr>
          <w:color w:val="005599"/>
          <w:sz w:val="16"/>
          <w:u w:val="single"/>
        </w:rPr>
        <w:t>https://treluxia-images.pages.dev/hero-home.jpeg</w:t>
      </w:r>
    </w:p>
    <w:p>
      <w:pPr>
        <w:jc w:val="center"/>
      </w:pPr>
      <w:r>
        <w:rPr>
          <w:i/>
          <w:color w:val="666666"/>
          <w:sz w:val="16"/>
        </w:rPr>
        <w:t>Usage: Home — hero</w:t>
      </w:r>
    </w:p>
    <w:p/>
    <w:p>
      <w:pPr>
        <w:jc w:val="center"/>
      </w:pPr>
      <w:r>
        <w:drawing>
          <wp:inline xmlns:a="http://schemas.openxmlformats.org/drawingml/2006/main" xmlns:pic="http://schemas.openxmlformats.org/drawingml/2006/picture">
            <wp:extent cx="4572000" cy="2551814"/>
            <wp:docPr id="26" name="Picture 26"/>
            <wp:cNvGraphicFramePr>
              <a:graphicFrameLocks noChangeAspect="1"/>
            </wp:cNvGraphicFramePr>
            <a:graphic>
              <a:graphicData uri="http://schemas.openxmlformats.org/drawingml/2006/picture">
                <pic:pic>
                  <pic:nvPicPr>
                    <pic:cNvPr id="0" name="hero-efficacy.jpeg"/>
                    <pic:cNvPicPr/>
                  </pic:nvPicPr>
                  <pic:blipFill>
                    <a:blip r:embed="rId14"/>
                    <a:stretch>
                      <a:fillRect/>
                    </a:stretch>
                  </pic:blipFill>
                  <pic:spPr>
                    <a:xfrm>
                      <a:off x="0" y="0"/>
                      <a:ext cx="4572000" cy="2551814"/>
                    </a:xfrm>
                    <a:prstGeom prst="rect"/>
                  </pic:spPr>
                </pic:pic>
              </a:graphicData>
            </a:graphic>
          </wp:inline>
        </w:drawing>
      </w:r>
    </w:p>
    <w:p>
      <w:pPr>
        <w:jc w:val="center"/>
      </w:pPr>
      <w:r>
        <w:rPr>
          <w:color w:val="005599"/>
          <w:sz w:val="16"/>
          <w:u w:val="single"/>
        </w:rPr>
        <w:t>https://treluxia-images.pages.dev/hero-efficacy.jpeg</w:t>
      </w:r>
    </w:p>
    <w:p>
      <w:pPr>
        <w:jc w:val="center"/>
      </w:pPr>
      <w:r>
        <w:rPr>
          <w:i/>
          <w:color w:val="666666"/>
          <w:sz w:val="16"/>
        </w:rPr>
        <w:t>Usage: LUMINOS Data — hero</w:t>
      </w:r>
    </w:p>
    <w:p/>
    <w:p>
      <w:pPr>
        <w:jc w:val="center"/>
      </w:pPr>
      <w:r>
        <w:drawing>
          <wp:inline xmlns:a="http://schemas.openxmlformats.org/drawingml/2006/main" xmlns:pic="http://schemas.openxmlformats.org/drawingml/2006/picture">
            <wp:extent cx="4572000" cy="2551814"/>
            <wp:docPr id="27" name="Picture 27"/>
            <wp:cNvGraphicFramePr>
              <a:graphicFrameLocks noChangeAspect="1"/>
            </wp:cNvGraphicFramePr>
            <a:graphic>
              <a:graphicData uri="http://schemas.openxmlformats.org/drawingml/2006/picture">
                <pic:pic>
                  <pic:nvPicPr>
                    <pic:cNvPr id="0" name="hero-dosing.jpeg"/>
                    <pic:cNvPicPr/>
                  </pic:nvPicPr>
                  <pic:blipFill>
                    <a:blip r:embed="rId21"/>
                    <a:stretch>
                      <a:fillRect/>
                    </a:stretch>
                  </pic:blipFill>
                  <pic:spPr>
                    <a:xfrm>
                      <a:off x="0" y="0"/>
                      <a:ext cx="4572000" cy="2551814"/>
                    </a:xfrm>
                    <a:prstGeom prst="rect"/>
                  </pic:spPr>
                </pic:pic>
              </a:graphicData>
            </a:graphic>
          </wp:inline>
        </w:drawing>
      </w:r>
    </w:p>
    <w:p>
      <w:pPr>
        <w:jc w:val="center"/>
      </w:pPr>
      <w:r>
        <w:rPr>
          <w:color w:val="005599"/>
          <w:sz w:val="16"/>
          <w:u w:val="single"/>
        </w:rPr>
        <w:t>https://treluxia-images.pages.dev/hero-dosing.jpeg</w:t>
      </w:r>
    </w:p>
    <w:p>
      <w:pPr>
        <w:jc w:val="center"/>
      </w:pPr>
      <w:r>
        <w:rPr>
          <w:i/>
          <w:color w:val="666666"/>
          <w:sz w:val="16"/>
        </w:rPr>
        <w:t>Usage: Dosing — hero</w:t>
      </w:r>
    </w:p>
    <w:p/>
    <w:p>
      <w:pPr>
        <w:jc w:val="center"/>
      </w:pPr>
      <w:r>
        <w:drawing>
          <wp:inline xmlns:a="http://schemas.openxmlformats.org/drawingml/2006/main" xmlns:pic="http://schemas.openxmlformats.org/drawingml/2006/picture">
            <wp:extent cx="4572000" cy="2551814"/>
            <wp:docPr id="28" name="Picture 28"/>
            <wp:cNvGraphicFramePr>
              <a:graphicFrameLocks noChangeAspect="1"/>
            </wp:cNvGraphicFramePr>
            <a:graphic>
              <a:graphicData uri="http://schemas.openxmlformats.org/drawingml/2006/picture">
                <pic:pic>
                  <pic:nvPicPr>
                    <pic:cNvPr id="0" name="hero-moa.jpeg"/>
                    <pic:cNvPicPr/>
                  </pic:nvPicPr>
                  <pic:blipFill>
                    <a:blip r:embed="rId25"/>
                    <a:stretch>
                      <a:fillRect/>
                    </a:stretch>
                  </pic:blipFill>
                  <pic:spPr>
                    <a:xfrm>
                      <a:off x="0" y="0"/>
                      <a:ext cx="4572000" cy="2551814"/>
                    </a:xfrm>
                    <a:prstGeom prst="rect"/>
                  </pic:spPr>
                </pic:pic>
              </a:graphicData>
            </a:graphic>
          </wp:inline>
        </w:drawing>
      </w:r>
    </w:p>
    <w:p>
      <w:pPr>
        <w:jc w:val="center"/>
      </w:pPr>
      <w:r>
        <w:rPr>
          <w:color w:val="005599"/>
          <w:sz w:val="16"/>
          <w:u w:val="single"/>
        </w:rPr>
        <w:t>https://treluxia-images.pages.dev/hero-moa.jpeg</w:t>
      </w:r>
    </w:p>
    <w:p>
      <w:pPr>
        <w:jc w:val="center"/>
      </w:pPr>
      <w:r>
        <w:rPr>
          <w:i/>
          <w:color w:val="666666"/>
          <w:sz w:val="16"/>
        </w:rPr>
        <w:t>Usage: How TRELUXIA Works — hero</w:t>
      </w:r>
    </w:p>
    <w:p/>
    <w:p>
      <w:pPr>
        <w:jc w:val="center"/>
      </w:pPr>
      <w:r>
        <w:drawing>
          <wp:inline xmlns:a="http://schemas.openxmlformats.org/drawingml/2006/main" xmlns:pic="http://schemas.openxmlformats.org/drawingml/2006/picture">
            <wp:extent cx="2743200" cy="2048256"/>
            <wp:docPr id="29" name="Picture 29"/>
            <wp:cNvGraphicFramePr>
              <a:graphicFrameLocks noChangeAspect="1"/>
            </wp:cNvGraphicFramePr>
            <a:graphic>
              <a:graphicData uri="http://schemas.openxmlformats.org/drawingml/2006/picture">
                <pic:pic>
                  <pic:nvPicPr>
                    <pic:cNvPr id="0" name="card-exacerbations.jpeg"/>
                    <pic:cNvPicPr/>
                  </pic:nvPicPr>
                  <pic:blipFill>
                    <a:blip r:embed="rId10"/>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https://treluxia-images.pages.dev/card-exacerbations.jpeg</w:t>
      </w:r>
    </w:p>
    <w:p>
      <w:pPr>
        <w:jc w:val="center"/>
      </w:pPr>
      <w:r>
        <w:rPr>
          <w:i/>
          <w:color w:val="666666"/>
          <w:sz w:val="16"/>
        </w:rPr>
        <w:t>Usage: Home — exacerbation reduction card</w:t>
      </w:r>
    </w:p>
    <w:p/>
    <w:p>
      <w:pPr>
        <w:jc w:val="center"/>
      </w:pPr>
      <w:r>
        <w:drawing>
          <wp:inline xmlns:a="http://schemas.openxmlformats.org/drawingml/2006/main" xmlns:pic="http://schemas.openxmlformats.org/drawingml/2006/picture">
            <wp:extent cx="2743200" cy="2048256"/>
            <wp:docPr id="30" name="Picture 30"/>
            <wp:cNvGraphicFramePr>
              <a:graphicFrameLocks noChangeAspect="1"/>
            </wp:cNvGraphicFramePr>
            <a:graphic>
              <a:graphicData uri="http://schemas.openxmlformats.org/drawingml/2006/picture">
                <pic:pic>
                  <pic:nvPicPr>
                    <pic:cNvPr id="0" name="card-lung-function.jpeg"/>
                    <pic:cNvPicPr/>
                  </pic:nvPicPr>
                  <pic:blipFill>
                    <a:blip r:embed="rId11"/>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https://treluxia-images.pages.dev/card-lung-function.jpeg</w:t>
      </w:r>
    </w:p>
    <w:p>
      <w:pPr>
        <w:jc w:val="center"/>
      </w:pPr>
      <w:r>
        <w:rPr>
          <w:i/>
          <w:color w:val="666666"/>
          <w:sz w:val="16"/>
        </w:rPr>
        <w:t>Usage: Home — lung function card</w:t>
      </w:r>
    </w:p>
    <w:p/>
    <w:p>
      <w:pPr>
        <w:jc w:val="center"/>
      </w:pPr>
      <w:r>
        <w:drawing>
          <wp:inline xmlns:a="http://schemas.openxmlformats.org/drawingml/2006/main" xmlns:pic="http://schemas.openxmlformats.org/drawingml/2006/picture">
            <wp:extent cx="2743200" cy="2048256"/>
            <wp:docPr id="31" name="Picture 31"/>
            <wp:cNvGraphicFramePr>
              <a:graphicFrameLocks noChangeAspect="1"/>
            </wp:cNvGraphicFramePr>
            <a:graphic>
              <a:graphicData uri="http://schemas.openxmlformats.org/drawingml/2006/picture">
                <pic:pic>
                  <pic:nvPicPr>
                    <pic:cNvPr id="0" name="card-ocs.jpeg"/>
                    <pic:cNvPicPr/>
                  </pic:nvPicPr>
                  <pic:blipFill>
                    <a:blip r:embed="rId12"/>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https://treluxia-images.pages.dev/card-ocs.jpeg</w:t>
      </w:r>
    </w:p>
    <w:p>
      <w:pPr>
        <w:jc w:val="center"/>
      </w:pPr>
      <w:r>
        <w:rPr>
          <w:i/>
          <w:color w:val="666666"/>
          <w:sz w:val="16"/>
        </w:rPr>
        <w:t>Usage: Home — OCS sparing card</w:t>
      </w:r>
    </w:p>
    <w:p/>
    <w:p>
      <w:pPr>
        <w:jc w:val="center"/>
      </w:pPr>
      <w:r>
        <w:drawing>
          <wp:inline xmlns:a="http://schemas.openxmlformats.org/drawingml/2006/main" xmlns:pic="http://schemas.openxmlformats.org/drawingml/2006/picture">
            <wp:extent cx="2743200" cy="2048256"/>
            <wp:docPr id="32" name="Picture 32"/>
            <wp:cNvGraphicFramePr>
              <a:graphicFrameLocks noChangeAspect="1"/>
            </wp:cNvGraphicFramePr>
            <a:graphic>
              <a:graphicData uri="http://schemas.openxmlformats.org/drawingml/2006/picture">
                <pic:pic>
                  <pic:nvPicPr>
                    <pic:cNvPr id="0" name="card-isr.jpeg"/>
                    <pic:cNvPicPr/>
                  </pic:nvPicPr>
                  <pic:blipFill>
                    <a:blip r:embed="rId17"/>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https://treluxia-images.pages.dev/card-isr.jpeg</w:t>
      </w:r>
    </w:p>
    <w:p>
      <w:pPr>
        <w:jc w:val="center"/>
      </w:pPr>
      <w:r>
        <w:rPr>
          <w:i/>
          <w:color w:val="666666"/>
          <w:sz w:val="16"/>
        </w:rPr>
        <w:t>Usage: Safety — injection site reactions card</w:t>
      </w:r>
    </w:p>
    <w:p/>
    <w:p>
      <w:pPr>
        <w:jc w:val="center"/>
      </w:pPr>
      <w:r>
        <w:drawing>
          <wp:inline xmlns:a="http://schemas.openxmlformats.org/drawingml/2006/main" xmlns:pic="http://schemas.openxmlformats.org/drawingml/2006/picture">
            <wp:extent cx="2743200" cy="2048256"/>
            <wp:docPr id="33" name="Picture 33"/>
            <wp:cNvGraphicFramePr>
              <a:graphicFrameLocks noChangeAspect="1"/>
            </wp:cNvGraphicFramePr>
            <a:graphic>
              <a:graphicData uri="http://schemas.openxmlformats.org/drawingml/2006/picture">
                <pic:pic>
                  <pic:nvPicPr>
                    <pic:cNvPr id="0" name="card-anaphylaxis.jpeg"/>
                    <pic:cNvPicPr/>
                  </pic:nvPicPr>
                  <pic:blipFill>
                    <a:blip r:embed="rId18"/>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https://treluxia-images.pages.dev/card-anaphylaxis.jpeg</w:t>
      </w:r>
    </w:p>
    <w:p>
      <w:pPr>
        <w:jc w:val="center"/>
      </w:pPr>
      <w:r>
        <w:rPr>
          <w:i/>
          <w:color w:val="666666"/>
          <w:sz w:val="16"/>
        </w:rPr>
        <w:t>Usage: Safety — anaphylaxis card</w:t>
      </w:r>
    </w:p>
    <w:p/>
    <w:p>
      <w:pPr>
        <w:jc w:val="center"/>
      </w:pPr>
      <w:r>
        <w:drawing>
          <wp:inline xmlns:a="http://schemas.openxmlformats.org/drawingml/2006/main" xmlns:pic="http://schemas.openxmlformats.org/drawingml/2006/picture">
            <wp:extent cx="2743200" cy="2048256"/>
            <wp:docPr id="34" name="Picture 34"/>
            <wp:cNvGraphicFramePr>
              <a:graphicFrameLocks noChangeAspect="1"/>
            </wp:cNvGraphicFramePr>
            <a:graphic>
              <a:graphicData uri="http://schemas.openxmlformats.org/drawingml/2006/picture">
                <pic:pic>
                  <pic:nvPicPr>
                    <pic:cNvPr id="0" name="card-infections.jpeg"/>
                    <pic:cNvPicPr/>
                  </pic:nvPicPr>
                  <pic:blipFill>
                    <a:blip r:embed="rId19"/>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https://treluxia-images.pages.dev/card-infections.jpeg</w:t>
      </w:r>
    </w:p>
    <w:p>
      <w:pPr>
        <w:jc w:val="center"/>
      </w:pPr>
      <w:r>
        <w:rPr>
          <w:i/>
          <w:color w:val="666666"/>
          <w:sz w:val="16"/>
        </w:rPr>
        <w:t>Usage: Safety — infections card</w:t>
      </w:r>
    </w:p>
    <w:p/>
    <w:p>
      <w:pPr>
        <w:jc w:val="center"/>
      </w:pPr>
      <w:r>
        <w:drawing>
          <wp:inline xmlns:a="http://schemas.openxmlformats.org/drawingml/2006/main" xmlns:pic="http://schemas.openxmlformats.org/drawingml/2006/picture">
            <wp:extent cx="2743200" cy="2048256"/>
            <wp:docPr id="35" name="Picture 35"/>
            <wp:cNvGraphicFramePr>
              <a:graphicFrameLocks noChangeAspect="1"/>
            </wp:cNvGraphicFramePr>
            <a:graphic>
              <a:graphicData uri="http://schemas.openxmlformats.org/drawingml/2006/picture">
                <pic:pic>
                  <pic:nvPicPr>
                    <pic:cNvPr id="0" name="card-prescribing-guide.jpeg"/>
                    <pic:cNvPicPr/>
                  </pic:nvPicPr>
                  <pic:blipFill>
                    <a:blip r:embed="rId29"/>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https://treluxia-images.pages.dev/card-prescribing-guide.jpeg</w:t>
      </w:r>
    </w:p>
    <w:p>
      <w:pPr>
        <w:jc w:val="center"/>
      </w:pPr>
      <w:r>
        <w:rPr>
          <w:i/>
          <w:color w:val="666666"/>
          <w:sz w:val="16"/>
        </w:rPr>
        <w:t>Usage: Resources — prescribing guide card</w:t>
      </w:r>
    </w:p>
    <w:p/>
    <w:p>
      <w:pPr>
        <w:jc w:val="center"/>
      </w:pPr>
      <w:r>
        <w:drawing>
          <wp:inline xmlns:a="http://schemas.openxmlformats.org/drawingml/2006/main" xmlns:pic="http://schemas.openxmlformats.org/drawingml/2006/picture">
            <wp:extent cx="2743200" cy="2048256"/>
            <wp:docPr id="36" name="Picture 36"/>
            <wp:cNvGraphicFramePr>
              <a:graphicFrameLocks noChangeAspect="1"/>
            </wp:cNvGraphicFramePr>
            <a:graphic>
              <a:graphicData uri="http://schemas.openxmlformats.org/drawingml/2006/picture">
                <pic:pic>
                  <pic:nvPicPr>
                    <pic:cNvPr id="0" name="card-patient-materials.jpeg"/>
                    <pic:cNvPicPr/>
                  </pic:nvPicPr>
                  <pic:blipFill>
                    <a:blip r:embed="rId30"/>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https://treluxia-images.pages.dev/card-patient-materials.jpeg</w:t>
      </w:r>
    </w:p>
    <w:p>
      <w:pPr>
        <w:jc w:val="center"/>
      </w:pPr>
      <w:r>
        <w:rPr>
          <w:i/>
          <w:color w:val="666666"/>
          <w:sz w:val="16"/>
        </w:rPr>
        <w:t>Usage: Resources — patient materials card</w:t>
      </w:r>
    </w:p>
    <w:p/>
    <w:p>
      <w:pPr>
        <w:jc w:val="center"/>
      </w:pPr>
      <w:r>
        <w:drawing>
          <wp:inline xmlns:a="http://schemas.openxmlformats.org/drawingml/2006/main" xmlns:pic="http://schemas.openxmlformats.org/drawingml/2006/picture">
            <wp:extent cx="2743200" cy="2048256"/>
            <wp:docPr id="37" name="Picture 37"/>
            <wp:cNvGraphicFramePr>
              <a:graphicFrameLocks noChangeAspect="1"/>
            </wp:cNvGraphicFramePr>
            <a:graphic>
              <a:graphicData uri="http://schemas.openxmlformats.org/drawingml/2006/picture">
                <pic:pic>
                  <pic:nvPicPr>
                    <pic:cNvPr id="0" name="card-clinical-data.jpeg"/>
                    <pic:cNvPicPr/>
                  </pic:nvPicPr>
                  <pic:blipFill>
                    <a:blip r:embed="rId31"/>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https://treluxia-images.pages.dev/card-clinical-data.jpeg</w:t>
      </w:r>
    </w:p>
    <w:p>
      <w:pPr>
        <w:jc w:val="center"/>
      </w:pPr>
      <w:r>
        <w:rPr>
          <w:i/>
          <w:color w:val="666666"/>
          <w:sz w:val="16"/>
        </w:rPr>
        <w:t>Usage: Resources — clinical data card</w:t>
      </w:r>
    </w:p>
    <w:p/>
    <w:p>
      <w:pPr>
        <w:jc w:val="center"/>
      </w:pPr>
      <w:r>
        <w:drawing>
          <wp:inline xmlns:a="http://schemas.openxmlformats.org/drawingml/2006/main" xmlns:pic="http://schemas.openxmlformats.org/drawingml/2006/picture">
            <wp:extent cx="2743200" cy="2048256"/>
            <wp:docPr id="38" name="Picture 38"/>
            <wp:cNvGraphicFramePr>
              <a:graphicFrameLocks noChangeAspect="1"/>
            </wp:cNvGraphicFramePr>
            <a:graphic>
              <a:graphicData uri="http://schemas.openxmlformats.org/drawingml/2006/picture">
                <pic:pic>
                  <pic:nvPicPr>
                    <pic:cNvPr id="0" name="columns-moa-preview.jpeg"/>
                    <pic:cNvPicPr/>
                  </pic:nvPicPr>
                  <pic:blipFill>
                    <a:blip r:embed="rId13"/>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https://treluxia-images.pages.dev/columns-moa-preview.jpeg</w:t>
      </w:r>
    </w:p>
    <w:p>
      <w:pPr>
        <w:jc w:val="center"/>
      </w:pPr>
      <w:r>
        <w:rPr>
          <w:i/>
          <w:color w:val="666666"/>
          <w:sz w:val="16"/>
        </w:rPr>
        <w:t>Usage: Home — MoA teaser</w:t>
      </w:r>
    </w:p>
    <w:p/>
    <w:p>
      <w:pPr>
        <w:jc w:val="center"/>
      </w:pPr>
      <w:r>
        <w:drawing>
          <wp:inline xmlns:a="http://schemas.openxmlformats.org/drawingml/2006/main" xmlns:pic="http://schemas.openxmlformats.org/drawingml/2006/picture">
            <wp:extent cx="2743200" cy="2048256"/>
            <wp:docPr id="39" name="Picture 39"/>
            <wp:cNvGraphicFramePr>
              <a:graphicFrameLocks noChangeAspect="1"/>
            </wp:cNvGraphicFramePr>
            <a:graphic>
              <a:graphicData uri="http://schemas.openxmlformats.org/drawingml/2006/picture">
                <pic:pic>
                  <pic:nvPicPr>
                    <pic:cNvPr id="0" name="columns-dosing.jpeg"/>
                    <pic:cNvPicPr/>
                  </pic:nvPicPr>
                  <pic:blipFill>
                    <a:blip r:embed="rId22"/>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https://treluxia-images.pages.dev/columns-dosing.jpeg</w:t>
      </w:r>
    </w:p>
    <w:p>
      <w:pPr>
        <w:jc w:val="center"/>
      </w:pPr>
      <w:r>
        <w:rPr>
          <w:i/>
          <w:color w:val="666666"/>
          <w:sz w:val="16"/>
        </w:rPr>
        <w:t>Usage: Dosing — regimen</w:t>
      </w:r>
    </w:p>
    <w:p/>
    <w:p>
      <w:pPr>
        <w:jc w:val="center"/>
      </w:pPr>
      <w:r>
        <w:drawing>
          <wp:inline xmlns:a="http://schemas.openxmlformats.org/drawingml/2006/main" xmlns:pic="http://schemas.openxmlformats.org/drawingml/2006/picture">
            <wp:extent cx="2743200" cy="2048256"/>
            <wp:docPr id="40" name="Picture 40"/>
            <wp:cNvGraphicFramePr>
              <a:graphicFrameLocks noChangeAspect="1"/>
            </wp:cNvGraphicFramePr>
            <a:graphic>
              <a:graphicData uri="http://schemas.openxmlformats.org/drawingml/2006/picture">
                <pic:pic>
                  <pic:nvPicPr>
                    <pic:cNvPr id="0" name="columns-admin.jpeg"/>
                    <pic:cNvPicPr/>
                  </pic:nvPicPr>
                  <pic:blipFill>
                    <a:blip r:embed="rId23"/>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https://treluxia-images.pages.dev/columns-admin.jpeg</w:t>
      </w:r>
    </w:p>
    <w:p>
      <w:pPr>
        <w:jc w:val="center"/>
      </w:pPr>
      <w:r>
        <w:rPr>
          <w:i/>
          <w:color w:val="666666"/>
          <w:sz w:val="16"/>
        </w:rPr>
        <w:t>Usage: Dosing — administration</w:t>
      </w:r>
    </w:p>
    <w:p/>
    <w:p>
      <w:pPr>
        <w:jc w:val="center"/>
      </w:pPr>
      <w:r>
        <w:drawing>
          <wp:inline xmlns:a="http://schemas.openxmlformats.org/drawingml/2006/main" xmlns:pic="http://schemas.openxmlformats.org/drawingml/2006/picture">
            <wp:extent cx="2743200" cy="2048256"/>
            <wp:docPr id="41" name="Picture 41"/>
            <wp:cNvGraphicFramePr>
              <a:graphicFrameLocks noChangeAspect="1"/>
            </wp:cNvGraphicFramePr>
            <a:graphic>
              <a:graphicData uri="http://schemas.openxmlformats.org/drawingml/2006/picture">
                <pic:pic>
                  <pic:nvPicPr>
                    <pic:cNvPr id="0" name="columns-ocs-management.jpeg"/>
                    <pic:cNvPicPr/>
                  </pic:nvPicPr>
                  <pic:blipFill>
                    <a:blip r:embed="rId24"/>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https://treluxia-images.pages.dev/columns-ocs-management.jpeg</w:t>
      </w:r>
    </w:p>
    <w:p>
      <w:pPr>
        <w:jc w:val="center"/>
      </w:pPr>
      <w:r>
        <w:rPr>
          <w:i/>
          <w:color w:val="666666"/>
          <w:sz w:val="16"/>
        </w:rPr>
        <w:t>Usage: Dosing — OCS management</w:t>
      </w:r>
    </w:p>
    <w:p/>
    <w:p>
      <w:pPr>
        <w:jc w:val="center"/>
      </w:pPr>
      <w:r>
        <w:drawing>
          <wp:inline xmlns:a="http://schemas.openxmlformats.org/drawingml/2006/main" xmlns:pic="http://schemas.openxmlformats.org/drawingml/2006/picture">
            <wp:extent cx="2743200" cy="2048256"/>
            <wp:docPr id="42" name="Picture 42"/>
            <wp:cNvGraphicFramePr>
              <a:graphicFrameLocks noChangeAspect="1"/>
            </wp:cNvGraphicFramePr>
            <a:graphic>
              <a:graphicData uri="http://schemas.openxmlformats.org/drawingml/2006/picture">
                <pic:pic>
                  <pic:nvPicPr>
                    <pic:cNvPr id="0" name="columns-tslp-pathway.jpeg"/>
                    <pic:cNvPicPr/>
                  </pic:nvPicPr>
                  <pic:blipFill>
                    <a:blip r:embed="rId26"/>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https://treluxia-images.pages.dev/columns-tslp-pathway.jpeg</w:t>
      </w:r>
    </w:p>
    <w:p>
      <w:pPr>
        <w:jc w:val="center"/>
      </w:pPr>
      <w:r>
        <w:rPr>
          <w:i/>
          <w:color w:val="666666"/>
          <w:sz w:val="16"/>
        </w:rPr>
        <w:t>Usage: MoA — TSLP pathway</w:t>
      </w:r>
    </w:p>
    <w:p/>
    <w:p>
      <w:pPr>
        <w:jc w:val="center"/>
      </w:pPr>
      <w:r>
        <w:drawing>
          <wp:inline xmlns:a="http://schemas.openxmlformats.org/drawingml/2006/main" xmlns:pic="http://schemas.openxmlformats.org/drawingml/2006/picture">
            <wp:extent cx="2743200" cy="2048256"/>
            <wp:docPr id="43" name="Picture 43"/>
            <wp:cNvGraphicFramePr>
              <a:graphicFrameLocks noChangeAspect="1"/>
            </wp:cNvGraphicFramePr>
            <a:graphic>
              <a:graphicData uri="http://schemas.openxmlformats.org/drawingml/2006/picture">
                <pic:pic>
                  <pic:nvPicPr>
                    <pic:cNvPr id="0" name="columns-mechanism.jpeg"/>
                    <pic:cNvPicPr/>
                  </pic:nvPicPr>
                  <pic:blipFill>
                    <a:blip r:embed="rId27"/>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https://treluxia-images.pages.dev/columns-mechanism.jpeg</w:t>
      </w:r>
    </w:p>
    <w:p>
      <w:pPr>
        <w:jc w:val="center"/>
      </w:pPr>
      <w:r>
        <w:rPr>
          <w:i/>
          <w:color w:val="666666"/>
          <w:sz w:val="16"/>
        </w:rPr>
        <w:t>Usage: MoA — TRELUXIA mechanism</w:t>
      </w:r>
    </w:p>
    <w:p/>
    <w:p>
      <w:pPr>
        <w:jc w:val="center"/>
      </w:pPr>
      <w:r>
        <w:drawing>
          <wp:inline xmlns:a="http://schemas.openxmlformats.org/drawingml/2006/main" xmlns:pic="http://schemas.openxmlformats.org/drawingml/2006/picture">
            <wp:extent cx="2743200" cy="2048256"/>
            <wp:docPr id="44" name="Picture 44"/>
            <wp:cNvGraphicFramePr>
              <a:graphicFrameLocks noChangeAspect="1"/>
            </wp:cNvGraphicFramePr>
            <a:graphic>
              <a:graphicData uri="http://schemas.openxmlformats.org/drawingml/2006/picture">
                <pic:pic>
                  <pic:nvPicPr>
                    <pic:cNvPr id="0" name="columns-positioning.jpeg"/>
                    <pic:cNvPicPr/>
                  </pic:nvPicPr>
                  <pic:blipFill>
                    <a:blip r:embed="rId28"/>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https://treluxia-images.pages.dev/columns-positioning.jpeg</w:t>
      </w:r>
    </w:p>
    <w:p>
      <w:pPr>
        <w:jc w:val="center"/>
      </w:pPr>
      <w:r>
        <w:rPr>
          <w:i/>
          <w:color w:val="666666"/>
          <w:sz w:val="16"/>
        </w:rPr>
        <w:t>Usage: MoA — treatment positioning</w:t>
      </w:r>
    </w:p>
    <w:p/>
    <w:p>
      <w:pPr>
        <w:jc w:val="center"/>
      </w:pPr>
      <w:r>
        <w:drawing>
          <wp:inline xmlns:a="http://schemas.openxmlformats.org/drawingml/2006/main" xmlns:pic="http://schemas.openxmlformats.org/drawingml/2006/picture">
            <wp:extent cx="2743200" cy="2048256"/>
            <wp:docPr id="45" name="Picture 45"/>
            <wp:cNvGraphicFramePr>
              <a:graphicFrameLocks noChangeAspect="1"/>
            </wp:cNvGraphicFramePr>
            <a:graphic>
              <a:graphicData uri="http://schemas.openxmlformats.org/drawingml/2006/picture">
                <pic:pic>
                  <pic:nvPicPr>
                    <pic:cNvPr id="0" name="columns-special-pops.jpeg"/>
                    <pic:cNvPicPr/>
                  </pic:nvPicPr>
                  <pic:blipFill>
                    <a:blip r:embed="rId20"/>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https://treluxia-images.pages.dev/columns-special-pops.jpeg</w:t>
      </w:r>
    </w:p>
    <w:p>
      <w:pPr>
        <w:jc w:val="center"/>
      </w:pPr>
      <w:r>
        <w:rPr>
          <w:i/>
          <w:color w:val="666666"/>
          <w:sz w:val="16"/>
        </w:rPr>
        <w:t>Usage: Safety — special populations</w:t>
      </w:r>
    </w:p>
    <w:p/>
    <w:p>
      <w:pPr>
        <w:jc w:val="center"/>
      </w:pPr>
      <w:r>
        <w:drawing>
          <wp:inline xmlns:a="http://schemas.openxmlformats.org/drawingml/2006/main" xmlns:pic="http://schemas.openxmlformats.org/drawingml/2006/picture">
            <wp:extent cx="2743200" cy="2048256"/>
            <wp:docPr id="46" name="Picture 46"/>
            <wp:cNvGraphicFramePr>
              <a:graphicFrameLocks noChangeAspect="1"/>
            </wp:cNvGraphicFramePr>
            <a:graphic>
              <a:graphicData uri="http://schemas.openxmlformats.org/drawingml/2006/picture">
                <pic:pic>
                  <pic:nvPicPr>
                    <pic:cNvPr id="0" name="columns-contact.jpeg"/>
                    <pic:cNvPicPr/>
                  </pic:nvPicPr>
                  <pic:blipFill>
                    <a:blip r:embed="rId32"/>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https://treluxia-images.pages.dev/columns-contact.jpeg</w:t>
      </w:r>
    </w:p>
    <w:p>
      <w:pPr>
        <w:jc w:val="center"/>
      </w:pPr>
      <w:r>
        <w:rPr>
          <w:i/>
          <w:color w:val="666666"/>
          <w:sz w:val="16"/>
        </w:rPr>
        <w:t>Usage: Resources — contact</w:t>
      </w:r>
    </w:p>
    <w:p/>
    <w:p>
      <w:pPr>
        <w:jc w:val="center"/>
      </w:pPr>
      <w:r>
        <w:drawing>
          <wp:inline xmlns:a="http://schemas.openxmlformats.org/drawingml/2006/main" xmlns:pic="http://schemas.openxmlformats.org/drawingml/2006/picture">
            <wp:extent cx="2743200" cy="2048256"/>
            <wp:docPr id="47" name="Picture 47"/>
            <wp:cNvGraphicFramePr>
              <a:graphicFrameLocks noChangeAspect="1"/>
            </wp:cNvGraphicFramePr>
            <a:graphic>
              <a:graphicData uri="http://schemas.openxmlformats.org/drawingml/2006/picture">
                <pic:pic>
                  <pic:nvPicPr>
                    <pic:cNvPr id="0" name="tab-luminos1.jpeg"/>
                    <pic:cNvPicPr/>
                  </pic:nvPicPr>
                  <pic:blipFill>
                    <a:blip r:embed="rId15"/>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https://treluxia-images.pages.dev/tab-luminos1.jpeg</w:t>
      </w:r>
    </w:p>
    <w:p>
      <w:pPr>
        <w:jc w:val="center"/>
      </w:pPr>
      <w:r>
        <w:rPr>
          <w:i/>
          <w:color w:val="666666"/>
          <w:sz w:val="16"/>
        </w:rPr>
        <w:t>Usage: LUMINOS Data — exacerbation tab</w:t>
      </w:r>
    </w:p>
    <w:p/>
    <w:p>
      <w:pPr>
        <w:jc w:val="center"/>
      </w:pPr>
      <w:r>
        <w:drawing>
          <wp:inline xmlns:a="http://schemas.openxmlformats.org/drawingml/2006/main" xmlns:pic="http://schemas.openxmlformats.org/drawingml/2006/picture">
            <wp:extent cx="2743200" cy="2048256"/>
            <wp:docPr id="48" name="Picture 48"/>
            <wp:cNvGraphicFramePr>
              <a:graphicFrameLocks noChangeAspect="1"/>
            </wp:cNvGraphicFramePr>
            <a:graphic>
              <a:graphicData uri="http://schemas.openxmlformats.org/drawingml/2006/picture">
                <pic:pic>
                  <pic:nvPicPr>
                    <pic:cNvPr id="0" name="tab-luminos-ocs.jpeg"/>
                    <pic:cNvPicPr/>
                  </pic:nvPicPr>
                  <pic:blipFill>
                    <a:blip r:embed="rId16"/>
                    <a:stretch>
                      <a:fillRect/>
                    </a:stretch>
                  </pic:blipFill>
                  <pic:spPr>
                    <a:xfrm>
                      <a:off x="0" y="0"/>
                      <a:ext cx="2743200" cy="2048256"/>
                    </a:xfrm>
                    <a:prstGeom prst="rect"/>
                  </pic:spPr>
                </pic:pic>
              </a:graphicData>
            </a:graphic>
          </wp:inline>
        </w:drawing>
      </w:r>
    </w:p>
    <w:p>
      <w:pPr>
        <w:jc w:val="center"/>
      </w:pPr>
      <w:r>
        <w:rPr>
          <w:color w:val="005599"/>
          <w:sz w:val="16"/>
          <w:u w:val="single"/>
        </w:rPr>
        <w:t>https://treluxia-images.pages.dev/tab-luminos-ocs.jpeg</w:t>
      </w:r>
    </w:p>
    <w:p>
      <w:pPr>
        <w:jc w:val="center"/>
      </w:pPr>
      <w:r>
        <w:rPr>
          <w:i/>
          <w:color w:val="666666"/>
          <w:sz w:val="16"/>
        </w:rPr>
        <w:t>Usage: LUMINOS Data — OCS sparing tab</w:t>
      </w:r>
    </w:p>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63B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300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300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3005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83005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image" Target="media/image22.jpeg"/><Relationship Id="rId31" Type="http://schemas.openxmlformats.org/officeDocument/2006/relationships/image" Target="media/image23.jpeg"/><Relationship Id="rId32"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