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30051"/>
          <w:sz w:val="72"/>
        </w:rPr>
        <w:t>SERANOVA™</w:t>
      </w:r>
    </w:p>
    <w:p>
      <w:pPr>
        <w:jc w:val="center"/>
      </w:pPr>
      <w:r>
        <w:rPr>
          <w:color w:val="363B3B"/>
          <w:sz w:val="36"/>
        </w:rPr>
        <w:t>(valinectra)</w:t>
      </w:r>
    </w:p>
    <w:p/>
    <w:p>
      <w:pPr>
        <w:jc w:val="center"/>
      </w:pPr>
      <w:r>
        <w:rPr>
          <w:b/>
          <w:color w:val="0072B2"/>
          <w:sz w:val="48"/>
        </w:rPr>
        <w:t>Website Briefing</w:t>
      </w:r>
    </w:p>
    <w:p/>
    <w:p>
      <w:pPr>
        <w:jc w:val="center"/>
      </w:pPr>
      <w:r>
        <w:rPr>
          <w:i/>
          <w:color w:val="0072B2"/>
          <w:sz w:val="28"/>
        </w:rPr>
        <w:t>Protecting what matters.</w:t>
      </w:r>
    </w:p>
    <w:p/>
    <w:p>
      <w:pPr>
        <w:jc w:val="center"/>
      </w:pPr>
      <w:r>
        <w:rPr>
          <w:color w:val="666666"/>
          <w:sz w:val="20"/>
        </w:rPr>
        <w:t>Document type: Final approved marketing brief for HCP website build</w:t>
      </w:r>
    </w:p>
    <w:p>
      <w:pPr>
        <w:jc w:val="center"/>
      </w:pPr>
      <w:r>
        <w:rPr>
          <w:color w:val="666666"/>
          <w:sz w:val="20"/>
        </w:rPr>
        <w:t>Prepared by: Marketing — UK Cardiorenal Franchise</w:t>
      </w:r>
    </w:p>
    <w:p>
      <w:pPr>
        <w:jc w:val="center"/>
      </w:pPr>
      <w:r>
        <w:rPr>
          <w:color w:val="666666"/>
          <w:sz w:val="20"/>
        </w:rPr>
        <w:t>Approval status: MLR-approved copy — do not modify</w:t>
      </w:r>
    </w:p>
    <w:p>
      <w:pPr>
        <w:jc w:val="center"/>
      </w:pPr>
      <w:r>
        <w:rPr>
          <w:color w:val="666666"/>
          <w:sz w:val="20"/>
        </w:rPr>
        <w:t>Date: March 2026</w:t>
      </w:r>
    </w:p>
    <w:p>
      <w:pPr>
        <w:jc w:val="center"/>
      </w:pPr>
      <w:r>
        <w:rPr>
          <w:color w:val="666666"/>
          <w:sz w:val="20"/>
        </w:rPr>
        <w:t>Approval code: GB-96017 | DOP: March 2026</w:t>
      </w:r>
    </w:p>
    <w:p>
      <w:r>
        <w:br w:type="page"/>
      </w:r>
    </w:p>
    <w:p>
      <w:pPr>
        <w:pStyle w:val="Heading1"/>
      </w:pPr>
      <w:r>
        <w:rPr>
          <w:color w:val="830051"/>
        </w:rPr>
        <w:t>Contents</w:t>
      </w:r>
    </w:p>
    <w:p>
      <w:r>
        <w:rPr>
          <w:color w:val="363B3B"/>
          <w:sz w:val="20"/>
        </w:rPr>
        <w:t>1. Drug Profile</w:t>
      </w:r>
    </w:p>
    <w:p>
      <w:r>
        <w:rPr>
          <w:color w:val="363B3B"/>
          <w:sz w:val="20"/>
        </w:rPr>
        <w:t>2. Mechanism of Action</w:t>
      </w:r>
    </w:p>
    <w:p>
      <w:r>
        <w:rPr>
          <w:color w:val="363B3B"/>
          <w:sz w:val="20"/>
        </w:rPr>
        <w:t>3. Clinical Programme: RENOVA</w:t>
      </w:r>
    </w:p>
    <w:p>
      <w:r>
        <w:rPr>
          <w:color w:val="363B3B"/>
          <w:sz w:val="20"/>
        </w:rPr>
        <w:t>4. Safety Profile</w:t>
      </w:r>
    </w:p>
    <w:p>
      <w:r>
        <w:rPr>
          <w:color w:val="363B3B"/>
          <w:sz w:val="20"/>
        </w:rPr>
        <w:t>5. Prescribing Information</w:t>
      </w:r>
    </w:p>
    <w:p>
      <w:r>
        <w:rPr>
          <w:color w:val="363B3B"/>
          <w:sz w:val="20"/>
        </w:rPr>
        <w:t>6. Adverse Event Reporting</w:t>
      </w:r>
    </w:p>
    <w:p>
      <w:r>
        <w:rPr>
          <w:color w:val="363B3B"/>
          <w:sz w:val="20"/>
        </w:rPr>
        <w:t>7. References</w:t>
      </w:r>
    </w:p>
    <w:p>
      <w:r>
        <w:rPr>
          <w:color w:val="363B3B"/>
          <w:sz w:val="20"/>
        </w:rPr>
        <w:t>8. Site Navigation</w:t>
      </w:r>
    </w:p>
    <w:p>
      <w:r>
        <w:rPr>
          <w:color w:val="363B3B"/>
          <w:sz w:val="20"/>
        </w:rPr>
        <w:t>9. Page Content</w:t>
      </w:r>
    </w:p>
    <w:p>
      <w:r>
        <w:rPr>
          <w:color w:val="363B3B"/>
          <w:sz w:val="20"/>
        </w:rPr>
        <w:t xml:space="preserve">   Page 1: Home</w:t>
      </w:r>
    </w:p>
    <w:p>
      <w:r>
        <w:rPr>
          <w:color w:val="363B3B"/>
          <w:sz w:val="20"/>
        </w:rPr>
        <w:t xml:space="preserve">   Page 2: RENOVA Data</w:t>
      </w:r>
    </w:p>
    <w:p>
      <w:r>
        <w:rPr>
          <w:color w:val="363B3B"/>
          <w:sz w:val="20"/>
        </w:rPr>
        <w:t xml:space="preserve">   Page 3: Safety</w:t>
      </w:r>
    </w:p>
    <w:p>
      <w:r>
        <w:rPr>
          <w:color w:val="363B3B"/>
          <w:sz w:val="20"/>
        </w:rPr>
        <w:t xml:space="preserve">   Page 4: Dosing &amp; Monitoring</w:t>
      </w:r>
    </w:p>
    <w:p>
      <w:r>
        <w:rPr>
          <w:color w:val="363B3B"/>
          <w:sz w:val="20"/>
        </w:rPr>
        <w:t xml:space="preserve">   Page 5: How SERANOVA Works</w:t>
      </w:r>
    </w:p>
    <w:p>
      <w:r>
        <w:rPr>
          <w:color w:val="363B3B"/>
          <w:sz w:val="20"/>
        </w:rPr>
        <w:t xml:space="preserve">   Page 6: Resources</w:t>
      </w:r>
    </w:p>
    <w:p>
      <w:r>
        <w:rPr>
          <w:color w:val="363B3B"/>
          <w:sz w:val="20"/>
        </w:rPr>
        <w:t>10. Footer Content</w:t>
      </w:r>
    </w:p>
    <w:p>
      <w:r>
        <w:rPr>
          <w:color w:val="363B3B"/>
          <w:sz w:val="20"/>
        </w:rPr>
        <w:t>11. Image Assets</w:t>
      </w:r>
    </w:p>
    <w:p>
      <w:r>
        <w:br w:type="page"/>
      </w:r>
    </w:p>
    <w:p>
      <w:pPr>
        <w:pStyle w:val="Heading1"/>
      </w:pPr>
      <w:r>
        <w:rPr>
          <w:color w:val="830051"/>
        </w:rPr>
        <w:t>1. Drug Profile</w:t>
      </w:r>
    </w:p>
    <w:tbl>
      <w:tblPr>
        <w:tblStyle w:val="TableGrid"/>
        <w:tblW w:type="auto" w:w="0"/>
        <w:jc w:val="center"/>
        <w:tblLook w:firstColumn="1" w:firstRow="1" w:lastColumn="0" w:lastRow="0" w:noHBand="0" w:noVBand="1" w:val="04A0"/>
      </w:tblPr>
      <w:tblGrid>
        <w:gridCol w:w="4536"/>
        <w:gridCol w:w="4536"/>
      </w:tblGrid>
      <w:tr>
        <w:tc>
          <w:tcPr>
            <w:tcW w:type="dxa" w:w="4536"/>
            <w:shd w:fill="830051"/>
          </w:tcPr>
          <w:p>
            <w:r/>
            <w:r>
              <w:rPr>
                <w:b/>
                <w:color w:val="FFFFFF"/>
                <w:sz w:val="18"/>
              </w:rPr>
              <w:t>Field</w:t>
            </w:r>
          </w:p>
        </w:tc>
        <w:tc>
          <w:tcPr>
            <w:tcW w:type="dxa" w:w="4536"/>
            <w:shd w:fill="830051"/>
          </w:tcPr>
          <w:p>
            <w:r/>
            <w:r>
              <w:rPr>
                <w:b/>
                <w:color w:val="FFFFFF"/>
                <w:sz w:val="18"/>
              </w:rPr>
              <w:t>Detail</w:t>
            </w:r>
          </w:p>
        </w:tc>
      </w:tr>
      <w:tr>
        <w:tc>
          <w:tcPr>
            <w:tcW w:type="dxa" w:w="4536"/>
          </w:tcPr>
          <w:p>
            <w:r/>
            <w:r>
              <w:rPr>
                <w:color w:val="363B3B"/>
                <w:sz w:val="18"/>
              </w:rPr>
              <w:t>Brand name</w:t>
            </w:r>
          </w:p>
        </w:tc>
        <w:tc>
          <w:tcPr>
            <w:tcW w:type="dxa" w:w="4536"/>
          </w:tcPr>
          <w:p>
            <w:r/>
            <w:r>
              <w:rPr>
                <w:color w:val="363B3B"/>
                <w:sz w:val="18"/>
              </w:rPr>
              <w:t>SERANOVA</w:t>
            </w:r>
          </w:p>
        </w:tc>
      </w:tr>
      <w:tr>
        <w:tc>
          <w:tcPr>
            <w:tcW w:type="dxa" w:w="4536"/>
            <w:shd w:fill="F8F8F8"/>
          </w:tcPr>
          <w:p>
            <w:r/>
            <w:r>
              <w:rPr>
                <w:color w:val="363B3B"/>
                <w:sz w:val="18"/>
              </w:rPr>
              <w:t>Generic name</w:t>
            </w:r>
          </w:p>
        </w:tc>
        <w:tc>
          <w:tcPr>
            <w:tcW w:type="dxa" w:w="4536"/>
            <w:shd w:fill="F8F8F8"/>
          </w:tcPr>
          <w:p>
            <w:r/>
            <w:r>
              <w:rPr>
                <w:color w:val="363B3B"/>
                <w:sz w:val="18"/>
              </w:rPr>
              <w:t>valinectra</w:t>
            </w:r>
          </w:p>
        </w:tc>
      </w:tr>
      <w:tr>
        <w:tc>
          <w:tcPr>
            <w:tcW w:type="dxa" w:w="4536"/>
          </w:tcPr>
          <w:p>
            <w:r/>
            <w:r>
              <w:rPr>
                <w:color w:val="363B3B"/>
                <w:sz w:val="18"/>
              </w:rPr>
              <w:t>Drug class</w:t>
            </w:r>
          </w:p>
        </w:tc>
        <w:tc>
          <w:tcPr>
            <w:tcW w:type="dxa" w:w="4536"/>
          </w:tcPr>
          <w:p>
            <w:r/>
            <w:r>
              <w:rPr>
                <w:color w:val="363B3B"/>
                <w:sz w:val="18"/>
              </w:rPr>
              <w:t>Non-steroidal selective mineralocorticoid receptor antagonist (ns-MRA)</w:t>
            </w:r>
          </w:p>
        </w:tc>
      </w:tr>
      <w:tr>
        <w:tc>
          <w:tcPr>
            <w:tcW w:type="dxa" w:w="4536"/>
            <w:shd w:fill="F8F8F8"/>
          </w:tcPr>
          <w:p>
            <w:r/>
            <w:r>
              <w:rPr>
                <w:color w:val="363B3B"/>
                <w:sz w:val="18"/>
              </w:rPr>
              <w:t>Indication</w:t>
            </w:r>
          </w:p>
        </w:tc>
        <w:tc>
          <w:tcPr>
            <w:tcW w:type="dxa" w:w="4536"/>
            <w:shd w:fill="F8F8F8"/>
          </w:tcPr>
          <w:p>
            <w:r/>
            <w:r>
              <w:rPr>
                <w:color w:val="363B3B"/>
                <w:sz w:val="18"/>
              </w:rPr>
              <w:t>Reduction of sustained eGFR decline, end-stage kidney disease, cardiovascular death, and hospitalisation for heart failure in adults with chronic kidney disease associated with type 2 diabetes mellitus</w:t>
            </w:r>
          </w:p>
        </w:tc>
      </w:tr>
      <w:tr>
        <w:tc>
          <w:tcPr>
            <w:tcW w:type="dxa" w:w="4536"/>
          </w:tcPr>
          <w:p>
            <w:r/>
            <w:r>
              <w:rPr>
                <w:color w:val="363B3B"/>
                <w:sz w:val="18"/>
              </w:rPr>
              <w:t>Extended indication</w:t>
            </w:r>
          </w:p>
        </w:tc>
        <w:tc>
          <w:tcPr>
            <w:tcW w:type="dxa" w:w="4536"/>
          </w:tcPr>
          <w:p>
            <w:r/>
            <w:r>
              <w:rPr>
                <w:color w:val="363B3B"/>
                <w:sz w:val="18"/>
              </w:rPr>
              <w:t>Reduction of cardiovascular death and hospitalisation for heart failure in adults with chronic kidney disease (eGFR 25–75 mL/min/1.73m² and UACR ≥30 mg/g) associated with type 2 diabetes mellitus</w:t>
            </w:r>
          </w:p>
        </w:tc>
      </w:tr>
      <w:tr>
        <w:tc>
          <w:tcPr>
            <w:tcW w:type="dxa" w:w="4536"/>
            <w:shd w:fill="F8F8F8"/>
          </w:tcPr>
          <w:p>
            <w:r/>
            <w:r>
              <w:rPr>
                <w:color w:val="363B3B"/>
                <w:sz w:val="18"/>
              </w:rPr>
              <w:t>Formulation</w:t>
            </w:r>
          </w:p>
        </w:tc>
        <w:tc>
          <w:tcPr>
            <w:tcW w:type="dxa" w:w="4536"/>
            <w:shd w:fill="F8F8F8"/>
          </w:tcPr>
          <w:p>
            <w:r/>
            <w:r>
              <w:rPr>
                <w:color w:val="363B3B"/>
                <w:sz w:val="18"/>
              </w:rPr>
              <w:t>10 mg and 20 mg film-coated tablets</w:t>
            </w:r>
          </w:p>
        </w:tc>
      </w:tr>
      <w:tr>
        <w:tc>
          <w:tcPr>
            <w:tcW w:type="dxa" w:w="4536"/>
          </w:tcPr>
          <w:p>
            <w:r/>
            <w:r>
              <w:rPr>
                <w:color w:val="363B3B"/>
                <w:sz w:val="18"/>
              </w:rPr>
              <w:t>Dosing</w:t>
            </w:r>
          </w:p>
        </w:tc>
        <w:tc>
          <w:tcPr>
            <w:tcW w:type="dxa" w:w="4536"/>
          </w:tcPr>
          <w:p>
            <w:r/>
            <w:r>
              <w:rPr>
                <w:color w:val="363B3B"/>
                <w:sz w:val="18"/>
              </w:rPr>
              <w:t>10 mg once daily, uptitrated to 20 mg once daily after 4 weeks based on serum potassium</w:t>
            </w:r>
          </w:p>
        </w:tc>
      </w:tr>
      <w:tr>
        <w:tc>
          <w:tcPr>
            <w:tcW w:type="dxa" w:w="4536"/>
            <w:shd w:fill="F8F8F8"/>
          </w:tcPr>
          <w:p>
            <w:r/>
            <w:r>
              <w:rPr>
                <w:color w:val="363B3B"/>
                <w:sz w:val="18"/>
              </w:rPr>
              <w:t>Approval</w:t>
            </w:r>
          </w:p>
        </w:tc>
        <w:tc>
          <w:tcPr>
            <w:tcW w:type="dxa" w:w="4536"/>
            <w:shd w:fill="F8F8F8"/>
          </w:tcPr>
          <w:p>
            <w:r/>
            <w:r>
              <w:rPr>
                <w:color w:val="363B3B"/>
                <w:sz w:val="18"/>
              </w:rPr>
              <w:t>MHRA — February 2026</w:t>
            </w:r>
          </w:p>
        </w:tc>
      </w:tr>
      <w:tr>
        <w:tc>
          <w:tcPr>
            <w:tcW w:type="dxa" w:w="4536"/>
          </w:tcPr>
          <w:p>
            <w:r/>
            <w:r>
              <w:rPr>
                <w:color w:val="363B3B"/>
                <w:sz w:val="18"/>
              </w:rPr>
              <w:t>Brand colour</w:t>
            </w:r>
          </w:p>
        </w:tc>
        <w:tc>
          <w:tcPr>
            <w:tcW w:type="dxa" w:w="4536"/>
          </w:tcPr>
          <w:p>
            <w:r/>
            <w:r>
              <w:rPr>
                <w:color w:val="363B3B"/>
                <w:sz w:val="18"/>
              </w:rPr>
              <w:t>Cerulean Blue #0072B2</w:t>
            </w:r>
          </w:p>
        </w:tc>
      </w:tr>
      <w:tr>
        <w:tc>
          <w:tcPr>
            <w:tcW w:type="dxa" w:w="4536"/>
            <w:shd w:fill="F8F8F8"/>
          </w:tcPr>
          <w:p>
            <w:r/>
            <w:r>
              <w:rPr>
                <w:color w:val="363B3B"/>
                <w:sz w:val="18"/>
              </w:rPr>
              <w:t>Accent colour</w:t>
            </w:r>
          </w:p>
        </w:tc>
        <w:tc>
          <w:tcPr>
            <w:tcW w:type="dxa" w:w="4536"/>
            <w:shd w:fill="F8F8F8"/>
          </w:tcPr>
          <w:p>
            <w:r/>
            <w:r>
              <w:rPr>
                <w:color w:val="363B3B"/>
                <w:sz w:val="18"/>
              </w:rPr>
              <w:t>Warm Amber #D4851F</w:t>
            </w:r>
          </w:p>
        </w:tc>
      </w:tr>
      <w:tr>
        <w:tc>
          <w:tcPr>
            <w:tcW w:type="dxa" w:w="4536"/>
          </w:tcPr>
          <w:p>
            <w:r/>
            <w:r>
              <w:rPr>
                <w:color w:val="363B3B"/>
                <w:sz w:val="18"/>
              </w:rPr>
              <w:t>Approval code</w:t>
            </w:r>
          </w:p>
        </w:tc>
        <w:tc>
          <w:tcPr>
            <w:tcW w:type="dxa" w:w="4536"/>
          </w:tcPr>
          <w:p>
            <w:r/>
            <w:r>
              <w:rPr>
                <w:color w:val="363B3B"/>
                <w:sz w:val="18"/>
              </w:rPr>
              <w:t>GB-96017</w:t>
            </w:r>
          </w:p>
        </w:tc>
      </w:tr>
    </w:tbl>
    <w:p/>
    <w:p>
      <w:r>
        <w:rPr>
          <w:b/>
          <w:color w:val="CC0000"/>
          <w:sz w:val="18"/>
        </w:rPr>
        <w:t>SERANOVA brand rule: SERANOVA always appears in capitals, with ™ on first mention per page. Generic name (valinectra) appears in lowercase parentheses on first mention. The approved tagline "Protecting what matters." may only be used verbatim — no variations permitted.</w:t>
      </w:r>
    </w:p>
    <w:p>
      <w:pPr>
        <w:jc w:val="center"/>
      </w:pPr>
      <w:r>
        <w:rPr>
          <w:color w:val="CCCCCC"/>
          <w:sz w:val="16"/>
        </w:rPr>
        <w:t>────────────────────────────────────────────────────────────</w:t>
      </w:r>
    </w:p>
    <w:p>
      <w:pPr>
        <w:pStyle w:val="Heading1"/>
      </w:pPr>
      <w:r>
        <w:rPr>
          <w:color w:val="830051"/>
        </w:rPr>
        <w:t>2. Mechanism of Action</w:t>
      </w:r>
    </w:p>
    <w:p>
      <w:r>
        <w:rPr>
          <w:b w:val="0"/>
          <w:i w:val="0"/>
          <w:color w:val="363B3B"/>
          <w:sz w:val="20"/>
        </w:rPr>
        <w:t>Valinectra is a non-steroidal selective antagonist of the mineralocorticoid receptor (MR). Unlike steroidal MRAs such as spironolactone and eplerenone, valinectra binds to the MR ligand-binding domain with a distinct non-steroidal pharmacophore, conferring high selectivity for the MR over glucocorticoid, androgen, and progesterone receptors, thereby minimising off-target endocrine effects.</w:t>
      </w:r>
    </w:p>
    <w:p>
      <w:r>
        <w:rPr>
          <w:b w:val="0"/>
          <w:i w:val="0"/>
          <w:color w:val="363B3B"/>
          <w:sz w:val="20"/>
        </w:rPr>
        <w:t>In chronic kidney disease associated with type 2 diabetes, persistent hyperglycaemia and haemodynamic stress drive excessive activation of the mineralocorticoid receptor in renal tubular epithelial cells, podocytes, mesangial cells, and cardiac fibroblasts. MR overactivation promotes:</w:t>
      </w:r>
    </w:p>
    <w:p>
      <w:pPr>
        <w:pStyle w:val="ListBullet"/>
      </w:pPr>
      <w:r>
        <w:rPr>
          <w:sz w:val="20"/>
        </w:rPr>
        <w:t>Renal fibrosis through pro-inflammatory and pro-fibrotic gene transcription (NF-κB, TGF-β, PAI-1)</w:t>
      </w:r>
    </w:p>
    <w:p>
      <w:pPr>
        <w:pStyle w:val="ListBullet"/>
      </w:pPr>
      <w:r>
        <w:rPr>
          <w:sz w:val="20"/>
        </w:rPr>
        <w:t>Podocyte injury and proteinuria via direct podocyte MR signalling</w:t>
      </w:r>
    </w:p>
    <w:p>
      <w:pPr>
        <w:pStyle w:val="ListBullet"/>
      </w:pPr>
      <w:r>
        <w:rPr>
          <w:sz w:val="20"/>
        </w:rPr>
        <w:t>Endothelial dysfunction and vascular inflammation</w:t>
      </w:r>
    </w:p>
    <w:p>
      <w:pPr>
        <w:pStyle w:val="ListBullet"/>
      </w:pPr>
      <w:r>
        <w:rPr>
          <w:sz w:val="20"/>
        </w:rPr>
        <w:t>Cardiac fibrosis and left ventricular remodelling</w:t>
      </w:r>
    </w:p>
    <w:p>
      <w:pPr>
        <w:pStyle w:val="ListBullet"/>
      </w:pPr>
      <w:r>
        <w:rPr>
          <w:sz w:val="20"/>
        </w:rPr>
        <w:t>Sodium retention and potassium excretion, contributing to volume overload and hypokalaemia correction</w:t>
      </w:r>
    </w:p>
    <w:p>
      <w:r>
        <w:rPr>
          <w:b w:val="0"/>
          <w:i w:val="0"/>
          <w:color w:val="363B3B"/>
          <w:sz w:val="20"/>
        </w:rPr>
        <w:t>By selectively blocking MR activation, valinectra reduces inflammation-driven kidney injury, attenuates proteinuria, slows the decline in glomerular filtration rate, and provides cardiorenal protection — complementing the mechanisms of RAAS inhibitors, SGLT2 inhibitors, and GLP-1 receptor agonists in the comprehensive management of diabetic kidney disease.</w:t>
      </w:r>
    </w:p>
    <w:p>
      <w:pPr>
        <w:jc w:val="center"/>
      </w:pPr>
      <w:r>
        <w:rPr>
          <w:color w:val="CCCCCC"/>
          <w:sz w:val="16"/>
        </w:rPr>
        <w:t>────────────────────────────────────────────────────────────</w:t>
      </w:r>
    </w:p>
    <w:p>
      <w:pPr>
        <w:pStyle w:val="Heading1"/>
      </w:pPr>
      <w:r>
        <w:rPr>
          <w:color w:val="830051"/>
        </w:rPr>
        <w:t>3. Clinical Programme: RENOVA</w:t>
      </w:r>
    </w:p>
    <w:p>
      <w:pPr>
        <w:pStyle w:val="Heading2"/>
      </w:pPr>
      <w:r>
        <w:rPr>
          <w:color w:val="830051"/>
        </w:rPr>
        <w:t>RENOVA-CKD (Phase III, pivotal — Kidney outcomes in CKD + T2D)</w:t>
      </w:r>
    </w:p>
    <w:p>
      <w:r>
        <w:rPr>
          <w:b/>
          <w:sz w:val="20"/>
        </w:rPr>
        <w:t xml:space="preserve">Design: </w:t>
      </w:r>
      <w:r>
        <w:rPr>
          <w:sz w:val="20"/>
        </w:rPr>
        <w:t>Randomised, double-blind, placebo-controlled, event-driven Phase III trial</w:t>
      </w:r>
    </w:p>
    <w:p>
      <w:r>
        <w:rPr>
          <w:b/>
          <w:sz w:val="20"/>
        </w:rPr>
        <w:t xml:space="preserve">Population: </w:t>
      </w:r>
      <w:r>
        <w:rPr>
          <w:sz w:val="20"/>
        </w:rPr>
        <w:t>7,352 adults with CKD (eGFR 25–75 mL/min/1.73m², UACR 30–5,000 mg/g) associated with type 2 diabetes, receiving maximum tolerated RAAS inhibition</w:t>
      </w:r>
    </w:p>
    <w:p>
      <w:r>
        <w:rPr>
          <w:b/>
          <w:sz w:val="20"/>
        </w:rPr>
        <w:t xml:space="preserve">Median follow-up: </w:t>
      </w:r>
      <w:r>
        <w:rPr>
          <w:sz w:val="20"/>
        </w:rPr>
        <w:t>3.4 years</w:t>
      </w:r>
    </w:p>
    <w:p>
      <w:r>
        <w:rPr>
          <w:b/>
          <w:sz w:val="20"/>
        </w:rPr>
        <w:t xml:space="preserve">Primary endpoint: </w:t>
      </w:r>
      <w:r>
        <w:rPr>
          <w:sz w:val="20"/>
        </w:rPr>
        <w:t>Composite of sustained ≥57% eGFR decline from baseline, end-stage kidney disease (ESKD), renal death, or cardiovascular death</w:t>
      </w:r>
    </w:p>
    <w:p>
      <w:r>
        <w:rPr>
          <w:b/>
          <w:sz w:val="20"/>
        </w:rPr>
        <w:t xml:space="preserve">Key secondary endpoints: </w:t>
      </w:r>
      <w:r>
        <w:rPr>
          <w:sz w:val="20"/>
        </w:rPr>
        <w:t>Composite of CV death or hospitalisation for heart failure (HHF); sustained ≥40% eGFR decline; total eGFR slope; change in UACR at Month 4</w:t>
      </w:r>
    </w:p>
    <w:p>
      <w:r>
        <w:rPr>
          <w:b/>
          <w:sz w:val="20"/>
        </w:rPr>
        <w:t xml:space="preserve">Publication: </w:t>
      </w:r>
      <w:r>
        <w:rPr>
          <w:sz w:val="20"/>
        </w:rPr>
        <w:t>Nakamura et al. N Engl J Med 2025; 393(8): 712–726</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SERANOVA (n=3,676)</w:t>
            </w:r>
          </w:p>
        </w:tc>
        <w:tc>
          <w:tcPr>
            <w:tcW w:type="dxa" w:w="2268"/>
            <w:shd w:fill="830051"/>
          </w:tcPr>
          <w:p>
            <w:r/>
            <w:r>
              <w:rPr>
                <w:b/>
                <w:color w:val="FFFFFF"/>
                <w:sz w:val="18"/>
              </w:rPr>
              <w:t>Placebo (n=3,676)</w:t>
            </w:r>
          </w:p>
        </w:tc>
        <w:tc>
          <w:tcPr>
            <w:tcW w:type="dxa" w:w="2268"/>
            <w:shd w:fill="830051"/>
          </w:tcPr>
          <w:p>
            <w:r/>
            <w:r>
              <w:rPr>
                <w:b/>
                <w:color w:val="FFFFFF"/>
                <w:sz w:val="18"/>
              </w:rPr>
              <w:t>Treatment effect</w:t>
            </w:r>
          </w:p>
        </w:tc>
      </w:tr>
      <w:tr>
        <w:tc>
          <w:tcPr>
            <w:tcW w:type="dxa" w:w="2268"/>
          </w:tcPr>
          <w:p>
            <w:r/>
            <w:r>
              <w:rPr>
                <w:color w:val="363B3B"/>
                <w:sz w:val="18"/>
              </w:rPr>
              <w:t>Primary composite (kidney + CV death)</w:t>
            </w:r>
          </w:p>
        </w:tc>
        <w:tc>
          <w:tcPr>
            <w:tcW w:type="dxa" w:w="2268"/>
          </w:tcPr>
          <w:p>
            <w:r/>
            <w:r>
              <w:rPr>
                <w:color w:val="363B3B"/>
                <w:sz w:val="18"/>
              </w:rPr>
              <w:t>504 events (13.7%)</w:t>
            </w:r>
          </w:p>
        </w:tc>
        <w:tc>
          <w:tcPr>
            <w:tcW w:type="dxa" w:w="2268"/>
          </w:tcPr>
          <w:p>
            <w:r/>
            <w:r>
              <w:rPr>
                <w:color w:val="363B3B"/>
                <w:sz w:val="18"/>
              </w:rPr>
              <w:t>648 events (17.6%)</w:t>
            </w:r>
          </w:p>
        </w:tc>
        <w:tc>
          <w:tcPr>
            <w:tcW w:type="dxa" w:w="2268"/>
          </w:tcPr>
          <w:p>
            <w:r/>
            <w:r>
              <w:rPr>
                <w:color w:val="363B3B"/>
                <w:sz w:val="18"/>
              </w:rPr>
              <w:t>HR 0.77 (0.67–0.88); P&lt;0.001</w:t>
            </w:r>
          </w:p>
        </w:tc>
      </w:tr>
      <w:tr>
        <w:tc>
          <w:tcPr>
            <w:tcW w:type="dxa" w:w="2268"/>
            <w:shd w:fill="F8F8F8"/>
          </w:tcPr>
          <w:p>
            <w:r/>
            <w:r>
              <w:rPr>
                <w:color w:val="363B3B"/>
                <w:sz w:val="18"/>
              </w:rPr>
              <w:t>Sustained ≥57% eGFR decline or ESKD</w:t>
            </w:r>
          </w:p>
        </w:tc>
        <w:tc>
          <w:tcPr>
            <w:tcW w:type="dxa" w:w="2268"/>
            <w:shd w:fill="F8F8F8"/>
          </w:tcPr>
          <w:p>
            <w:r/>
            <w:r>
              <w:rPr>
                <w:color w:val="363B3B"/>
                <w:sz w:val="18"/>
              </w:rPr>
              <w:t>360 events (9.8%)</w:t>
            </w:r>
          </w:p>
        </w:tc>
        <w:tc>
          <w:tcPr>
            <w:tcW w:type="dxa" w:w="2268"/>
            <w:shd w:fill="F8F8F8"/>
          </w:tcPr>
          <w:p>
            <w:r/>
            <w:r>
              <w:rPr>
                <w:color w:val="363B3B"/>
                <w:sz w:val="18"/>
              </w:rPr>
              <w:t>474 events (12.9%)</w:t>
            </w:r>
          </w:p>
        </w:tc>
        <w:tc>
          <w:tcPr>
            <w:tcW w:type="dxa" w:w="2268"/>
            <w:shd w:fill="F8F8F8"/>
          </w:tcPr>
          <w:p>
            <w:r/>
            <w:r>
              <w:rPr>
                <w:color w:val="363B3B"/>
                <w:sz w:val="18"/>
              </w:rPr>
              <w:t>HR 0.75 (0.64–0.87); P&lt;0.001</w:t>
            </w:r>
          </w:p>
        </w:tc>
      </w:tr>
      <w:tr>
        <w:tc>
          <w:tcPr>
            <w:tcW w:type="dxa" w:w="2268"/>
          </w:tcPr>
          <w:p>
            <w:r/>
            <w:r>
              <w:rPr>
                <w:color w:val="363B3B"/>
                <w:sz w:val="18"/>
              </w:rPr>
              <w:t>CV death or HHF</w:t>
            </w:r>
          </w:p>
        </w:tc>
        <w:tc>
          <w:tcPr>
            <w:tcW w:type="dxa" w:w="2268"/>
          </w:tcPr>
          <w:p>
            <w:r/>
            <w:r>
              <w:rPr>
                <w:color w:val="363B3B"/>
                <w:sz w:val="18"/>
              </w:rPr>
              <w:t>367 events (10.0%)</w:t>
            </w:r>
          </w:p>
        </w:tc>
        <w:tc>
          <w:tcPr>
            <w:tcW w:type="dxa" w:w="2268"/>
          </w:tcPr>
          <w:p>
            <w:r/>
            <w:r>
              <w:rPr>
                <w:color w:val="363B3B"/>
                <w:sz w:val="18"/>
              </w:rPr>
              <w:t>446 events (12.1%)</w:t>
            </w:r>
          </w:p>
        </w:tc>
        <w:tc>
          <w:tcPr>
            <w:tcW w:type="dxa" w:w="2268"/>
          </w:tcPr>
          <w:p>
            <w:r/>
            <w:r>
              <w:rPr>
                <w:color w:val="363B3B"/>
                <w:sz w:val="18"/>
              </w:rPr>
              <w:t>HR 0.82 (0.71–0.94); P=0.005</w:t>
            </w:r>
          </w:p>
        </w:tc>
      </w:tr>
      <w:tr>
        <w:tc>
          <w:tcPr>
            <w:tcW w:type="dxa" w:w="2268"/>
            <w:shd w:fill="F8F8F8"/>
          </w:tcPr>
          <w:p>
            <w:r/>
            <w:r>
              <w:rPr>
                <w:color w:val="363B3B"/>
                <w:sz w:val="18"/>
              </w:rPr>
              <w:t>Total eGFR slope (mL/min/1.73m²/year)</w:t>
            </w:r>
          </w:p>
        </w:tc>
        <w:tc>
          <w:tcPr>
            <w:tcW w:type="dxa" w:w="2268"/>
            <w:shd w:fill="F8F8F8"/>
          </w:tcPr>
          <w:p>
            <w:r/>
            <w:r>
              <w:rPr>
                <w:color w:val="363B3B"/>
                <w:sz w:val="18"/>
              </w:rPr>
              <w:t>−2.1</w:t>
            </w:r>
          </w:p>
        </w:tc>
        <w:tc>
          <w:tcPr>
            <w:tcW w:type="dxa" w:w="2268"/>
            <w:shd w:fill="F8F8F8"/>
          </w:tcPr>
          <w:p>
            <w:r/>
            <w:r>
              <w:rPr>
                <w:color w:val="363B3B"/>
                <w:sz w:val="18"/>
              </w:rPr>
              <w:t>−3.8</w:t>
            </w:r>
          </w:p>
        </w:tc>
        <w:tc>
          <w:tcPr>
            <w:tcW w:type="dxa" w:w="2268"/>
            <w:shd w:fill="F8F8F8"/>
          </w:tcPr>
          <w:p>
            <w:r/>
            <w:r>
              <w:rPr>
                <w:color w:val="363B3B"/>
                <w:sz w:val="18"/>
              </w:rPr>
              <w:t>Difference: +1.7 (1.3 to 2.1); P&lt;0.001</w:t>
            </w:r>
          </w:p>
        </w:tc>
      </w:tr>
      <w:tr>
        <w:tc>
          <w:tcPr>
            <w:tcW w:type="dxa" w:w="2268"/>
          </w:tcPr>
          <w:p>
            <w:r/>
            <w:r>
              <w:rPr>
                <w:color w:val="363B3B"/>
                <w:sz w:val="18"/>
              </w:rPr>
              <w:t>UACR change at Month 4</w:t>
            </w:r>
          </w:p>
        </w:tc>
        <w:tc>
          <w:tcPr>
            <w:tcW w:type="dxa" w:w="2268"/>
          </w:tcPr>
          <w:p>
            <w:r/>
            <w:r>
              <w:rPr>
                <w:color w:val="363B3B"/>
                <w:sz w:val="18"/>
              </w:rPr>
              <w:t>−36%</w:t>
            </w:r>
          </w:p>
        </w:tc>
        <w:tc>
          <w:tcPr>
            <w:tcW w:type="dxa" w:w="2268"/>
          </w:tcPr>
          <w:p>
            <w:r/>
            <w:r>
              <w:rPr>
                <w:color w:val="363B3B"/>
                <w:sz w:val="18"/>
              </w:rPr>
              <w:t>−2%</w:t>
            </w:r>
          </w:p>
        </w:tc>
        <w:tc>
          <w:tcPr>
            <w:tcW w:type="dxa" w:w="2268"/>
          </w:tcPr>
          <w:p>
            <w:r/>
            <w:r>
              <w:rPr>
                <w:color w:val="363B3B"/>
                <w:sz w:val="18"/>
              </w:rPr>
              <w:t>Ratio 0.65 (0.61–0.70); P&lt;0.001</w:t>
            </w:r>
          </w:p>
        </w:tc>
      </w:tr>
      <w:tr>
        <w:tc>
          <w:tcPr>
            <w:tcW w:type="dxa" w:w="2268"/>
            <w:shd w:fill="F8F8F8"/>
          </w:tcPr>
          <w:p>
            <w:r/>
            <w:r>
              <w:rPr>
                <w:color w:val="363B3B"/>
                <w:sz w:val="18"/>
              </w:rPr>
              <w:t>All-cause mortality</w:t>
            </w:r>
          </w:p>
        </w:tc>
        <w:tc>
          <w:tcPr>
            <w:tcW w:type="dxa" w:w="2268"/>
            <w:shd w:fill="F8F8F8"/>
          </w:tcPr>
          <w:p>
            <w:r/>
            <w:r>
              <w:rPr>
                <w:color w:val="363B3B"/>
                <w:sz w:val="18"/>
              </w:rPr>
              <w:t>284 (7.7%)</w:t>
            </w:r>
          </w:p>
        </w:tc>
        <w:tc>
          <w:tcPr>
            <w:tcW w:type="dxa" w:w="2268"/>
            <w:shd w:fill="F8F8F8"/>
          </w:tcPr>
          <w:p>
            <w:r/>
            <w:r>
              <w:rPr>
                <w:color w:val="363B3B"/>
                <w:sz w:val="18"/>
              </w:rPr>
              <w:t>335 (9.1%)</w:t>
            </w:r>
          </w:p>
        </w:tc>
        <w:tc>
          <w:tcPr>
            <w:tcW w:type="dxa" w:w="2268"/>
            <w:shd w:fill="F8F8F8"/>
          </w:tcPr>
          <w:p>
            <w:r/>
            <w:r>
              <w:rPr>
                <w:color w:val="363B3B"/>
                <w:sz w:val="18"/>
              </w:rPr>
              <w:t>HR 0.84 (0.72–0.99); P=0.034</w:t>
            </w:r>
          </w:p>
        </w:tc>
      </w:tr>
    </w:tbl>
    <w:p/>
    <w:p>
      <w:pPr>
        <w:pStyle w:val="Heading2"/>
      </w:pPr>
      <w:r>
        <w:rPr>
          <w:color w:val="830051"/>
        </w:rPr>
        <w:t>RENOVA-HF (Phase III — Heart failure outcomes in CKD + T2D)</w:t>
      </w:r>
    </w:p>
    <w:p>
      <w:r>
        <w:rPr>
          <w:b/>
          <w:sz w:val="20"/>
        </w:rPr>
        <w:t xml:space="preserve">Design: </w:t>
      </w:r>
      <w:r>
        <w:rPr>
          <w:sz w:val="20"/>
        </w:rPr>
        <w:t>Randomised, double-blind, placebo-controlled, event-driven Phase III trial</w:t>
      </w:r>
    </w:p>
    <w:p>
      <w:r>
        <w:rPr>
          <w:b/>
          <w:sz w:val="20"/>
        </w:rPr>
        <w:t xml:space="preserve">Population: </w:t>
      </w:r>
      <w:r>
        <w:rPr>
          <w:sz w:val="20"/>
        </w:rPr>
        <w:t>3,814 adults with heart failure (NYHA II–IV, LVEF ≤40%), CKD (eGFR 25–60 mL/min/1.73m²), and type 2 diabetes, receiving guideline-directed medical therapy</w:t>
      </w:r>
    </w:p>
    <w:p>
      <w:r>
        <w:rPr>
          <w:b/>
          <w:sz w:val="20"/>
        </w:rPr>
        <w:t xml:space="preserve">Median follow-up: </w:t>
      </w:r>
      <w:r>
        <w:rPr>
          <w:sz w:val="20"/>
        </w:rPr>
        <w:t>2.8 years</w:t>
      </w:r>
    </w:p>
    <w:p>
      <w:r>
        <w:rPr>
          <w:b/>
          <w:sz w:val="20"/>
        </w:rPr>
        <w:t xml:space="preserve">Primary endpoint: </w:t>
      </w:r>
      <w:r>
        <w:rPr>
          <w:sz w:val="20"/>
        </w:rPr>
        <w:t>Composite of cardiovascular death or hospitalisation for heart failure</w:t>
      </w:r>
    </w:p>
    <w:p>
      <w:r>
        <w:rPr>
          <w:b/>
          <w:sz w:val="20"/>
        </w:rPr>
        <w:t xml:space="preserve">Publication: </w:t>
      </w:r>
      <w:r>
        <w:rPr>
          <w:sz w:val="20"/>
        </w:rPr>
        <w:t>Tanaka et al. Lancet 2026; 407(10332): 245–259</w:t>
      </w:r>
    </w:p>
    <w:p/>
    <w:p>
      <w:r>
        <w:rPr>
          <w:b/>
          <w:i w:val="0"/>
          <w:color w:val="363B3B"/>
          <w:sz w:val="20"/>
        </w:rPr>
        <w:t>Key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SERANOVA (n=1,907)</w:t>
            </w:r>
          </w:p>
        </w:tc>
        <w:tc>
          <w:tcPr>
            <w:tcW w:type="dxa" w:w="2268"/>
            <w:shd w:fill="830051"/>
          </w:tcPr>
          <w:p>
            <w:r/>
            <w:r>
              <w:rPr>
                <w:b/>
                <w:color w:val="FFFFFF"/>
                <w:sz w:val="18"/>
              </w:rPr>
              <w:t>Placebo (n=1,907)</w:t>
            </w:r>
          </w:p>
        </w:tc>
        <w:tc>
          <w:tcPr>
            <w:tcW w:type="dxa" w:w="2268"/>
            <w:shd w:fill="830051"/>
          </w:tcPr>
          <w:p>
            <w:r/>
            <w:r>
              <w:rPr>
                <w:b/>
                <w:color w:val="FFFFFF"/>
                <w:sz w:val="18"/>
              </w:rPr>
              <w:t>Treatment effect</w:t>
            </w:r>
          </w:p>
        </w:tc>
      </w:tr>
      <w:tr>
        <w:tc>
          <w:tcPr>
            <w:tcW w:type="dxa" w:w="2268"/>
          </w:tcPr>
          <w:p>
            <w:r/>
            <w:r>
              <w:rPr>
                <w:color w:val="363B3B"/>
                <w:sz w:val="18"/>
              </w:rPr>
              <w:t>Primary composite (CV death + HHF)</w:t>
            </w:r>
          </w:p>
        </w:tc>
        <w:tc>
          <w:tcPr>
            <w:tcW w:type="dxa" w:w="2268"/>
          </w:tcPr>
          <w:p>
            <w:r/>
            <w:r>
              <w:rPr>
                <w:color w:val="363B3B"/>
                <w:sz w:val="18"/>
              </w:rPr>
              <w:t>374 events (19.6%)</w:t>
            </w:r>
          </w:p>
        </w:tc>
        <w:tc>
          <w:tcPr>
            <w:tcW w:type="dxa" w:w="2268"/>
          </w:tcPr>
          <w:p>
            <w:r/>
            <w:r>
              <w:rPr>
                <w:color w:val="363B3B"/>
                <w:sz w:val="18"/>
              </w:rPr>
              <w:t>453 events (23.8%)</w:t>
            </w:r>
          </w:p>
        </w:tc>
        <w:tc>
          <w:tcPr>
            <w:tcW w:type="dxa" w:w="2268"/>
          </w:tcPr>
          <w:p>
            <w:r/>
            <w:r>
              <w:rPr>
                <w:color w:val="363B3B"/>
                <w:sz w:val="18"/>
              </w:rPr>
              <w:t>HR 0.82 (0.72–0.93); P=0.002</w:t>
            </w:r>
          </w:p>
        </w:tc>
      </w:tr>
      <w:tr>
        <w:tc>
          <w:tcPr>
            <w:tcW w:type="dxa" w:w="2268"/>
            <w:shd w:fill="F8F8F8"/>
          </w:tcPr>
          <w:p>
            <w:r/>
            <w:r>
              <w:rPr>
                <w:color w:val="363B3B"/>
                <w:sz w:val="18"/>
              </w:rPr>
              <w:t>CV death</w:t>
            </w:r>
          </w:p>
        </w:tc>
        <w:tc>
          <w:tcPr>
            <w:tcW w:type="dxa" w:w="2268"/>
            <w:shd w:fill="F8F8F8"/>
          </w:tcPr>
          <w:p>
            <w:r/>
            <w:r>
              <w:rPr>
                <w:color w:val="363B3B"/>
                <w:sz w:val="18"/>
              </w:rPr>
              <w:t>186 (9.8%)</w:t>
            </w:r>
          </w:p>
        </w:tc>
        <w:tc>
          <w:tcPr>
            <w:tcW w:type="dxa" w:w="2268"/>
            <w:shd w:fill="F8F8F8"/>
          </w:tcPr>
          <w:p>
            <w:r/>
            <w:r>
              <w:rPr>
                <w:color w:val="363B3B"/>
                <w:sz w:val="18"/>
              </w:rPr>
              <w:t>224 (11.7%)</w:t>
            </w:r>
          </w:p>
        </w:tc>
        <w:tc>
          <w:tcPr>
            <w:tcW w:type="dxa" w:w="2268"/>
            <w:shd w:fill="F8F8F8"/>
          </w:tcPr>
          <w:p>
            <w:r/>
            <w:r>
              <w:rPr>
                <w:color w:val="363B3B"/>
                <w:sz w:val="18"/>
              </w:rPr>
              <w:t>HR 0.83 (0.68–1.01); P=0.058</w:t>
            </w:r>
          </w:p>
        </w:tc>
      </w:tr>
      <w:tr>
        <w:tc>
          <w:tcPr>
            <w:tcW w:type="dxa" w:w="2268"/>
          </w:tcPr>
          <w:p>
            <w:r/>
            <w:r>
              <w:rPr>
                <w:color w:val="363B3B"/>
                <w:sz w:val="18"/>
              </w:rPr>
              <w:t>Hospitalisation for heart failure</w:t>
            </w:r>
          </w:p>
        </w:tc>
        <w:tc>
          <w:tcPr>
            <w:tcW w:type="dxa" w:w="2268"/>
          </w:tcPr>
          <w:p>
            <w:r/>
            <w:r>
              <w:rPr>
                <w:color w:val="363B3B"/>
                <w:sz w:val="18"/>
              </w:rPr>
              <w:t>268 events</w:t>
            </w:r>
          </w:p>
        </w:tc>
        <w:tc>
          <w:tcPr>
            <w:tcW w:type="dxa" w:w="2268"/>
          </w:tcPr>
          <w:p>
            <w:r/>
            <w:r>
              <w:rPr>
                <w:color w:val="363B3B"/>
                <w:sz w:val="18"/>
              </w:rPr>
              <w:t>331 events</w:t>
            </w:r>
          </w:p>
        </w:tc>
        <w:tc>
          <w:tcPr>
            <w:tcW w:type="dxa" w:w="2268"/>
          </w:tcPr>
          <w:p>
            <w:r/>
            <w:r>
              <w:rPr>
                <w:color w:val="363B3B"/>
                <w:sz w:val="18"/>
              </w:rPr>
              <w:t>HR 0.80 (0.68–0.94); P=0.007</w:t>
            </w:r>
          </w:p>
        </w:tc>
      </w:tr>
      <w:tr>
        <w:tc>
          <w:tcPr>
            <w:tcW w:type="dxa" w:w="2268"/>
            <w:shd w:fill="F8F8F8"/>
          </w:tcPr>
          <w:p>
            <w:r/>
            <w:r>
              <w:rPr>
                <w:color w:val="363B3B"/>
                <w:sz w:val="18"/>
              </w:rPr>
              <w:t>Kansas City Cardiomyopathy Questionnaire (KCCQ-TSS) change at Month 12</w:t>
            </w:r>
          </w:p>
        </w:tc>
        <w:tc>
          <w:tcPr>
            <w:tcW w:type="dxa" w:w="2268"/>
            <w:shd w:fill="F8F8F8"/>
          </w:tcPr>
          <w:p>
            <w:r/>
            <w:r>
              <w:rPr>
                <w:color w:val="363B3B"/>
                <w:sz w:val="18"/>
              </w:rPr>
              <w:t>+4.8 points</w:t>
            </w:r>
          </w:p>
        </w:tc>
        <w:tc>
          <w:tcPr>
            <w:tcW w:type="dxa" w:w="2268"/>
            <w:shd w:fill="F8F8F8"/>
          </w:tcPr>
          <w:p>
            <w:r/>
            <w:r>
              <w:rPr>
                <w:color w:val="363B3B"/>
                <w:sz w:val="18"/>
              </w:rPr>
              <w:t>+1.9 points</w:t>
            </w:r>
          </w:p>
        </w:tc>
        <w:tc>
          <w:tcPr>
            <w:tcW w:type="dxa" w:w="2268"/>
            <w:shd w:fill="F8F8F8"/>
          </w:tcPr>
          <w:p>
            <w:r/>
            <w:r>
              <w:rPr>
                <w:color w:val="363B3B"/>
                <w:sz w:val="18"/>
              </w:rPr>
              <w:t>Difference: +2.9 (1.6 to 4.2); P&lt;0.001</w:t>
            </w:r>
          </w:p>
        </w:tc>
      </w:tr>
      <w:tr>
        <w:tc>
          <w:tcPr>
            <w:tcW w:type="dxa" w:w="2268"/>
          </w:tcPr>
          <w:p>
            <w:r/>
            <w:r>
              <w:rPr>
                <w:color w:val="363B3B"/>
                <w:sz w:val="18"/>
              </w:rPr>
              <w:t>eGFR slope (mL/min/1.73m²/year)</w:t>
            </w:r>
          </w:p>
        </w:tc>
        <w:tc>
          <w:tcPr>
            <w:tcW w:type="dxa" w:w="2268"/>
          </w:tcPr>
          <w:p>
            <w:r/>
            <w:r>
              <w:rPr>
                <w:color w:val="363B3B"/>
                <w:sz w:val="18"/>
              </w:rPr>
              <w:t>−1.8</w:t>
            </w:r>
          </w:p>
        </w:tc>
        <w:tc>
          <w:tcPr>
            <w:tcW w:type="dxa" w:w="2268"/>
          </w:tcPr>
          <w:p>
            <w:r/>
            <w:r>
              <w:rPr>
                <w:color w:val="363B3B"/>
                <w:sz w:val="18"/>
              </w:rPr>
              <w:t>−3.2</w:t>
            </w:r>
          </w:p>
        </w:tc>
        <w:tc>
          <w:tcPr>
            <w:tcW w:type="dxa" w:w="2268"/>
          </w:tcPr>
          <w:p>
            <w:r/>
            <w:r>
              <w:rPr>
                <w:color w:val="363B3B"/>
                <w:sz w:val="18"/>
              </w:rPr>
              <w:t>Difference: +1.4 (0.9 to 1.9); P&lt;0.001</w:t>
            </w:r>
          </w:p>
        </w:tc>
      </w:tr>
    </w:tbl>
    <w:p>
      <w:pPr>
        <w:jc w:val="center"/>
      </w:pPr>
      <w:r>
        <w:rPr>
          <w:color w:val="CCCCCC"/>
          <w:sz w:val="16"/>
        </w:rPr>
        <w:t>────────────────────────────────────────────────────────────</w:t>
      </w:r>
    </w:p>
    <w:p>
      <w:pPr>
        <w:pStyle w:val="Heading1"/>
      </w:pPr>
      <w:r>
        <w:rPr>
          <w:color w:val="830051"/>
        </w:rPr>
        <w:t>4. Safety Profile (Pooled RENOVA data, N=5,583 SERANOVA)</w:t>
      </w:r>
    </w:p>
    <w:p>
      <w:pPr>
        <w:pStyle w:val="Heading2"/>
      </w:pPr>
      <w:r>
        <w:rPr>
          <w:color w:val="830051"/>
        </w:rPr>
        <w:t>Most common adverse events (≥2%)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SERANOVA (%)</w:t>
            </w:r>
          </w:p>
        </w:tc>
        <w:tc>
          <w:tcPr>
            <w:tcW w:type="dxa" w:w="3024"/>
            <w:shd w:fill="830051"/>
          </w:tcPr>
          <w:p>
            <w:r/>
            <w:r>
              <w:rPr>
                <w:b/>
                <w:color w:val="FFFFFF"/>
                <w:sz w:val="18"/>
              </w:rPr>
              <w:t>Placebo (%)</w:t>
            </w:r>
          </w:p>
        </w:tc>
      </w:tr>
      <w:tr>
        <w:tc>
          <w:tcPr>
            <w:tcW w:type="dxa" w:w="3024"/>
          </w:tcPr>
          <w:p>
            <w:r/>
            <w:r>
              <w:rPr>
                <w:color w:val="363B3B"/>
                <w:sz w:val="18"/>
              </w:rPr>
              <w:t>Hyperkalaemia (any grade)</w:t>
            </w:r>
          </w:p>
        </w:tc>
        <w:tc>
          <w:tcPr>
            <w:tcW w:type="dxa" w:w="3024"/>
          </w:tcPr>
          <w:p>
            <w:r/>
            <w:r>
              <w:rPr>
                <w:color w:val="363B3B"/>
                <w:sz w:val="18"/>
              </w:rPr>
              <w:t>8.6</w:t>
            </w:r>
          </w:p>
        </w:tc>
        <w:tc>
          <w:tcPr>
            <w:tcW w:type="dxa" w:w="3024"/>
          </w:tcPr>
          <w:p>
            <w:r/>
            <w:r>
              <w:rPr>
                <w:color w:val="363B3B"/>
                <w:sz w:val="18"/>
              </w:rPr>
              <w:t>3.2</w:t>
            </w:r>
          </w:p>
        </w:tc>
      </w:tr>
      <w:tr>
        <w:tc>
          <w:tcPr>
            <w:tcW w:type="dxa" w:w="3024"/>
            <w:shd w:fill="F8F8F8"/>
          </w:tcPr>
          <w:p>
            <w:r/>
            <w:r>
              <w:rPr>
                <w:color w:val="363B3B"/>
                <w:sz w:val="18"/>
              </w:rPr>
              <w:t>Hypotension</w:t>
            </w:r>
          </w:p>
        </w:tc>
        <w:tc>
          <w:tcPr>
            <w:tcW w:type="dxa" w:w="3024"/>
            <w:shd w:fill="F8F8F8"/>
          </w:tcPr>
          <w:p>
            <w:r/>
            <w:r>
              <w:rPr>
                <w:color w:val="363B3B"/>
                <w:sz w:val="18"/>
              </w:rPr>
              <w:t>4.2</w:t>
            </w:r>
          </w:p>
        </w:tc>
        <w:tc>
          <w:tcPr>
            <w:tcW w:type="dxa" w:w="3024"/>
            <w:shd w:fill="F8F8F8"/>
          </w:tcPr>
          <w:p>
            <w:r/>
            <w:r>
              <w:rPr>
                <w:color w:val="363B3B"/>
                <w:sz w:val="18"/>
              </w:rPr>
              <w:t>2.8</w:t>
            </w:r>
          </w:p>
        </w:tc>
      </w:tr>
      <w:tr>
        <w:tc>
          <w:tcPr>
            <w:tcW w:type="dxa" w:w="3024"/>
          </w:tcPr>
          <w:p>
            <w:r/>
            <w:r>
              <w:rPr>
                <w:color w:val="363B3B"/>
                <w:sz w:val="18"/>
              </w:rPr>
              <w:t>Hypokalaemia</w:t>
            </w:r>
          </w:p>
        </w:tc>
        <w:tc>
          <w:tcPr>
            <w:tcW w:type="dxa" w:w="3024"/>
          </w:tcPr>
          <w:p>
            <w:r/>
            <w:r>
              <w:rPr>
                <w:color w:val="363B3B"/>
                <w:sz w:val="18"/>
              </w:rPr>
              <w:t>0.4</w:t>
            </w:r>
          </w:p>
        </w:tc>
        <w:tc>
          <w:tcPr>
            <w:tcW w:type="dxa" w:w="3024"/>
          </w:tcPr>
          <w:p>
            <w:r/>
            <w:r>
              <w:rPr>
                <w:color w:val="363B3B"/>
                <w:sz w:val="18"/>
              </w:rPr>
              <w:t>2.1</w:t>
            </w:r>
          </w:p>
        </w:tc>
      </w:tr>
      <w:tr>
        <w:tc>
          <w:tcPr>
            <w:tcW w:type="dxa" w:w="3024"/>
            <w:shd w:fill="F8F8F8"/>
          </w:tcPr>
          <w:p>
            <w:r/>
            <w:r>
              <w:rPr>
                <w:color w:val="363B3B"/>
                <w:sz w:val="18"/>
              </w:rPr>
              <w:t>Dizziness</w:t>
            </w:r>
          </w:p>
        </w:tc>
        <w:tc>
          <w:tcPr>
            <w:tcW w:type="dxa" w:w="3024"/>
            <w:shd w:fill="F8F8F8"/>
          </w:tcPr>
          <w:p>
            <w:r/>
            <w:r>
              <w:rPr>
                <w:color w:val="363B3B"/>
                <w:sz w:val="18"/>
              </w:rPr>
              <w:t>3.1</w:t>
            </w:r>
          </w:p>
        </w:tc>
        <w:tc>
          <w:tcPr>
            <w:tcW w:type="dxa" w:w="3024"/>
            <w:shd w:fill="F8F8F8"/>
          </w:tcPr>
          <w:p>
            <w:r/>
            <w:r>
              <w:rPr>
                <w:color w:val="363B3B"/>
                <w:sz w:val="18"/>
              </w:rPr>
              <w:t>2.4</w:t>
            </w:r>
          </w:p>
        </w:tc>
      </w:tr>
      <w:tr>
        <w:tc>
          <w:tcPr>
            <w:tcW w:type="dxa" w:w="3024"/>
          </w:tcPr>
          <w:p>
            <w:r/>
            <w:r>
              <w:rPr>
                <w:color w:val="363B3B"/>
                <w:sz w:val="18"/>
              </w:rPr>
              <w:t>Diarrhoea</w:t>
            </w:r>
          </w:p>
        </w:tc>
        <w:tc>
          <w:tcPr>
            <w:tcW w:type="dxa" w:w="3024"/>
          </w:tcPr>
          <w:p>
            <w:r/>
            <w:r>
              <w:rPr>
                <w:color w:val="363B3B"/>
                <w:sz w:val="18"/>
              </w:rPr>
              <w:t>2.8</w:t>
            </w:r>
          </w:p>
        </w:tc>
        <w:tc>
          <w:tcPr>
            <w:tcW w:type="dxa" w:w="3024"/>
          </w:tcPr>
          <w:p>
            <w:r/>
            <w:r>
              <w:rPr>
                <w:color w:val="363B3B"/>
                <w:sz w:val="18"/>
              </w:rPr>
              <w:t>2.3</w:t>
            </w:r>
          </w:p>
        </w:tc>
      </w:tr>
      <w:tr>
        <w:tc>
          <w:tcPr>
            <w:tcW w:type="dxa" w:w="3024"/>
            <w:shd w:fill="F8F8F8"/>
          </w:tcPr>
          <w:p>
            <w:r/>
            <w:r>
              <w:rPr>
                <w:color w:val="363B3B"/>
                <w:sz w:val="18"/>
              </w:rPr>
              <w:t>Nasopharyngitis</w:t>
            </w:r>
          </w:p>
        </w:tc>
        <w:tc>
          <w:tcPr>
            <w:tcW w:type="dxa" w:w="3024"/>
            <w:shd w:fill="F8F8F8"/>
          </w:tcPr>
          <w:p>
            <w:r/>
            <w:r>
              <w:rPr>
                <w:color w:val="363B3B"/>
                <w:sz w:val="18"/>
              </w:rPr>
              <w:t>2.6</w:t>
            </w:r>
          </w:p>
        </w:tc>
        <w:tc>
          <w:tcPr>
            <w:tcW w:type="dxa" w:w="3024"/>
            <w:shd w:fill="F8F8F8"/>
          </w:tcPr>
          <w:p>
            <w:r/>
            <w:r>
              <w:rPr>
                <w:color w:val="363B3B"/>
                <w:sz w:val="18"/>
              </w:rPr>
              <w:t>2.7</w:t>
            </w:r>
          </w:p>
        </w:tc>
      </w:tr>
      <w:tr>
        <w:tc>
          <w:tcPr>
            <w:tcW w:type="dxa" w:w="3024"/>
          </w:tcPr>
          <w:p>
            <w:r/>
            <w:r>
              <w:rPr>
                <w:color w:val="363B3B"/>
                <w:sz w:val="18"/>
              </w:rPr>
              <w:t>Back pain</w:t>
            </w:r>
          </w:p>
        </w:tc>
        <w:tc>
          <w:tcPr>
            <w:tcW w:type="dxa" w:w="3024"/>
          </w:tcPr>
          <w:p>
            <w:r/>
            <w:r>
              <w:rPr>
                <w:color w:val="363B3B"/>
                <w:sz w:val="18"/>
              </w:rPr>
              <w:t>2.3</w:t>
            </w:r>
          </w:p>
        </w:tc>
        <w:tc>
          <w:tcPr>
            <w:tcW w:type="dxa" w:w="3024"/>
          </w:tcPr>
          <w:p>
            <w:r/>
            <w:r>
              <w:rPr>
                <w:color w:val="363B3B"/>
                <w:sz w:val="18"/>
              </w:rPr>
              <w:t>2.0</w:t>
            </w:r>
          </w:p>
        </w:tc>
      </w:tr>
      <w:tr>
        <w:tc>
          <w:tcPr>
            <w:tcW w:type="dxa" w:w="3024"/>
            <w:shd w:fill="F8F8F8"/>
          </w:tcPr>
          <w:p>
            <w:r/>
            <w:r>
              <w:rPr>
                <w:color w:val="363B3B"/>
                <w:sz w:val="18"/>
              </w:rPr>
              <w:t>Urinary tract infection</w:t>
            </w:r>
          </w:p>
        </w:tc>
        <w:tc>
          <w:tcPr>
            <w:tcW w:type="dxa" w:w="3024"/>
            <w:shd w:fill="F8F8F8"/>
          </w:tcPr>
          <w:p>
            <w:r/>
            <w:r>
              <w:rPr>
                <w:color w:val="363B3B"/>
                <w:sz w:val="18"/>
              </w:rPr>
              <w:t>2.1</w:t>
            </w:r>
          </w:p>
        </w:tc>
        <w:tc>
          <w:tcPr>
            <w:tcW w:type="dxa" w:w="3024"/>
            <w:shd w:fill="F8F8F8"/>
          </w:tcPr>
          <w:p>
            <w:r/>
            <w:r>
              <w:rPr>
                <w:color w:val="363B3B"/>
                <w:sz w:val="18"/>
              </w:rPr>
              <w:t>1.9</w:t>
            </w:r>
          </w:p>
        </w:tc>
      </w:tr>
      <w:tr>
        <w:tc>
          <w:tcPr>
            <w:tcW w:type="dxa" w:w="3024"/>
          </w:tcPr>
          <w:p>
            <w:r/>
            <w:r>
              <w:rPr>
                <w:color w:val="363B3B"/>
                <w:sz w:val="18"/>
              </w:rPr>
              <w:t>Acute kidney injury</w:t>
            </w:r>
          </w:p>
        </w:tc>
        <w:tc>
          <w:tcPr>
            <w:tcW w:type="dxa" w:w="3024"/>
          </w:tcPr>
          <w:p>
            <w:r/>
            <w:r>
              <w:rPr>
                <w:color w:val="363B3B"/>
                <w:sz w:val="18"/>
              </w:rPr>
              <w:t>1.8</w:t>
            </w:r>
          </w:p>
        </w:tc>
        <w:tc>
          <w:tcPr>
            <w:tcW w:type="dxa" w:w="3024"/>
          </w:tcPr>
          <w:p>
            <w:r/>
            <w:r>
              <w:rPr>
                <w:color w:val="363B3B"/>
                <w:sz w:val="18"/>
              </w:rPr>
              <w:t>1.4</w:t>
            </w:r>
          </w:p>
        </w:tc>
      </w:tr>
    </w:tbl>
    <w:p/>
    <w:p>
      <w:pPr>
        <w:pStyle w:val="Heading2"/>
      </w:pPr>
      <w:r>
        <w:rPr>
          <w:color w:val="830051"/>
        </w:rPr>
        <w:t>Hyperkalaemia — the principal safety consideration</w:t>
      </w:r>
    </w:p>
    <w:p>
      <w:r>
        <w:rPr>
          <w:b w:val="0"/>
          <w:i w:val="0"/>
          <w:color w:val="363B3B"/>
          <w:sz w:val="20"/>
        </w:rPr>
        <w:t>Hyperkalaemia is an expected pharmacological effect of mineralocorticoid receptor antagonism and was the most frequently reported adverse event with SERANOVA. Proactive serum potassium monitoring and protocol-defined dose adjustment guidance minimised clinical impact:³</w:t>
      </w:r>
    </w:p>
    <w:p>
      <w:pPr>
        <w:pStyle w:val="ListBullet"/>
      </w:pPr>
      <w:r>
        <w:rPr>
          <w:sz w:val="20"/>
        </w:rPr>
        <w:t>Serum potassium &gt;5.5 mmol/L: 14.2% SERANOVA vs 6.3% placebo</w:t>
      </w:r>
    </w:p>
    <w:p>
      <w:pPr>
        <w:pStyle w:val="ListBullet"/>
      </w:pPr>
      <w:r>
        <w:rPr>
          <w:sz w:val="20"/>
        </w:rPr>
        <w:t>Serum potassium &gt;6.0 mmol/L: 1.4% vs 0.3%</w:t>
      </w:r>
    </w:p>
    <w:p>
      <w:pPr>
        <w:pStyle w:val="ListBullet"/>
      </w:pPr>
      <w:r>
        <w:rPr>
          <w:sz w:val="20"/>
        </w:rPr>
        <w:t>Hyperkalaemia leading to hospitalisation: 1.1% vs 0.4%</w:t>
      </w:r>
    </w:p>
    <w:p>
      <w:pPr>
        <w:pStyle w:val="ListBullet"/>
      </w:pPr>
      <w:r>
        <w:rPr>
          <w:sz w:val="20"/>
        </w:rPr>
        <w:t>Hyperkalaemia leading to permanent discontinuation: 1.7% vs 0.4%</w:t>
      </w:r>
    </w:p>
    <w:p>
      <w:pPr>
        <w:pStyle w:val="ListBullet"/>
      </w:pPr>
      <w:r>
        <w:rPr>
          <w:sz w:val="20"/>
        </w:rPr>
        <w:t>No fatal hyperkalaemic events in either treatment group</w:t>
      </w:r>
    </w:p>
    <w:p>
      <w:pPr>
        <w:pStyle w:val="ListBullet"/>
      </w:pPr>
      <w:r>
        <w:rPr>
          <w:sz w:val="20"/>
        </w:rPr>
        <w:t>Median time to first hyperkalaemia event: 8 months</w:t>
      </w:r>
    </w:p>
    <w:p>
      <w:pPr>
        <w:pStyle w:val="ListBullet"/>
      </w:pPr>
      <w:r>
        <w:rPr>
          <w:sz w:val="20"/>
        </w:rPr>
        <w:t>Events were manageable with dose reduction (20 mg → 10 mg) and standard potassium-lowering measures</w:t>
      </w:r>
    </w:p>
    <w:p/>
    <w:p>
      <w:pPr>
        <w:pStyle w:val="Heading2"/>
      </w:pPr>
      <w:r>
        <w:rPr>
          <w:color w:val="830051"/>
        </w:rPr>
        <w:t>Key safety findings</w:t>
      </w:r>
    </w:p>
    <w:p>
      <w:r>
        <w:rPr>
          <w:b/>
          <w:sz w:val="20"/>
        </w:rPr>
        <w:t xml:space="preserve">Serious adverse events: </w:t>
      </w:r>
      <w:r>
        <w:rPr>
          <w:sz w:val="20"/>
        </w:rPr>
        <w:t>21.4% SERANOVA vs 23.8% placebo</w:t>
      </w:r>
    </w:p>
    <w:p>
      <w:r>
        <w:rPr>
          <w:b/>
          <w:sz w:val="20"/>
        </w:rPr>
        <w:t xml:space="preserve">Treatment discontinuation due to AEs: </w:t>
      </w:r>
      <w:r>
        <w:rPr>
          <w:sz w:val="20"/>
        </w:rPr>
        <w:t>6.2% vs 5.1% (driven primarily by hyperkalaemia)</w:t>
      </w:r>
    </w:p>
    <w:p>
      <w:r>
        <w:rPr>
          <w:b/>
          <w:sz w:val="20"/>
        </w:rPr>
        <w:t xml:space="preserve">All-cause mortality: </w:t>
      </w:r>
      <w:r>
        <w:rPr>
          <w:sz w:val="20"/>
        </w:rPr>
        <w:t>7.7% vs 9.1% (HR 0.84; numerical reduction favouring SERANOVA)</w:t>
      </w:r>
    </w:p>
    <w:p>
      <w:r>
        <w:rPr>
          <w:b/>
          <w:sz w:val="20"/>
        </w:rPr>
        <w:t xml:space="preserve">Acute kidney injury: </w:t>
      </w:r>
      <w:r>
        <w:rPr>
          <w:sz w:val="20"/>
        </w:rPr>
        <w:t>1.8% vs 1.4% (no imbalance in serious AKI events requiring dialysis)</w:t>
      </w:r>
    </w:p>
    <w:p>
      <w:r>
        <w:rPr>
          <w:b/>
          <w:sz w:val="20"/>
        </w:rPr>
        <w:t xml:space="preserve">Gynaecomastia: </w:t>
      </w:r>
      <w:r>
        <w:rPr>
          <w:sz w:val="20"/>
        </w:rPr>
        <w:t>0.1% vs 0.1% (no signal for anti-androgenic effects, consistent with non-steroidal mechanism)³</w:t>
      </w:r>
    </w:p>
    <w:p>
      <w:r>
        <w:rPr>
          <w:b/>
          <w:sz w:val="20"/>
        </w:rPr>
        <w:t xml:space="preserve">Hepatic events: </w:t>
      </w:r>
      <w:r>
        <w:rPr>
          <w:sz w:val="20"/>
        </w:rPr>
        <w:t>ALT &gt;3× ULN: 0.5% vs 0.4% (no cases meeting Hy’s Law criteria)³</w:t>
      </w:r>
    </w:p>
    <w:p/>
    <w:p>
      <w:pPr>
        <w:pStyle w:val="Heading2"/>
      </w:pPr>
      <w:r>
        <w:rPr>
          <w:color w:val="830051"/>
        </w:rPr>
        <w:t>Special populations</w:t>
      </w:r>
    </w:p>
    <w:p>
      <w:pPr>
        <w:pStyle w:val="ListBullet"/>
      </w:pPr>
      <w:r>
        <w:rPr>
          <w:b/>
          <w:sz w:val="20"/>
        </w:rPr>
        <w:t>Renal impairment:</w:t>
      </w:r>
      <w:r>
        <w:rPr>
          <w:sz w:val="20"/>
        </w:rPr>
        <w:t xml:space="preserve"> No dose adjustment for eGFR 25–75 mL/min/1.73m² (studied population). SERANOVA has not been studied in patients with eGFR &lt;25 mL/min/1.73m² or on dialysis. Do not initiate if eGFR &lt;25 mL/min/1.73m².⁴</w:t>
      </w:r>
    </w:p>
    <w:p>
      <w:pPr>
        <w:pStyle w:val="ListBullet"/>
      </w:pPr>
      <w:r>
        <w:rPr>
          <w:b/>
          <w:sz w:val="20"/>
        </w:rPr>
        <w:t>Hepatic impairment:</w:t>
      </w:r>
      <w:r>
        <w:rPr>
          <w:sz w:val="20"/>
        </w:rPr>
        <w:t xml:space="preserve"> No dose adjustment for mild hepatic impairment (Child-Pugh A). Use with caution in moderate hepatic impairment (Child-Pugh B). Contraindicated in severe hepatic impairment (Child-Pugh C).⁴</w:t>
      </w:r>
    </w:p>
    <w:p>
      <w:pPr>
        <w:pStyle w:val="ListBullet"/>
      </w:pPr>
      <w:r>
        <w:rPr>
          <w:b/>
          <w:sz w:val="20"/>
        </w:rPr>
        <w:t>Elderly (≥65 years):</w:t>
      </w:r>
      <w:r>
        <w:rPr>
          <w:sz w:val="20"/>
        </w:rPr>
        <w:t xml:space="preserve"> No dose adjustment required. 42% of RENOVA-CKD patients were ≥65 years; efficacy and safety were consistent with the overall population.⁴</w:t>
      </w:r>
    </w:p>
    <w:p>
      <w:pPr>
        <w:pStyle w:val="ListBullet"/>
      </w:pPr>
      <w:r>
        <w:rPr>
          <w:b/>
          <w:sz w:val="20"/>
        </w:rPr>
        <w:t>Pregnancy and lactation:</w:t>
      </w:r>
      <w:r>
        <w:rPr>
          <w:sz w:val="20"/>
        </w:rPr>
        <w:t xml:space="preserve"> Contraindicated in pregnancy. Women of childbearing potential must use effective contraception during treatment and for 1 week after the last dose. It is not known whether valinectra is excreted in human milk; a decision must be made whether to discontinue breastfeeding or discontinue therapy.⁴</w:t>
      </w:r>
    </w:p>
    <w:p>
      <w:pPr>
        <w:jc w:val="center"/>
      </w:pPr>
      <w:r>
        <w:rPr>
          <w:color w:val="CCCCCC"/>
          <w:sz w:val="16"/>
        </w:rPr>
        <w:t>────────────────────────────────────────────────────────────</w:t>
      </w:r>
    </w:p>
    <w:p>
      <w:pPr>
        <w:pStyle w:val="Heading1"/>
      </w:pPr>
      <w:r>
        <w:rPr>
          <w:color w:val="830051"/>
        </w:rPr>
        <w:t>5. Prescribing Information (abbreviated — for every page footer)</w:t>
      </w:r>
    </w:p>
    <w:p>
      <w:r>
        <w:rPr>
          <w:b w:val="0"/>
          <w:i w:val="0"/>
          <w:color w:val="363B3B"/>
          <w:sz w:val="18"/>
        </w:rPr>
        <w:t>SERANOVA (valinectra) 10 mg and 20 mg film-coated tablets. Please refer to the Summary of Product Characteristics (SmPC) before prescribing. Indication: Reduction of sustained eGFR decline, end-stage kidney disease, cardiovascular death, and hospitalisation for heart failure in adults with chronic kidney disease associated with type 2 diabetes mellitus. Dosage and administration: Initiate at 10 mg once daily. Measure serum potassium before initiation and within 4 weeks. If serum potassium ≤4.8 mmol/L, uptitrate to 20 mg once daily. If serum potassium &gt;4.8 to 5.0 mmol/L, maintain 10 mg. If serum potassium &gt;5.0 mmol/L, withhold and recheck. Contraindications: Hypersensitivity to valinectra or any excipient. Concomitant use with strong CYP3A4 inhibitors (e.g. itraconazole, ketoconazole, ritonavir, clarithromycin). Addison’s disease. Severe hepatic impairment (Child-Pugh C). Warnings and precautions: Monitor serum potassium before initiation, at 4 weeks, and periodically thereafter. Interrupt treatment if potassium &gt;5.5 mmol/L. Do not initiate if serum potassium &gt;5.0 mmol/L or eGFR &lt;25 mL/min/1.73m². Use with caution in patients receiving potassium-sparing diuretics or potassium supplements. An initial eGFR decline may occur upon treatment initiation; this is typically reversible and not a reason to discontinue. Interactions: Contraindicated with strong CYP3A4 inhibitors. Avoid grapefruit juice. Moderate CYP3A4 inhibitors: no dose adjustment required but monitor potassium more frequently. Side effects: Very common (≥1/10): none. Common (≥1/100 to &lt;1/10): hyperkalaemia, hypotension. Uncommon (≥1/1000 to &lt;1/100): dizziness, pruritus, hyponatraemia. Legal category: POM. Pack and price: 28 tablets (10 mg): £524.60; 28 tablets (20 mg): £524.60. Marketing authorisation holder: AstraZeneca UK Ltd. MA number: PLGB 17901/0527. Full prescribing information available from: AstraZeneca UK Ltd, 2 Pancras Square, London N1C 4AG. GB-96017 | DOP: March 2026.</w:t>
      </w:r>
    </w:p>
    <w:p>
      <w:pPr>
        <w:jc w:val="center"/>
      </w:pPr>
      <w:r>
        <w:rPr>
          <w:color w:val="CCCCCC"/>
          <w:sz w:val="16"/>
        </w:rPr>
        <w:t>────────────────────────────────────────────────────────────</w:t>
      </w:r>
    </w:p>
    <w:p>
      <w:pPr>
        <w:pStyle w:val="Heading1"/>
      </w:pPr>
      <w:r>
        <w:rPr>
          <w:color w:val="830051"/>
        </w:rPr>
        <w:t>6. Adverse Event Reporting (for every page footer)</w:t>
      </w:r>
    </w:p>
    <w:p>
      <w:r>
        <w:rPr>
          <w:b w:val="0"/>
          <w:i w:val="0"/>
          <w:color w:val="363B3B"/>
          <w:sz w:val="20"/>
        </w:rPr>
        <w:t>Adverse events should be reported. Reporting forms and information can be found at www.mhra.gov.uk/yellowcard or search for MHRA Yellow Card in the Google Play or Apple App Store. Adverse events should also be reported to AstraZeneca by visiting contactazmedical.astrazeneca.com or by calling 0800 783 0033.</w:t>
      </w:r>
    </w:p>
    <w:p>
      <w:pPr>
        <w:jc w:val="center"/>
      </w:pPr>
      <w:r>
        <w:rPr>
          <w:color w:val="CCCCCC"/>
          <w:sz w:val="16"/>
        </w:rPr>
        <w:t>────────────────────────────────────────────────────────────</w:t>
      </w:r>
    </w:p>
    <w:p>
      <w:pPr>
        <w:pStyle w:val="Heading1"/>
      </w:pPr>
      <w:r>
        <w:rPr>
          <w:color w:val="830051"/>
        </w:rPr>
        <w:t>7. References (for every page footer)</w:t>
      </w:r>
    </w:p>
    <w:p>
      <w:r>
        <w:rPr>
          <w:i/>
          <w:sz w:val="20"/>
        </w:rPr>
        <w:t>1.  Nakamura et al. N Engl J Med 2025; 393(8): 712–726.</w:t>
      </w:r>
    </w:p>
    <w:p>
      <w:r>
        <w:rPr>
          <w:i/>
          <w:sz w:val="20"/>
        </w:rPr>
        <w:t>2.  Tanaka et al. Lancet 2026; 407(10332): 245–259.</w:t>
      </w:r>
    </w:p>
    <w:p>
      <w:r>
        <w:rPr>
          <w:i/>
          <w:sz w:val="20"/>
        </w:rPr>
        <w:t>3.  SERANOVA (valinectra) Summary of Product Characteristics. AstraZeneca UK Ltd. February 2026.</w:t>
      </w:r>
    </w:p>
    <w:p>
      <w:r>
        <w:rPr>
          <w:i/>
          <w:sz w:val="20"/>
        </w:rPr>
        <w:t>4.  Agarwal R, et al. Nat Rev Nephrol 2024; 20(6): 381–398.</w:t>
      </w:r>
    </w:p>
    <w:p>
      <w:r>
        <w:rPr>
          <w:i/>
          <w:sz w:val="20"/>
        </w:rPr>
        <w:t>5.  Kidney Disease: Improving Global Outcomes (KDIGO) CKD Work Group. Kidney Int Suppl 2024; 14(4): S1–S127.</w:t>
      </w:r>
    </w:p>
    <w:p>
      <w:pPr>
        <w:jc w:val="center"/>
      </w:pPr>
      <w:r>
        <w:rPr>
          <w:color w:val="CCCCCC"/>
          <w:sz w:val="16"/>
        </w:rPr>
        <w:t>────────────────────────────────────────────────────────────</w:t>
      </w:r>
    </w:p>
    <w:p>
      <w:pPr>
        <w:pStyle w:val="Heading1"/>
      </w:pPr>
      <w:r>
        <w:rPr>
          <w:color w:val="830051"/>
        </w:rPr>
        <w:t>8. Site Navigation</w:t>
      </w:r>
    </w:p>
    <w:p>
      <w:r>
        <w:rPr>
          <w:b/>
          <w:sz w:val="20"/>
        </w:rPr>
        <w:t xml:space="preserve">Top bar links: </w:t>
      </w:r>
      <w:r>
        <w:rPr>
          <w:sz w:val="20"/>
        </w:rPr>
        <w:t>Contact Us (https://www.astrazeneca.co.uk/contact-us.html) | AZ Employee Login (https://login.astrazeneca.com)</w:t>
      </w:r>
    </w:p>
    <w:p>
      <w:r>
        <w:rPr>
          <w:b/>
          <w:sz w:val="20"/>
        </w:rPr>
        <w:t xml:space="preserve">Main navigation pages: </w:t>
      </w:r>
      <w:r>
        <w:rPr>
          <w:sz w:val="20"/>
        </w:rPr>
        <w:t>RENOVA Data | Safety | Dosing &amp; Monitoring | How SERANOVA Works | Resources</w:t>
      </w:r>
    </w:p>
    <w:p>
      <w:r>
        <w:rPr>
          <w:b/>
          <w:sz w:val="20"/>
        </w:rPr>
        <w:t xml:space="preserve">Utility: </w:t>
      </w:r>
      <w:r>
        <w:rPr>
          <w:sz w:val="20"/>
        </w:rPr>
        <w:t>Search | Login</w:t>
      </w:r>
    </w:p>
    <w:p>
      <w:r>
        <w:br w:type="page"/>
      </w:r>
    </w:p>
    <w:p>
      <w:pPr>
        <w:pStyle w:val="Heading1"/>
      </w:pPr>
      <w:r>
        <w:rPr>
          <w:color w:val="830051"/>
        </w:rPr>
        <w:t>9. Page Content</w:t>
      </w:r>
    </w:p>
    <w:p>
      <w:r>
        <w:rPr>
          <w:b/>
          <w:color w:val="CC0000"/>
          <w:sz w:val="20"/>
        </w:rPr>
        <w:t>IMPORTANT: All copy below is final and MLR-approved. It must be used exactly as written — do not modify, rephrase, or abbreviate any text. All superscript reference numbers, statistical values, and regulatory language must be reproduced verbatim.</w:t>
      </w:r>
    </w:p>
    <w:p>
      <w:r>
        <w:rPr>
          <w:b/>
          <w:color w:val="CC0000"/>
          <w:sz w:val="20"/>
        </w:rPr>
        <w:t>Each page must end with expandable sections for Prescribing Information, Adverse Event Reporting, and References (see sections 5, 6, and 7 above).</w:t>
      </w:r>
    </w:p>
    <w:p>
      <w:r>
        <w:rPr>
          <w:b/>
          <w:color w:val="CC0000"/>
          <w:sz w:val="20"/>
        </w:rPr>
        <w:t>SERANOVA brand rule: SERANOVA always appears in capitals, with ™ on first mention per page. Generic name (valinectra) in lowercase parentheses on first mention. Tagline "Protecting what matters." verbatim only.</w:t>
      </w:r>
    </w:p>
    <w:p>
      <w:pPr>
        <w:jc w:val="center"/>
      </w:pPr>
      <w:r>
        <w:rPr>
          <w:color w:val="CCCCCC"/>
          <w:sz w:val="16"/>
        </w:rPr>
        <w:t>────────────────────────────────────────────────────────────</w:t>
      </w:r>
    </w:p>
    <w:p>
      <w:r>
        <w:br w:type="page"/>
      </w:r>
    </w:p>
    <w:p>
      <w:pPr>
        <w:pStyle w:val="Heading2"/>
      </w:pPr>
      <w:r>
        <w:rPr>
          <w:color w:val="830051"/>
        </w:rPr>
        <w:t>PAGE 1: Home</w:t>
      </w:r>
    </w:p>
    <w:p>
      <w:r>
        <w:rPr>
          <w:b/>
          <w:sz w:val="20"/>
        </w:rPr>
        <w:t xml:space="preserve">URL path: </w:t>
      </w:r>
      <w:r>
        <w:rPr>
          <w:sz w:val="20"/>
        </w:rPr>
        <w:t>/seranova/</w:t>
      </w:r>
    </w:p>
    <w:p>
      <w:pPr>
        <w:jc w:val="center"/>
      </w:pPr>
      <w:r>
        <w:rPr>
          <w:color w:val="CCCCCC"/>
          <w:sz w:val="16"/>
        </w:rPr>
        <w:t>────────────────────────────────────────────────────────────</w:t>
      </w:r>
    </w:p>
    <w:p>
      <w:pPr>
        <w:pStyle w:val="Heading3"/>
      </w:pPr>
      <w:r>
        <w:rPr>
          <w:color w:val="0072B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color w:val="005599"/>
          <w:sz w:val="16"/>
          <w:u w:val="single"/>
        </w:rPr>
        <w:t>https://novapril-images.pages.dev/hero-home.jpeg</w:t>
      </w:r>
    </w:p>
    <w:p>
      <w:pPr>
        <w:jc w:val="center"/>
      </w:pPr>
      <w:r>
        <w:rPr>
          <w:i/>
          <w:color w:val="666666"/>
          <w:sz w:val="16"/>
        </w:rPr>
        <w:t>Usage: Home — hero</w:t>
      </w:r>
    </w:p>
    <w:p>
      <w:r>
        <w:rPr>
          <w:b/>
          <w:sz w:val="20"/>
        </w:rPr>
        <w:t xml:space="preserve">Heading: </w:t>
      </w:r>
      <w:r>
        <w:rPr>
          <w:sz w:val="20"/>
        </w:rPr>
        <w:t>SERANOVA™ (valinectra)</w:t>
      </w:r>
    </w:p>
    <w:p>
      <w:r>
        <w:rPr>
          <w:b/>
        </w:rPr>
        <w:t xml:space="preserve">Body text: </w:t>
      </w:r>
      <w:r>
        <w:t>Cardiorenal protection for adults with chronic kidney disease and type 2 diabetes. Protecting what matters.¹</w:t>
      </w:r>
    </w:p>
    <w:p>
      <w:r>
        <w:rPr>
          <w:b/>
          <w:sz w:val="20"/>
        </w:rPr>
        <w:t xml:space="preserve">Call to action: </w:t>
      </w:r>
      <w:r>
        <w:rPr>
          <w:sz w:val="20"/>
        </w:rPr>
        <w:t>Explore the RENOVA data → /seranova/renova-data</w:t>
      </w:r>
    </w:p>
    <w:p>
      <w:pPr>
        <w:jc w:val="center"/>
      </w:pPr>
      <w:r>
        <w:rPr>
          <w:color w:val="CCCCCC"/>
          <w:sz w:val="16"/>
        </w:rPr>
        <w:t>────────────────────────────────────────────────────────────</w:t>
      </w:r>
    </w:p>
    <w:p>
      <w:pPr>
        <w:pStyle w:val="Heading3"/>
      </w:pPr>
      <w:r>
        <w:rPr>
          <w:color w:val="0072B2"/>
        </w:rPr>
        <w:t>Section 2 — Three key benefit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renal.jpeg"/>
                    <pic:cNvPicPr/>
                  </pic:nvPicPr>
                  <pic:blipFill>
                    <a:blip r:embed="rId10"/>
                    <a:stretch>
                      <a:fillRect/>
                    </a:stretch>
                  </pic:blipFill>
                  <pic:spPr>
                    <a:xfrm>
                      <a:off x="0" y="0"/>
                      <a:ext cx="2743200" cy="2048256"/>
                    </a:xfrm>
                    <a:prstGeom prst="rect"/>
                  </pic:spPr>
                </pic:pic>
              </a:graphicData>
            </a:graphic>
          </wp:inline>
        </w:drawing>
      </w:r>
    </w:p>
    <w:p>
      <w:pPr>
        <w:jc w:val="center"/>
      </w:pPr>
      <w:r>
        <w:rPr>
          <w:color w:val="005599"/>
          <w:sz w:val="16"/>
          <w:u w:val="single"/>
        </w:rPr>
        <w:t>https://eluvion-images.pages.dev/trial1-results.jpeg</w:t>
      </w:r>
    </w:p>
    <w:p>
      <w:pPr>
        <w:jc w:val="center"/>
      </w:pPr>
      <w:r>
        <w:rPr>
          <w:i/>
          <w:color w:val="666666"/>
          <w:sz w:val="16"/>
        </w:rPr>
        <w:t>Usage: Home — renal outcomes card</w:t>
      </w:r>
    </w:p>
    <w:p>
      <w:r>
        <w:rPr>
          <w:b/>
          <w:sz w:val="20"/>
        </w:rPr>
        <w:t xml:space="preserve">Card heading: </w:t>
      </w:r>
      <w:r>
        <w:rPr>
          <w:sz w:val="20"/>
        </w:rPr>
        <w:t>23% reduction in kidney disease progression</w:t>
      </w:r>
    </w:p>
    <w:p>
      <w:r>
        <w:rPr>
          <w:b/>
        </w:rPr>
        <w:t xml:space="preserve">Card body: </w:t>
      </w:r>
      <w:r>
        <w:t>In RENOVA-CKD, SERANOVA reduced the risk of the composite kidney outcome (sustained ≥57% eGFR decline, ESKD, renal death, or CV death) by 23% compared with placebo in adults with CKD and type 2 diabetes receiving maximum tolerated RAAS inhibition (HR 0.77; P&lt;0.001).¹</w:t>
      </w:r>
    </w:p>
    <w:p>
      <w:r>
        <w:rPr>
          <w:b/>
          <w:sz w:val="20"/>
        </w:rPr>
        <w:t xml:space="preserve">Card link: </w:t>
      </w:r>
      <w:r>
        <w:rPr>
          <w:sz w:val="20"/>
        </w:rPr>
        <w:t>View RENOVA data → /seranova/renova-data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cv.jpeg"/>
                    <pic:cNvPicPr/>
                  </pic:nvPicPr>
                  <pic:blipFill>
                    <a:blip r:embed="rId11"/>
                    <a:stretch>
                      <a:fillRect/>
                    </a:stretch>
                  </pic:blipFill>
                  <pic:spPr>
                    <a:xfrm>
                      <a:off x="0" y="0"/>
                      <a:ext cx="2743200" cy="2048256"/>
                    </a:xfrm>
                    <a:prstGeom prst="rect"/>
                  </pic:spPr>
                </pic:pic>
              </a:graphicData>
            </a:graphic>
          </wp:inline>
        </w:drawing>
      </w:r>
    </w:p>
    <w:p>
      <w:pPr>
        <w:jc w:val="center"/>
      </w:pPr>
      <w:r>
        <w:rPr>
          <w:color w:val="005599"/>
          <w:sz w:val="16"/>
          <w:u w:val="single"/>
        </w:rPr>
        <w:t>https://revantha-images.pages.dev/card-efficacy.jpeg</w:t>
      </w:r>
    </w:p>
    <w:p>
      <w:pPr>
        <w:jc w:val="center"/>
      </w:pPr>
      <w:r>
        <w:rPr>
          <w:i/>
          <w:color w:val="666666"/>
          <w:sz w:val="16"/>
        </w:rPr>
        <w:t>Usage: Home — CV outcomes card</w:t>
      </w:r>
    </w:p>
    <w:p>
      <w:r>
        <w:rPr>
          <w:b/>
          <w:sz w:val="20"/>
        </w:rPr>
        <w:t xml:space="preserve">Card heading: </w:t>
      </w:r>
      <w:r>
        <w:rPr>
          <w:sz w:val="20"/>
        </w:rPr>
        <w:t>18% reduction in cardiovascular events</w:t>
      </w:r>
    </w:p>
    <w:p>
      <w:r>
        <w:rPr>
          <w:b/>
        </w:rPr>
        <w:t xml:space="preserve">Card body: </w:t>
      </w:r>
      <w:r>
        <w:t>SERANOVA reduced the composite of cardiovascular death or hospitalisation for heart failure by 18% in RENOVA-CKD (HR 0.82; P=0.005) and by 18% in RENOVA-HF in patients with coexisting heart failure (HR 0.82; P=0.002), demonstrating consistent cardiorenal benefit.¹²</w:t>
      </w:r>
    </w:p>
    <w:p>
      <w:r>
        <w:rPr>
          <w:b/>
          <w:sz w:val="20"/>
        </w:rPr>
        <w:t xml:space="preserve">Card link: </w:t>
      </w:r>
      <w:r>
        <w:rPr>
          <w:sz w:val="20"/>
        </w:rPr>
        <w:t>Explore cardiovascular outcomes → /seranova/renova-data</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oral.jpeg"/>
                    <pic:cNvPicPr/>
                  </pic:nvPicPr>
                  <pic:blipFill>
                    <a:blip r:embed="rId12"/>
                    <a:stretch>
                      <a:fillRect/>
                    </a:stretch>
                  </pic:blipFill>
                  <pic:spPr>
                    <a:xfrm>
                      <a:off x="0" y="0"/>
                      <a:ext cx="2743200" cy="2048256"/>
                    </a:xfrm>
                    <a:prstGeom prst="rect"/>
                  </pic:spPr>
                </pic:pic>
              </a:graphicData>
            </a:graphic>
          </wp:inline>
        </w:drawing>
      </w:r>
    </w:p>
    <w:p>
      <w:pPr>
        <w:jc w:val="center"/>
      </w:pPr>
      <w:r>
        <w:rPr>
          <w:color w:val="005599"/>
          <w:sz w:val="16"/>
          <w:u w:val="single"/>
        </w:rPr>
        <w:t>https://zenturis-images.pages.dev/card-dosing.jpeg</w:t>
      </w:r>
    </w:p>
    <w:p>
      <w:pPr>
        <w:jc w:val="center"/>
      </w:pPr>
      <w:r>
        <w:rPr>
          <w:i/>
          <w:color w:val="666666"/>
          <w:sz w:val="16"/>
        </w:rPr>
        <w:t>Usage: Home — oral dosing card</w:t>
      </w:r>
    </w:p>
    <w:p>
      <w:r>
        <w:rPr>
          <w:b/>
          <w:sz w:val="20"/>
        </w:rPr>
        <w:t xml:space="preserve">Card heading: </w:t>
      </w:r>
      <w:r>
        <w:rPr>
          <w:sz w:val="20"/>
        </w:rPr>
        <w:t>Once-daily oral tablet with simple titration</w:t>
      </w:r>
    </w:p>
    <w:p>
      <w:r>
        <w:rPr>
          <w:b/>
        </w:rPr>
        <w:t xml:space="preserve">Card body: </w:t>
      </w:r>
      <w:r>
        <w:t>SERANOVA is initiated at 10 mg once daily and uptitrated to 20 mg after 4 weeks based on serum potassium. A simple oral regimen designed to complement existing guideline-directed therapy for diabetic kidney disease.³</w:t>
      </w:r>
    </w:p>
    <w:p>
      <w:r>
        <w:rPr>
          <w:b/>
          <w:sz w:val="20"/>
        </w:rPr>
        <w:t xml:space="preserve">Card link: </w:t>
      </w:r>
      <w:r>
        <w:rPr>
          <w:sz w:val="20"/>
        </w:rPr>
        <w:t>View dosing guidance → /seranova/dosing</w:t>
      </w:r>
    </w:p>
    <w:p>
      <w:pPr>
        <w:jc w:val="center"/>
      </w:pPr>
      <w:r>
        <w:rPr>
          <w:color w:val="CCCCCC"/>
          <w:sz w:val="16"/>
        </w:rPr>
        <w:t>────────────────────────────────────────────────────────────</w:t>
      </w:r>
    </w:p>
    <w:p>
      <w:pPr>
        <w:pStyle w:val="Heading3"/>
      </w:pPr>
      <w:r>
        <w:rPr>
          <w:color w:val="0072B2"/>
        </w:rPr>
        <w:t>Section 3 — Disease context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Diabetic kidney disease: a growing cardiorenal challenge</w:t>
      </w:r>
    </w:p>
    <w:p>
      <w:r>
        <w:rPr>
          <w:b/>
        </w:rPr>
        <w:t xml:space="preserve">Body text: </w:t>
      </w:r>
      <w:r>
        <w:t>Approximately 40% of adults with type 2 diabetes develop chronic kidney disease, and CKD in the context of diabetes is associated with a 2–3-fold increased risk of cardiovascular events and premature death.⁴ Despite RAAS inhibition, SGLT2 inhibitors, and glycaemic optimisation, residual risk of kidney disease progression and cardiovascular events remains substantial. Mineralocorticoid receptor overactivation is an independent driver of this residual risk, representing a distinct and complementary therapeutic target.⁵</w:t>
      </w:r>
    </w:p>
    <w:p>
      <w:pPr>
        <w:jc w:val="center"/>
      </w:pPr>
      <w:r>
        <w:rPr>
          <w:color w:val="CCCCCC"/>
          <w:sz w:val="16"/>
        </w:rPr>
        <w:t>────────────────────────────────────────────────────────────</w:t>
      </w:r>
    </w:p>
    <w:p>
      <w:pPr>
        <w:pStyle w:val="Heading3"/>
      </w:pPr>
      <w:r>
        <w:rPr>
          <w:color w:val="0072B2"/>
        </w:rPr>
        <w:t>Section 4 — Mechanism teaser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5" name="Picture 5"/>
            <wp:cNvGraphicFramePr>
              <a:graphicFrameLocks noChangeAspect="1"/>
            </wp:cNvGraphicFramePr>
            <a:graphic>
              <a:graphicData uri="http://schemas.openxmlformats.org/drawingml/2006/picture">
                <pic:pic>
                  <pic:nvPicPr>
                    <pic:cNvPr id="0" name="columns-moa-preview.jpeg"/>
                    <pic:cNvPicPr/>
                  </pic:nvPicPr>
                  <pic:blipFill>
                    <a:blip r:embed="rId13"/>
                    <a:stretch>
                      <a:fillRect/>
                    </a:stretch>
                  </pic:blipFill>
                  <pic:spPr>
                    <a:xfrm>
                      <a:off x="0" y="0"/>
                      <a:ext cx="3200400" cy="2389632"/>
                    </a:xfrm>
                    <a:prstGeom prst="rect"/>
                  </pic:spPr>
                </pic:pic>
              </a:graphicData>
            </a:graphic>
          </wp:inline>
        </w:drawing>
      </w:r>
    </w:p>
    <w:p>
      <w:pPr>
        <w:jc w:val="center"/>
      </w:pPr>
      <w:r>
        <w:rPr>
          <w:color w:val="005599"/>
          <w:sz w:val="16"/>
          <w:u w:val="single"/>
        </w:rPr>
        <w:t>https://eluvion-images.pages.dev/drug-mechanism.jpeg</w:t>
      </w:r>
    </w:p>
    <w:p>
      <w:pPr>
        <w:jc w:val="center"/>
      </w:pPr>
      <w:r>
        <w:rPr>
          <w:i/>
          <w:color w:val="666666"/>
          <w:sz w:val="16"/>
        </w:rPr>
        <w:t>Usage: Home — MoA teaser</w:t>
      </w:r>
    </w:p>
    <w:p>
      <w:r>
        <w:rPr>
          <w:b/>
          <w:sz w:val="20"/>
        </w:rPr>
        <w:t xml:space="preserve">Heading: </w:t>
      </w:r>
      <w:r>
        <w:rPr>
          <w:sz w:val="20"/>
        </w:rPr>
        <w:t>Targeting the mineralocorticoid receptor</w:t>
      </w:r>
    </w:p>
    <w:p>
      <w:r>
        <w:rPr>
          <w:b/>
        </w:rPr>
        <w:t xml:space="preserve">Body text: </w:t>
      </w:r>
      <w:r>
        <w:t>Excessive MR activation in the kidney and heart drives inflammation, fibrosis, and organ damage in diabetic kidney disease. SERANOVA selectively blocks MR signalling with a non-steroidal mechanism, providing cardiorenal protection beyond RAAS inhibition alone.³</w:t>
      </w:r>
    </w:p>
    <w:p>
      <w:r>
        <w:rPr>
          <w:b/>
          <w:sz w:val="20"/>
        </w:rPr>
        <w:t xml:space="preserve">Call to action: </w:t>
      </w:r>
      <w:r>
        <w:rPr>
          <w:sz w:val="20"/>
        </w:rPr>
        <w:t>Explore how SERANOVA works → /seranova/how-seranova-works</w:t>
      </w:r>
    </w:p>
    <w:p>
      <w:pPr>
        <w:jc w:val="center"/>
      </w:pPr>
      <w:r>
        <w:rPr>
          <w:color w:val="CCCCCC"/>
          <w:sz w:val="16"/>
        </w:rPr>
        <w:t>────────────────────────────────────────────────────────────</w:t>
      </w:r>
    </w:p>
    <w:p>
      <w:pPr>
        <w:pStyle w:val="Heading3"/>
      </w:pPr>
      <w:r>
        <w:rPr>
          <w:color w:val="0072B2"/>
        </w:rPr>
        <w:t>Section 5 — Prescribing information footer</w:t>
      </w:r>
    </w:p>
    <w:p>
      <w:r>
        <w:rPr>
          <w:b/>
          <w:sz w:val="20"/>
        </w:rPr>
        <w:t xml:space="preserve">Block: </w:t>
      </w:r>
      <w:r>
        <w:rPr>
          <w:sz w:val="20"/>
        </w:rPr>
        <w:t>accordion</w:t>
      </w:r>
    </w:p>
    <w:p>
      <w:r>
        <w:rPr>
          <w:b w:val="0"/>
          <w:i/>
          <w:color w:val="363B3B"/>
          <w:sz w:val="20"/>
        </w:rPr>
        <w:t>Expandable sections for: Prescribing Information | Adverse Event Reporting | References (Use approved text from sections 5, 6, and 7 above)</w:t>
      </w:r>
    </w:p>
    <w:p/>
    <w:p>
      <w:r>
        <w:rPr>
          <w:b/>
          <w:color w:val="830051"/>
        </w:rPr>
        <w:t>Page metadata</w:t>
      </w:r>
    </w:p>
    <w:p>
      <w:r>
        <w:rPr>
          <w:b w:val="0"/>
          <w:i w:val="0"/>
          <w:color w:val="363B3B"/>
          <w:sz w:val="20"/>
        </w:rPr>
        <w:t>Title: SERANOVA (valinectra) | Cardiorenal Protection in CKD &amp; T2D | AstraZeneca UK</w:t>
      </w:r>
    </w:p>
    <w:p>
      <w:r>
        <w:rPr>
          <w:b w:val="0"/>
          <w:i w:val="0"/>
          <w:color w:val="363B3B"/>
          <w:sz w:val="20"/>
        </w:rPr>
        <w:t>Description: SERANOVA (valinectra) is a non-steroidal selective MRA for adults with chronic kidney disease associated with type 2 diabetes. Explore RENOVA clinical data, safety, and dosing for UK healthcare professionals.</w:t>
      </w:r>
    </w:p>
    <w:p>
      <w:r>
        <w:br w:type="page"/>
      </w:r>
    </w:p>
    <w:p>
      <w:pPr>
        <w:pStyle w:val="Heading2"/>
      </w:pPr>
      <w:r>
        <w:rPr>
          <w:color w:val="830051"/>
        </w:rPr>
        <w:t>PAGE 2: RENOVA Data</w:t>
      </w:r>
    </w:p>
    <w:p>
      <w:r>
        <w:rPr>
          <w:b/>
          <w:sz w:val="20"/>
        </w:rPr>
        <w:t xml:space="preserve">URL path: </w:t>
      </w:r>
      <w:r>
        <w:rPr>
          <w:sz w:val="20"/>
        </w:rPr>
        <w:t>/seranova/renova-data</w:t>
      </w:r>
    </w:p>
    <w:p>
      <w:pPr>
        <w:jc w:val="center"/>
      </w:pPr>
      <w:r>
        <w:rPr>
          <w:color w:val="CCCCCC"/>
          <w:sz w:val="16"/>
        </w:rPr>
        <w:t>────────────────────────────────────────────────────────────</w:t>
      </w:r>
    </w:p>
    <w:p>
      <w:pPr>
        <w:pStyle w:val="Heading3"/>
      </w:pPr>
      <w:r>
        <w:rPr>
          <w:color w:val="0072B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color w:val="005599"/>
          <w:sz w:val="16"/>
          <w:u w:val="single"/>
        </w:rPr>
        <w:t>https://zenturis-images.pages.dev/hero-efficacy.jpeg</w:t>
      </w:r>
    </w:p>
    <w:p>
      <w:pPr>
        <w:jc w:val="center"/>
      </w:pPr>
      <w:r>
        <w:rPr>
          <w:i/>
          <w:color w:val="666666"/>
          <w:sz w:val="16"/>
        </w:rPr>
        <w:t>Usage: RENOVA Data — hero</w:t>
      </w:r>
    </w:p>
    <w:p>
      <w:r>
        <w:rPr>
          <w:b/>
          <w:sz w:val="20"/>
        </w:rPr>
        <w:t xml:space="preserve">Heading: </w:t>
      </w:r>
      <w:r>
        <w:rPr>
          <w:sz w:val="20"/>
        </w:rPr>
        <w:t>The RENOVA clinical programme</w:t>
      </w:r>
    </w:p>
    <w:p>
      <w:r>
        <w:rPr>
          <w:b/>
        </w:rPr>
        <w:t xml:space="preserve">Body text: </w:t>
      </w:r>
      <w:r>
        <w:t>SERANOVA™ (valinectra) demonstrated significant kidney and cardiovascular protection in over 11,000 adults with chronic kidney disease and type 2 diabetes across two Phase III trials.¹ ²</w:t>
      </w:r>
    </w:p>
    <w:p>
      <w:pPr>
        <w:jc w:val="center"/>
      </w:pPr>
      <w:r>
        <w:rPr>
          <w:color w:val="CCCCCC"/>
          <w:sz w:val="16"/>
        </w:rPr>
        <w:t>────────────────────────────────────────────────────────────</w:t>
      </w:r>
    </w:p>
    <w:p>
      <w:pPr>
        <w:pStyle w:val="Heading3"/>
      </w:pPr>
      <w:r>
        <w:rPr>
          <w:color w:val="0072B2"/>
        </w:rPr>
        <w:t>Section 2 — Programme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Comprehensive cardiorenal evidence across two pivotal trials</w:t>
      </w:r>
    </w:p>
    <w:p>
      <w:r>
        <w:rPr>
          <w:b/>
        </w:rPr>
        <w:t xml:space="preserve">Body text: </w:t>
      </w:r>
      <w:r>
        <w:t>The RENOVA programme evaluated valinectra in two distinct but complementary populations: RENOVA-CKD assessed kidney and cardiovascular outcomes in 7,352 adults with CKD and type 2 diabetes, establishing the primary indication. RENOVA-HF assessed cardiovascular outcomes in 3,814 adults with coexisting heart failure, CKD, and type 2 diabetes, extending the evidence to the highest-risk patients.¹ ²</w:t>
      </w:r>
    </w:p>
    <w:p>
      <w:pPr>
        <w:jc w:val="center"/>
      </w:pPr>
      <w:r>
        <w:rPr>
          <w:color w:val="CCCCCC"/>
          <w:sz w:val="16"/>
        </w:rPr>
        <w:t>────────────────────────────────────────────────────────────</w:t>
      </w:r>
    </w:p>
    <w:p>
      <w:pPr>
        <w:pStyle w:val="Heading3"/>
      </w:pPr>
      <w:r>
        <w:rPr>
          <w:color w:val="0072B2"/>
        </w:rPr>
        <w:t>Section 3 — Clinical data (two tabs)</w:t>
      </w:r>
    </w:p>
    <w:p>
      <w:r>
        <w:rPr>
          <w:b/>
          <w:sz w:val="20"/>
        </w:rPr>
        <w:t xml:space="preserve">Block: </w:t>
      </w:r>
      <w:r>
        <w:rPr>
          <w:sz w:val="20"/>
        </w:rPr>
        <w:t>tabs-large</w:t>
      </w:r>
    </w:p>
    <w:p/>
    <w:p>
      <w:r>
        <w:rPr>
          <w:b/>
          <w:i w:val="0"/>
          <w:color w:val="363B3B"/>
          <w:sz w:val="20"/>
        </w:rPr>
        <w:t>Tab 1: "RENOVA-CKD: Kidney outcomes"</w:t>
      </w:r>
    </w:p>
    <w:p>
      <w:pPr>
        <w:jc w:val="center"/>
      </w:pPr>
      <w:r>
        <w:drawing>
          <wp:inline xmlns:a="http://schemas.openxmlformats.org/drawingml/2006/main" xmlns:pic="http://schemas.openxmlformats.org/drawingml/2006/picture">
            <wp:extent cx="3200400" cy="2389632"/>
            <wp:docPr id="7" name="Picture 7"/>
            <wp:cNvGraphicFramePr>
              <a:graphicFrameLocks noChangeAspect="1"/>
            </wp:cNvGraphicFramePr>
            <a:graphic>
              <a:graphicData uri="http://schemas.openxmlformats.org/drawingml/2006/picture">
                <pic:pic>
                  <pic:nvPicPr>
                    <pic:cNvPr id="0" name="tab-renova-ckd.jpeg"/>
                    <pic:cNvPicPr/>
                  </pic:nvPicPr>
                  <pic:blipFill>
                    <a:blip r:embed="rId15"/>
                    <a:stretch>
                      <a:fillRect/>
                    </a:stretch>
                  </pic:blipFill>
                  <pic:spPr>
                    <a:xfrm>
                      <a:off x="0" y="0"/>
                      <a:ext cx="3200400" cy="2389632"/>
                    </a:xfrm>
                    <a:prstGeom prst="rect"/>
                  </pic:spPr>
                </pic:pic>
              </a:graphicData>
            </a:graphic>
          </wp:inline>
        </w:drawing>
      </w:r>
    </w:p>
    <w:p>
      <w:pPr>
        <w:jc w:val="center"/>
      </w:pPr>
      <w:r>
        <w:rPr>
          <w:color w:val="005599"/>
          <w:sz w:val="16"/>
          <w:u w:val="single"/>
        </w:rPr>
        <w:t>https://zenturis-images.pages.dev/tab-zenith1.jpeg</w:t>
      </w:r>
    </w:p>
    <w:p>
      <w:pPr>
        <w:jc w:val="center"/>
      </w:pPr>
      <w:r>
        <w:rPr>
          <w:i/>
          <w:color w:val="666666"/>
          <w:sz w:val="16"/>
        </w:rPr>
        <w:t>Usage: RENOVA Data — CKD tab</w:t>
      </w:r>
    </w:p>
    <w:p>
      <w:r>
        <w:rPr>
          <w:b/>
          <w:sz w:val="20"/>
        </w:rPr>
        <w:t xml:space="preserve">Heading: </w:t>
      </w:r>
      <w:r>
        <w:rPr>
          <w:sz w:val="20"/>
        </w:rPr>
        <w:t>RENOVA-CKD: 23% reduction in the composite kidney outcome</w:t>
      </w:r>
    </w:p>
    <w:p>
      <w:r>
        <w:rPr>
          <w:b/>
        </w:rPr>
        <w:t xml:space="preserve">Body text: </w:t>
      </w:r>
      <w:r>
        <w:t>In RENOVA-CKD, a randomised, double-blind, placebo-controlled trial in 7,352 adults with CKD (eGFR 25–75 mL/min/1.73m², UACR 30–5,000 mg/g) and type 2 diabetes on maximum tolerated RAAS inhibition, SERANOVA reduced the primary composite endpoint (sustained ≥57% eGFR decline, ESKD, renal death, or CV death) by 23% versus placebo (HR 0.77; 95% CI: 0.67–0.88; P&lt;0.001).¹</w:t>
      </w:r>
    </w:p>
    <w:p/>
    <w:p>
      <w:r>
        <w:rPr>
          <w:b/>
        </w:rPr>
        <w:t xml:space="preserve">Body text (continued): </w:t>
      </w:r>
      <w:r>
        <w:t>SERANOVA slowed the rate of kidney function decline, with a total eGFR slope of −2.1 vs −3.8 mL/min/1.73m²/year (difference: +1.7; P&lt;0.001). Albuminuria was reduced by 36% from baseline at Month 4 (ratio 0.65; P&lt;0.001). The cardiovascular co-primary endpoint (CV death or HHF) was also significantly reduced (HR 0.82; P=0.005).¹</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SERANOVA (n=3,676)</w:t>
            </w:r>
          </w:p>
        </w:tc>
        <w:tc>
          <w:tcPr>
            <w:tcW w:type="dxa" w:w="2268"/>
            <w:shd w:fill="830051"/>
          </w:tcPr>
          <w:p>
            <w:r/>
            <w:r>
              <w:rPr>
                <w:b/>
                <w:color w:val="FFFFFF"/>
                <w:sz w:val="18"/>
              </w:rPr>
              <w:t>Placebo (n=3,676)</w:t>
            </w:r>
          </w:p>
        </w:tc>
        <w:tc>
          <w:tcPr>
            <w:tcW w:type="dxa" w:w="2268"/>
            <w:shd w:fill="830051"/>
          </w:tcPr>
          <w:p>
            <w:r/>
            <w:r>
              <w:rPr>
                <w:b/>
                <w:color w:val="FFFFFF"/>
                <w:sz w:val="18"/>
              </w:rPr>
              <w:t>Treatment effect</w:t>
            </w:r>
          </w:p>
        </w:tc>
      </w:tr>
      <w:tr>
        <w:tc>
          <w:tcPr>
            <w:tcW w:type="dxa" w:w="2268"/>
          </w:tcPr>
          <w:p>
            <w:r/>
            <w:r>
              <w:rPr>
                <w:color w:val="363B3B"/>
                <w:sz w:val="18"/>
              </w:rPr>
              <w:t>Primary composite (kidney + CV death)</w:t>
            </w:r>
          </w:p>
        </w:tc>
        <w:tc>
          <w:tcPr>
            <w:tcW w:type="dxa" w:w="2268"/>
          </w:tcPr>
          <w:p>
            <w:r/>
            <w:r>
              <w:rPr>
                <w:color w:val="363B3B"/>
                <w:sz w:val="18"/>
              </w:rPr>
              <w:t>13.7%</w:t>
            </w:r>
          </w:p>
        </w:tc>
        <w:tc>
          <w:tcPr>
            <w:tcW w:type="dxa" w:w="2268"/>
          </w:tcPr>
          <w:p>
            <w:r/>
            <w:r>
              <w:rPr>
                <w:color w:val="363B3B"/>
                <w:sz w:val="18"/>
              </w:rPr>
              <w:t>17.6%</w:t>
            </w:r>
          </w:p>
        </w:tc>
        <w:tc>
          <w:tcPr>
            <w:tcW w:type="dxa" w:w="2268"/>
          </w:tcPr>
          <w:p>
            <w:r/>
            <w:r>
              <w:rPr>
                <w:color w:val="363B3B"/>
                <w:sz w:val="18"/>
              </w:rPr>
              <w:t>HR 0.77 (0.67–0.88); P&lt;0.001</w:t>
            </w:r>
          </w:p>
        </w:tc>
      </w:tr>
      <w:tr>
        <w:tc>
          <w:tcPr>
            <w:tcW w:type="dxa" w:w="2268"/>
            <w:shd w:fill="F8F8F8"/>
          </w:tcPr>
          <w:p>
            <w:r/>
            <w:r>
              <w:rPr>
                <w:color w:val="363B3B"/>
                <w:sz w:val="18"/>
              </w:rPr>
              <w:t>Sustained ≥57% eGFR decline or ESKD</w:t>
            </w:r>
          </w:p>
        </w:tc>
        <w:tc>
          <w:tcPr>
            <w:tcW w:type="dxa" w:w="2268"/>
            <w:shd w:fill="F8F8F8"/>
          </w:tcPr>
          <w:p>
            <w:r/>
            <w:r>
              <w:rPr>
                <w:color w:val="363B3B"/>
                <w:sz w:val="18"/>
              </w:rPr>
              <w:t>9.8%</w:t>
            </w:r>
          </w:p>
        </w:tc>
        <w:tc>
          <w:tcPr>
            <w:tcW w:type="dxa" w:w="2268"/>
            <w:shd w:fill="F8F8F8"/>
          </w:tcPr>
          <w:p>
            <w:r/>
            <w:r>
              <w:rPr>
                <w:color w:val="363B3B"/>
                <w:sz w:val="18"/>
              </w:rPr>
              <w:t>12.9%</w:t>
            </w:r>
          </w:p>
        </w:tc>
        <w:tc>
          <w:tcPr>
            <w:tcW w:type="dxa" w:w="2268"/>
            <w:shd w:fill="F8F8F8"/>
          </w:tcPr>
          <w:p>
            <w:r/>
            <w:r>
              <w:rPr>
                <w:color w:val="363B3B"/>
                <w:sz w:val="18"/>
              </w:rPr>
              <w:t>HR 0.75 (0.64–0.87); P&lt;0.001</w:t>
            </w:r>
          </w:p>
        </w:tc>
      </w:tr>
      <w:tr>
        <w:tc>
          <w:tcPr>
            <w:tcW w:type="dxa" w:w="2268"/>
          </w:tcPr>
          <w:p>
            <w:r/>
            <w:r>
              <w:rPr>
                <w:color w:val="363B3B"/>
                <w:sz w:val="18"/>
              </w:rPr>
              <w:t>CV death or HHF</w:t>
            </w:r>
          </w:p>
        </w:tc>
        <w:tc>
          <w:tcPr>
            <w:tcW w:type="dxa" w:w="2268"/>
          </w:tcPr>
          <w:p>
            <w:r/>
            <w:r>
              <w:rPr>
                <w:color w:val="363B3B"/>
                <w:sz w:val="18"/>
              </w:rPr>
              <w:t>10.0%</w:t>
            </w:r>
          </w:p>
        </w:tc>
        <w:tc>
          <w:tcPr>
            <w:tcW w:type="dxa" w:w="2268"/>
          </w:tcPr>
          <w:p>
            <w:r/>
            <w:r>
              <w:rPr>
                <w:color w:val="363B3B"/>
                <w:sz w:val="18"/>
              </w:rPr>
              <w:t>12.1%</w:t>
            </w:r>
          </w:p>
        </w:tc>
        <w:tc>
          <w:tcPr>
            <w:tcW w:type="dxa" w:w="2268"/>
          </w:tcPr>
          <w:p>
            <w:r/>
            <w:r>
              <w:rPr>
                <w:color w:val="363B3B"/>
                <w:sz w:val="18"/>
              </w:rPr>
              <w:t>HR 0.82 (0.71–0.94); P=0.005</w:t>
            </w:r>
          </w:p>
        </w:tc>
      </w:tr>
      <w:tr>
        <w:tc>
          <w:tcPr>
            <w:tcW w:type="dxa" w:w="2268"/>
            <w:shd w:fill="F8F8F8"/>
          </w:tcPr>
          <w:p>
            <w:r/>
            <w:r>
              <w:rPr>
                <w:color w:val="363B3B"/>
                <w:sz w:val="18"/>
              </w:rPr>
              <w:t>eGFR slope (mL/min/1.73m²/yr)</w:t>
            </w:r>
          </w:p>
        </w:tc>
        <w:tc>
          <w:tcPr>
            <w:tcW w:type="dxa" w:w="2268"/>
            <w:shd w:fill="F8F8F8"/>
          </w:tcPr>
          <w:p>
            <w:r/>
            <w:r>
              <w:rPr>
                <w:color w:val="363B3B"/>
                <w:sz w:val="18"/>
              </w:rPr>
              <w:t>−2.1</w:t>
            </w:r>
          </w:p>
        </w:tc>
        <w:tc>
          <w:tcPr>
            <w:tcW w:type="dxa" w:w="2268"/>
            <w:shd w:fill="F8F8F8"/>
          </w:tcPr>
          <w:p>
            <w:r/>
            <w:r>
              <w:rPr>
                <w:color w:val="363B3B"/>
                <w:sz w:val="18"/>
              </w:rPr>
              <w:t>−3.8</w:t>
            </w:r>
          </w:p>
        </w:tc>
        <w:tc>
          <w:tcPr>
            <w:tcW w:type="dxa" w:w="2268"/>
            <w:shd w:fill="F8F8F8"/>
          </w:tcPr>
          <w:p>
            <w:r/>
            <w:r>
              <w:rPr>
                <w:color w:val="363B3B"/>
                <w:sz w:val="18"/>
              </w:rPr>
              <w:t>+1.7 (1.3–2.1); P&lt;0.001</w:t>
            </w:r>
          </w:p>
        </w:tc>
      </w:tr>
      <w:tr>
        <w:tc>
          <w:tcPr>
            <w:tcW w:type="dxa" w:w="2268"/>
          </w:tcPr>
          <w:p>
            <w:r/>
            <w:r>
              <w:rPr>
                <w:color w:val="363B3B"/>
                <w:sz w:val="18"/>
              </w:rPr>
              <w:t>UACR change at Month 4</w:t>
            </w:r>
          </w:p>
        </w:tc>
        <w:tc>
          <w:tcPr>
            <w:tcW w:type="dxa" w:w="2268"/>
          </w:tcPr>
          <w:p>
            <w:r/>
            <w:r>
              <w:rPr>
                <w:color w:val="363B3B"/>
                <w:sz w:val="18"/>
              </w:rPr>
              <w:t>−36%</w:t>
            </w:r>
          </w:p>
        </w:tc>
        <w:tc>
          <w:tcPr>
            <w:tcW w:type="dxa" w:w="2268"/>
          </w:tcPr>
          <w:p>
            <w:r/>
            <w:r>
              <w:rPr>
                <w:color w:val="363B3B"/>
                <w:sz w:val="18"/>
              </w:rPr>
              <w:t>−2%</w:t>
            </w:r>
          </w:p>
        </w:tc>
        <w:tc>
          <w:tcPr>
            <w:tcW w:type="dxa" w:w="2268"/>
          </w:tcPr>
          <w:p>
            <w:r/>
            <w:r>
              <w:rPr>
                <w:color w:val="363B3B"/>
                <w:sz w:val="18"/>
              </w:rPr>
              <w:t>Ratio 0.65 (0.61–0.70); P&lt;0.001</w:t>
            </w:r>
          </w:p>
        </w:tc>
      </w:tr>
    </w:tbl>
    <w:p>
      <w:pPr>
        <w:jc w:val="center"/>
      </w:pPr>
      <w:r>
        <w:rPr>
          <w:color w:val="CCCCCC"/>
          <w:sz w:val="16"/>
        </w:rPr>
        <w:t>────────────────────────────────────────────────────────────</w:t>
      </w:r>
    </w:p>
    <w:p>
      <w:r>
        <w:rPr>
          <w:b/>
          <w:i w:val="0"/>
          <w:color w:val="363B3B"/>
          <w:sz w:val="20"/>
        </w:rPr>
        <w:t>Tab 2: "RENOVA-HF: Heart failure outcomes"</w:t>
      </w:r>
    </w:p>
    <w:p>
      <w:pPr>
        <w:jc w:val="center"/>
      </w:pPr>
      <w:r>
        <w:drawing>
          <wp:inline xmlns:a="http://schemas.openxmlformats.org/drawingml/2006/main" xmlns:pic="http://schemas.openxmlformats.org/drawingml/2006/picture">
            <wp:extent cx="3200400" cy="2389632"/>
            <wp:docPr id="8" name="Picture 8"/>
            <wp:cNvGraphicFramePr>
              <a:graphicFrameLocks noChangeAspect="1"/>
            </wp:cNvGraphicFramePr>
            <a:graphic>
              <a:graphicData uri="http://schemas.openxmlformats.org/drawingml/2006/picture">
                <pic:pic>
                  <pic:nvPicPr>
                    <pic:cNvPr id="0" name="tab-renova-hf.jpeg"/>
                    <pic:cNvPicPr/>
                  </pic:nvPicPr>
                  <pic:blipFill>
                    <a:blip r:embed="rId16"/>
                    <a:stretch>
                      <a:fillRect/>
                    </a:stretch>
                  </pic:blipFill>
                  <pic:spPr>
                    <a:xfrm>
                      <a:off x="0" y="0"/>
                      <a:ext cx="3200400" cy="2389632"/>
                    </a:xfrm>
                    <a:prstGeom prst="rect"/>
                  </pic:spPr>
                </pic:pic>
              </a:graphicData>
            </a:graphic>
          </wp:inline>
        </w:drawing>
      </w:r>
    </w:p>
    <w:p>
      <w:pPr>
        <w:jc w:val="center"/>
      </w:pPr>
      <w:r>
        <w:rPr>
          <w:color w:val="005599"/>
          <w:sz w:val="16"/>
          <w:u w:val="single"/>
        </w:rPr>
        <w:t>https://zenturis-images.pages.dev/tab-zenith2.jpeg</w:t>
      </w:r>
    </w:p>
    <w:p>
      <w:pPr>
        <w:jc w:val="center"/>
      </w:pPr>
      <w:r>
        <w:rPr>
          <w:i/>
          <w:color w:val="666666"/>
          <w:sz w:val="16"/>
        </w:rPr>
        <w:t>Usage: RENOVA Data — HF tab</w:t>
      </w:r>
    </w:p>
    <w:p>
      <w:r>
        <w:rPr>
          <w:b/>
          <w:sz w:val="20"/>
        </w:rPr>
        <w:t xml:space="preserve">Heading: </w:t>
      </w:r>
      <w:r>
        <w:rPr>
          <w:sz w:val="20"/>
        </w:rPr>
        <w:t>RENOVA-HF: 18% reduction in CV death or hospitalisation for heart failure</w:t>
      </w:r>
    </w:p>
    <w:p>
      <w:r>
        <w:rPr>
          <w:b/>
        </w:rPr>
        <w:t xml:space="preserve">Body text: </w:t>
      </w:r>
      <w:r>
        <w:t>RENOVA-HF was a randomised, double-blind, placebo-controlled trial in 3,814 adults with heart failure (NYHA II–IV, LVEF ≤40%), CKD (eGFR 25–60 mL/min/1.73m²), and type 2 diabetes receiving guideline-directed medical therapy including RAAS inhibition and SGLT2 inhibitors.²</w:t>
      </w:r>
    </w:p>
    <w:p/>
    <w:p>
      <w:r>
        <w:rPr>
          <w:b/>
        </w:rPr>
        <w:t xml:space="preserve">Body text (continued): </w:t>
      </w:r>
      <w:r>
        <w:t>SERANOVA reduced the primary composite of cardiovascular death or hospitalisation for heart failure by 18% (HR 0.82; 95% CI: 0.72–0.93; P=0.002). Hospitalisations for heart failure were reduced by 20% (HR 0.80; P=0.007). Patients reported clinically meaningful improvements in heart failure symptoms (KCCQ-TSS difference: +2.9 points; P&lt;0.001). SERANOVA also slowed kidney function decline (eGFR slope: −1.8 vs −3.2 mL/min/1.73m²/year; P&lt;0.001).²</w:t>
      </w:r>
    </w:p>
    <w:p>
      <w:r>
        <w:rPr>
          <w:b/>
          <w:i w:val="0"/>
          <w:color w:val="363B3B"/>
          <w:sz w:val="20"/>
        </w:rPr>
        <w:t>Data table: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830051"/>
          </w:tcPr>
          <w:p>
            <w:r/>
            <w:r>
              <w:rPr>
                <w:b/>
                <w:color w:val="FFFFFF"/>
                <w:sz w:val="18"/>
              </w:rPr>
              <w:t>Endpoint</w:t>
            </w:r>
          </w:p>
        </w:tc>
        <w:tc>
          <w:tcPr>
            <w:tcW w:type="dxa" w:w="2268"/>
            <w:shd w:fill="830051"/>
          </w:tcPr>
          <w:p>
            <w:r/>
            <w:r>
              <w:rPr>
                <w:b/>
                <w:color w:val="FFFFFF"/>
                <w:sz w:val="18"/>
              </w:rPr>
              <w:t>SERANOVA (n=1,907)</w:t>
            </w:r>
          </w:p>
        </w:tc>
        <w:tc>
          <w:tcPr>
            <w:tcW w:type="dxa" w:w="2268"/>
            <w:shd w:fill="830051"/>
          </w:tcPr>
          <w:p>
            <w:r/>
            <w:r>
              <w:rPr>
                <w:b/>
                <w:color w:val="FFFFFF"/>
                <w:sz w:val="18"/>
              </w:rPr>
              <w:t>Placebo (n=1,907)</w:t>
            </w:r>
          </w:p>
        </w:tc>
        <w:tc>
          <w:tcPr>
            <w:tcW w:type="dxa" w:w="2268"/>
            <w:shd w:fill="830051"/>
          </w:tcPr>
          <w:p>
            <w:r/>
            <w:r>
              <w:rPr>
                <w:b/>
                <w:color w:val="FFFFFF"/>
                <w:sz w:val="18"/>
              </w:rPr>
              <w:t>Treatment effect</w:t>
            </w:r>
          </w:p>
        </w:tc>
      </w:tr>
      <w:tr>
        <w:tc>
          <w:tcPr>
            <w:tcW w:type="dxa" w:w="2268"/>
          </w:tcPr>
          <w:p>
            <w:r/>
            <w:r>
              <w:rPr>
                <w:color w:val="363B3B"/>
                <w:sz w:val="18"/>
              </w:rPr>
              <w:t>CV death or HHF (primary)</w:t>
            </w:r>
          </w:p>
        </w:tc>
        <w:tc>
          <w:tcPr>
            <w:tcW w:type="dxa" w:w="2268"/>
          </w:tcPr>
          <w:p>
            <w:r/>
            <w:r>
              <w:rPr>
                <w:color w:val="363B3B"/>
                <w:sz w:val="18"/>
              </w:rPr>
              <w:t>19.6%</w:t>
            </w:r>
          </w:p>
        </w:tc>
        <w:tc>
          <w:tcPr>
            <w:tcW w:type="dxa" w:w="2268"/>
          </w:tcPr>
          <w:p>
            <w:r/>
            <w:r>
              <w:rPr>
                <w:color w:val="363B3B"/>
                <w:sz w:val="18"/>
              </w:rPr>
              <w:t>23.8%</w:t>
            </w:r>
          </w:p>
        </w:tc>
        <w:tc>
          <w:tcPr>
            <w:tcW w:type="dxa" w:w="2268"/>
          </w:tcPr>
          <w:p>
            <w:r/>
            <w:r>
              <w:rPr>
                <w:color w:val="363B3B"/>
                <w:sz w:val="18"/>
              </w:rPr>
              <w:t>HR 0.82 (0.72–0.93); P=0.002</w:t>
            </w:r>
          </w:p>
        </w:tc>
      </w:tr>
      <w:tr>
        <w:tc>
          <w:tcPr>
            <w:tcW w:type="dxa" w:w="2268"/>
            <w:shd w:fill="F8F8F8"/>
          </w:tcPr>
          <w:p>
            <w:r/>
            <w:r>
              <w:rPr>
                <w:color w:val="363B3B"/>
                <w:sz w:val="18"/>
              </w:rPr>
              <w:t>HHF alone</w:t>
            </w:r>
          </w:p>
        </w:tc>
        <w:tc>
          <w:tcPr>
            <w:tcW w:type="dxa" w:w="2268"/>
            <w:shd w:fill="F8F8F8"/>
          </w:tcPr>
          <w:p>
            <w:r/>
            <w:r>
              <w:rPr>
                <w:color w:val="363B3B"/>
                <w:sz w:val="18"/>
              </w:rPr>
              <w:t>268 events</w:t>
            </w:r>
          </w:p>
        </w:tc>
        <w:tc>
          <w:tcPr>
            <w:tcW w:type="dxa" w:w="2268"/>
            <w:shd w:fill="F8F8F8"/>
          </w:tcPr>
          <w:p>
            <w:r/>
            <w:r>
              <w:rPr>
                <w:color w:val="363B3B"/>
                <w:sz w:val="18"/>
              </w:rPr>
              <w:t>331 events</w:t>
            </w:r>
          </w:p>
        </w:tc>
        <w:tc>
          <w:tcPr>
            <w:tcW w:type="dxa" w:w="2268"/>
            <w:shd w:fill="F8F8F8"/>
          </w:tcPr>
          <w:p>
            <w:r/>
            <w:r>
              <w:rPr>
                <w:color w:val="363B3B"/>
                <w:sz w:val="18"/>
              </w:rPr>
              <w:t>HR 0.80 (0.68–0.94); P=0.007</w:t>
            </w:r>
          </w:p>
        </w:tc>
      </w:tr>
      <w:tr>
        <w:tc>
          <w:tcPr>
            <w:tcW w:type="dxa" w:w="2268"/>
          </w:tcPr>
          <w:p>
            <w:r/>
            <w:r>
              <w:rPr>
                <w:color w:val="363B3B"/>
                <w:sz w:val="18"/>
              </w:rPr>
              <w:t>CV death</w:t>
            </w:r>
          </w:p>
        </w:tc>
        <w:tc>
          <w:tcPr>
            <w:tcW w:type="dxa" w:w="2268"/>
          </w:tcPr>
          <w:p>
            <w:r/>
            <w:r>
              <w:rPr>
                <w:color w:val="363B3B"/>
                <w:sz w:val="18"/>
              </w:rPr>
              <w:t>9.8%</w:t>
            </w:r>
          </w:p>
        </w:tc>
        <w:tc>
          <w:tcPr>
            <w:tcW w:type="dxa" w:w="2268"/>
          </w:tcPr>
          <w:p>
            <w:r/>
            <w:r>
              <w:rPr>
                <w:color w:val="363B3B"/>
                <w:sz w:val="18"/>
              </w:rPr>
              <w:t>11.7%</w:t>
            </w:r>
          </w:p>
        </w:tc>
        <w:tc>
          <w:tcPr>
            <w:tcW w:type="dxa" w:w="2268"/>
          </w:tcPr>
          <w:p>
            <w:r/>
            <w:r>
              <w:rPr>
                <w:color w:val="363B3B"/>
                <w:sz w:val="18"/>
              </w:rPr>
              <w:t>HR 0.83 (0.68–1.01); P=0.058</w:t>
            </w:r>
          </w:p>
        </w:tc>
      </w:tr>
      <w:tr>
        <w:tc>
          <w:tcPr>
            <w:tcW w:type="dxa" w:w="2268"/>
            <w:shd w:fill="F8F8F8"/>
          </w:tcPr>
          <w:p>
            <w:r/>
            <w:r>
              <w:rPr>
                <w:color w:val="363B3B"/>
                <w:sz w:val="18"/>
              </w:rPr>
              <w:t>KCCQ-TSS change at Month 12</w:t>
            </w:r>
          </w:p>
        </w:tc>
        <w:tc>
          <w:tcPr>
            <w:tcW w:type="dxa" w:w="2268"/>
            <w:shd w:fill="F8F8F8"/>
          </w:tcPr>
          <w:p>
            <w:r/>
            <w:r>
              <w:rPr>
                <w:color w:val="363B3B"/>
                <w:sz w:val="18"/>
              </w:rPr>
              <w:t>+4.8</w:t>
            </w:r>
          </w:p>
        </w:tc>
        <w:tc>
          <w:tcPr>
            <w:tcW w:type="dxa" w:w="2268"/>
            <w:shd w:fill="F8F8F8"/>
          </w:tcPr>
          <w:p>
            <w:r/>
            <w:r>
              <w:rPr>
                <w:color w:val="363B3B"/>
                <w:sz w:val="18"/>
              </w:rPr>
              <w:t>+1.9</w:t>
            </w:r>
          </w:p>
        </w:tc>
        <w:tc>
          <w:tcPr>
            <w:tcW w:type="dxa" w:w="2268"/>
            <w:shd w:fill="F8F8F8"/>
          </w:tcPr>
          <w:p>
            <w:r/>
            <w:r>
              <w:rPr>
                <w:color w:val="363B3B"/>
                <w:sz w:val="18"/>
              </w:rPr>
              <w:t>+2.9 (1.6–4.2); P&lt;0.001</w:t>
            </w:r>
          </w:p>
        </w:tc>
      </w:tr>
      <w:tr>
        <w:tc>
          <w:tcPr>
            <w:tcW w:type="dxa" w:w="2268"/>
          </w:tcPr>
          <w:p>
            <w:r/>
            <w:r>
              <w:rPr>
                <w:color w:val="363B3B"/>
                <w:sz w:val="18"/>
              </w:rPr>
              <w:t>eGFR slope (mL/min/1.73m²/yr)</w:t>
            </w:r>
          </w:p>
        </w:tc>
        <w:tc>
          <w:tcPr>
            <w:tcW w:type="dxa" w:w="2268"/>
          </w:tcPr>
          <w:p>
            <w:r/>
            <w:r>
              <w:rPr>
                <w:color w:val="363B3B"/>
                <w:sz w:val="18"/>
              </w:rPr>
              <w:t>−1.8</w:t>
            </w:r>
          </w:p>
        </w:tc>
        <w:tc>
          <w:tcPr>
            <w:tcW w:type="dxa" w:w="2268"/>
          </w:tcPr>
          <w:p>
            <w:r/>
            <w:r>
              <w:rPr>
                <w:color w:val="363B3B"/>
                <w:sz w:val="18"/>
              </w:rPr>
              <w:t>−3.2</w:t>
            </w:r>
          </w:p>
        </w:tc>
        <w:tc>
          <w:tcPr>
            <w:tcW w:type="dxa" w:w="2268"/>
          </w:tcPr>
          <w:p>
            <w:r/>
            <w:r>
              <w:rPr>
                <w:color w:val="363B3B"/>
                <w:sz w:val="18"/>
              </w:rPr>
              <w:t>+1.4 (0.9–1.9); P&lt;0.001</w:t>
            </w:r>
          </w:p>
        </w:tc>
      </w:tr>
    </w:tbl>
    <w:p>
      <w:pPr>
        <w:jc w:val="center"/>
      </w:pPr>
      <w:r>
        <w:rPr>
          <w:color w:val="CCCCCC"/>
          <w:sz w:val="16"/>
        </w:rPr>
        <w:t>────────────────────────────────────────────────────────────</w:t>
      </w:r>
    </w:p>
    <w:p>
      <w:pPr>
        <w:pStyle w:val="Heading3"/>
      </w:pPr>
      <w:r>
        <w:rPr>
          <w:color w:val="0072B2"/>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RENOVA Data | SERANOVA (valinectra) | Kidney &amp; CV Outcomes | AstraZeneca UK</w:t>
      </w:r>
    </w:p>
    <w:p>
      <w:r>
        <w:rPr>
          <w:b w:val="0"/>
          <w:i w:val="0"/>
          <w:color w:val="363B3B"/>
          <w:sz w:val="20"/>
        </w:rPr>
        <w:t>Description: Explore the RENOVA clinical programme for SERANOVA (valinectra) — Phase III kidney outcomes, cardiovascular protection, and heart failure data in adults with CKD and type 2 diabetes.</w:t>
      </w:r>
    </w:p>
    <w:p>
      <w:r>
        <w:br w:type="page"/>
      </w:r>
    </w:p>
    <w:p>
      <w:pPr>
        <w:pStyle w:val="Heading2"/>
      </w:pPr>
      <w:r>
        <w:rPr>
          <w:color w:val="830051"/>
        </w:rPr>
        <w:t>PAGE 3: Safety</w:t>
      </w:r>
    </w:p>
    <w:p>
      <w:r>
        <w:rPr>
          <w:b/>
          <w:sz w:val="20"/>
        </w:rPr>
        <w:t xml:space="preserve">URL path: </w:t>
      </w:r>
      <w:r>
        <w:rPr>
          <w:sz w:val="20"/>
        </w:rPr>
        <w:t>/seranova/safety</w:t>
      </w:r>
    </w:p>
    <w:p>
      <w:pPr>
        <w:jc w:val="center"/>
      </w:pPr>
      <w:r>
        <w:rPr>
          <w:color w:val="CCCCCC"/>
          <w:sz w:val="16"/>
        </w:rPr>
        <w:t>────────────────────────────────────────────────────────────</w:t>
      </w:r>
    </w:p>
    <w:p>
      <w:pPr>
        <w:pStyle w:val="Heading3"/>
      </w:pPr>
      <w:r>
        <w:rPr>
          <w:color w:val="0072B2"/>
        </w:rPr>
        <w:t>Section 1 — Page header (text only, no image)</w:t>
      </w:r>
    </w:p>
    <w:p>
      <w:r>
        <w:rPr>
          <w:b/>
          <w:sz w:val="20"/>
        </w:rPr>
        <w:t xml:space="preserve">Block: </w:t>
      </w:r>
      <w:r>
        <w:rPr>
          <w:sz w:val="20"/>
        </w:rPr>
        <w:t>title</w:t>
      </w:r>
    </w:p>
    <w:p>
      <w:r>
        <w:rPr>
          <w:b/>
          <w:sz w:val="20"/>
        </w:rPr>
        <w:t xml:space="preserve">Heading: </w:t>
      </w:r>
      <w:r>
        <w:rPr>
          <w:sz w:val="20"/>
        </w:rPr>
        <w:t>Safety profile of SERANOVA</w:t>
      </w:r>
    </w:p>
    <w:p>
      <w:r>
        <w:rPr>
          <w:b/>
        </w:rPr>
        <w:t xml:space="preserve">Body text: </w:t>
      </w:r>
      <w:r>
        <w:t>SERANOVA™ (valinectra) has been evaluated in over 5,500 patients across the RENOVA clinical programme, with a median follow-up of 3.4 years in RENOVA-CKD and 2.8 years in RENOVA-HF.¹ ² ³</w:t>
      </w:r>
    </w:p>
    <w:p>
      <w:pPr>
        <w:jc w:val="center"/>
      </w:pPr>
      <w:r>
        <w:rPr>
          <w:color w:val="CCCCCC"/>
          <w:sz w:val="16"/>
        </w:rPr>
        <w:t>────────────────────────────────────────────────────────────</w:t>
      </w:r>
    </w:p>
    <w:p>
      <w:pPr>
        <w:pStyle w:val="Heading3"/>
      </w:pPr>
      <w:r>
        <w:rPr>
          <w:color w:val="0072B2"/>
        </w:rPr>
        <w:t>Section 2 — Hyperkalaemia monitoring (centred text) | highlight background</w:t>
      </w:r>
    </w:p>
    <w:p>
      <w:r>
        <w:rPr>
          <w:b/>
          <w:sz w:val="20"/>
        </w:rPr>
        <w:t xml:space="preserve">Block: </w:t>
      </w:r>
      <w:r>
        <w:rPr>
          <w:sz w:val="20"/>
        </w:rPr>
        <w:t>introduction</w:t>
      </w:r>
    </w:p>
    <w:p>
      <w:r>
        <w:rPr>
          <w:b/>
        </w:rPr>
        <w:t xml:space="preserve">Section metadata: </w:t>
      </w:r>
      <w:r>
        <w:rPr>
          <w:color w:val="666666"/>
        </w:rPr>
        <w:t>Style: highlight</w:t>
      </w:r>
    </w:p>
    <w:p>
      <w:r>
        <w:rPr>
          <w:b/>
          <w:sz w:val="20"/>
        </w:rPr>
        <w:t xml:space="preserve">Heading: </w:t>
      </w:r>
      <w:r>
        <w:rPr>
          <w:sz w:val="20"/>
        </w:rPr>
        <w:t>Hyperkalaemia — monitoring and management</w:t>
      </w:r>
    </w:p>
    <w:p>
      <w:r>
        <w:rPr>
          <w:b/>
        </w:rPr>
        <w:t xml:space="preserve">Body text: </w:t>
      </w:r>
      <w:r>
        <w:t>Hyperkalaemia is an expected pharmacological effect of mineralocorticoid receptor antagonism and is the principal safety consideration with SERANOVA. Measure serum potassium before initiation, within 4 weeks of starting or changing dose, and periodically thereafter. Use the potassium-guided dose titration algorithm to manage serum potassium levels. Withhold treatment if potassium exceeds 5.5 mmol/L and resume at the lower dose once potassium is ≤5.0 mmol/L.³</w:t>
      </w:r>
    </w:p>
    <w:p>
      <w:pPr>
        <w:jc w:val="center"/>
      </w:pPr>
      <w:r>
        <w:rPr>
          <w:color w:val="CCCCCC"/>
          <w:sz w:val="16"/>
        </w:rPr>
        <w:t>────────────────────────────────────────────────────────────</w:t>
      </w:r>
    </w:p>
    <w:p>
      <w:pPr>
        <w:pStyle w:val="Heading3"/>
      </w:pPr>
      <w:r>
        <w:rPr>
          <w:color w:val="0072B2"/>
        </w:rPr>
        <w:t>Section 3 — Safety overview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A well-characterised safety profile with proactive potassium management</w:t>
      </w:r>
    </w:p>
    <w:p>
      <w:r>
        <w:rPr>
          <w:b/>
        </w:rPr>
        <w:t xml:space="preserve">Body text: </w:t>
      </w:r>
      <w:r>
        <w:t>Across the RENOVA programme, the safety profile of SERANOVA was consistent with selective non-steroidal MR antagonism. Serious adverse events were lower with SERANOVA than placebo (21.4% vs 23.8%), driven by fewer cardiovascular hospitalisations. Treatment discontinuation due to adverse events was 6.2% vs 5.1%, with hyperkalaemia being the most common reason for discontinuation (1.7%). No anti-androgenic effects (gynaecomastia, breast pain) were observed above placebo rates, consistent with the non-steroidal mechanism.¹ ² ³</w:t>
      </w:r>
    </w:p>
    <w:p>
      <w:pPr>
        <w:jc w:val="center"/>
      </w:pPr>
      <w:r>
        <w:rPr>
          <w:color w:val="CCCCCC"/>
          <w:sz w:val="16"/>
        </w:rPr>
        <w:t>────────────────────────────────────────────────────────────</w:t>
      </w:r>
    </w:p>
    <w:p>
      <w:pPr>
        <w:pStyle w:val="Heading3"/>
      </w:pPr>
      <w:r>
        <w:rPr>
          <w:color w:val="0072B2"/>
        </w:rPr>
        <w:t>Section 4 — Adverse events table | light background</w:t>
      </w:r>
    </w:p>
    <w:p>
      <w:r>
        <w:rPr>
          <w:b/>
          <w:sz w:val="20"/>
        </w:rPr>
        <w:t xml:space="preserve">Block: </w:t>
      </w:r>
      <w:r>
        <w:rPr>
          <w:sz w:val="20"/>
        </w:rPr>
        <w:t>table-data</w:t>
      </w:r>
    </w:p>
    <w:p>
      <w:r>
        <w:rPr>
          <w:b/>
        </w:rPr>
        <w:t xml:space="preserve">Section metadata: </w:t>
      </w:r>
      <w:r>
        <w:rPr>
          <w:color w:val="666666"/>
        </w:rPr>
        <w:t>Style: light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830051"/>
          </w:tcPr>
          <w:p>
            <w:r/>
            <w:r>
              <w:rPr>
                <w:b/>
                <w:color w:val="FFFFFF"/>
                <w:sz w:val="18"/>
              </w:rPr>
              <w:t>Adverse event</w:t>
            </w:r>
          </w:p>
        </w:tc>
        <w:tc>
          <w:tcPr>
            <w:tcW w:type="dxa" w:w="3024"/>
            <w:shd w:fill="830051"/>
          </w:tcPr>
          <w:p>
            <w:r/>
            <w:r>
              <w:rPr>
                <w:b/>
                <w:color w:val="FFFFFF"/>
                <w:sz w:val="18"/>
              </w:rPr>
              <w:t>SERANOVA (%)</w:t>
            </w:r>
          </w:p>
        </w:tc>
        <w:tc>
          <w:tcPr>
            <w:tcW w:type="dxa" w:w="3024"/>
            <w:shd w:fill="830051"/>
          </w:tcPr>
          <w:p>
            <w:r/>
            <w:r>
              <w:rPr>
                <w:b/>
                <w:color w:val="FFFFFF"/>
                <w:sz w:val="18"/>
              </w:rPr>
              <w:t>Placebo (%)</w:t>
            </w:r>
          </w:p>
        </w:tc>
      </w:tr>
      <w:tr>
        <w:tc>
          <w:tcPr>
            <w:tcW w:type="dxa" w:w="3024"/>
          </w:tcPr>
          <w:p>
            <w:r/>
            <w:r>
              <w:rPr>
                <w:color w:val="363B3B"/>
                <w:sz w:val="18"/>
              </w:rPr>
              <w:t>Hyperkalaemia (any grade)</w:t>
            </w:r>
          </w:p>
        </w:tc>
        <w:tc>
          <w:tcPr>
            <w:tcW w:type="dxa" w:w="3024"/>
          </w:tcPr>
          <w:p>
            <w:r/>
            <w:r>
              <w:rPr>
                <w:color w:val="363B3B"/>
                <w:sz w:val="18"/>
              </w:rPr>
              <w:t>8.6</w:t>
            </w:r>
          </w:p>
        </w:tc>
        <w:tc>
          <w:tcPr>
            <w:tcW w:type="dxa" w:w="3024"/>
          </w:tcPr>
          <w:p>
            <w:r/>
            <w:r>
              <w:rPr>
                <w:color w:val="363B3B"/>
                <w:sz w:val="18"/>
              </w:rPr>
              <w:t>3.2</w:t>
            </w:r>
          </w:p>
        </w:tc>
      </w:tr>
      <w:tr>
        <w:tc>
          <w:tcPr>
            <w:tcW w:type="dxa" w:w="3024"/>
            <w:shd w:fill="F8F8F8"/>
          </w:tcPr>
          <w:p>
            <w:r/>
            <w:r>
              <w:rPr>
                <w:color w:val="363B3B"/>
                <w:sz w:val="18"/>
              </w:rPr>
              <w:t>Hypotension</w:t>
            </w:r>
          </w:p>
        </w:tc>
        <w:tc>
          <w:tcPr>
            <w:tcW w:type="dxa" w:w="3024"/>
            <w:shd w:fill="F8F8F8"/>
          </w:tcPr>
          <w:p>
            <w:r/>
            <w:r>
              <w:rPr>
                <w:color w:val="363B3B"/>
                <w:sz w:val="18"/>
              </w:rPr>
              <w:t>4.2</w:t>
            </w:r>
          </w:p>
        </w:tc>
        <w:tc>
          <w:tcPr>
            <w:tcW w:type="dxa" w:w="3024"/>
            <w:shd w:fill="F8F8F8"/>
          </w:tcPr>
          <w:p>
            <w:r/>
            <w:r>
              <w:rPr>
                <w:color w:val="363B3B"/>
                <w:sz w:val="18"/>
              </w:rPr>
              <w:t>2.8</w:t>
            </w:r>
          </w:p>
        </w:tc>
      </w:tr>
      <w:tr>
        <w:tc>
          <w:tcPr>
            <w:tcW w:type="dxa" w:w="3024"/>
          </w:tcPr>
          <w:p>
            <w:r/>
            <w:r>
              <w:rPr>
                <w:color w:val="363B3B"/>
                <w:sz w:val="18"/>
              </w:rPr>
              <w:t>Dizziness</w:t>
            </w:r>
          </w:p>
        </w:tc>
        <w:tc>
          <w:tcPr>
            <w:tcW w:type="dxa" w:w="3024"/>
          </w:tcPr>
          <w:p>
            <w:r/>
            <w:r>
              <w:rPr>
                <w:color w:val="363B3B"/>
                <w:sz w:val="18"/>
              </w:rPr>
              <w:t>3.1</w:t>
            </w:r>
          </w:p>
        </w:tc>
        <w:tc>
          <w:tcPr>
            <w:tcW w:type="dxa" w:w="3024"/>
          </w:tcPr>
          <w:p>
            <w:r/>
            <w:r>
              <w:rPr>
                <w:color w:val="363B3B"/>
                <w:sz w:val="18"/>
              </w:rPr>
              <w:t>2.4</w:t>
            </w:r>
          </w:p>
        </w:tc>
      </w:tr>
      <w:tr>
        <w:tc>
          <w:tcPr>
            <w:tcW w:type="dxa" w:w="3024"/>
            <w:shd w:fill="F8F8F8"/>
          </w:tcPr>
          <w:p>
            <w:r/>
            <w:r>
              <w:rPr>
                <w:color w:val="363B3B"/>
                <w:sz w:val="18"/>
              </w:rPr>
              <w:t>Diarrhoea</w:t>
            </w:r>
          </w:p>
        </w:tc>
        <w:tc>
          <w:tcPr>
            <w:tcW w:type="dxa" w:w="3024"/>
            <w:shd w:fill="F8F8F8"/>
          </w:tcPr>
          <w:p>
            <w:r/>
            <w:r>
              <w:rPr>
                <w:color w:val="363B3B"/>
                <w:sz w:val="18"/>
              </w:rPr>
              <w:t>2.8</w:t>
            </w:r>
          </w:p>
        </w:tc>
        <w:tc>
          <w:tcPr>
            <w:tcW w:type="dxa" w:w="3024"/>
            <w:shd w:fill="F8F8F8"/>
          </w:tcPr>
          <w:p>
            <w:r/>
            <w:r>
              <w:rPr>
                <w:color w:val="363B3B"/>
                <w:sz w:val="18"/>
              </w:rPr>
              <w:t>2.3</w:t>
            </w:r>
          </w:p>
        </w:tc>
      </w:tr>
      <w:tr>
        <w:tc>
          <w:tcPr>
            <w:tcW w:type="dxa" w:w="3024"/>
          </w:tcPr>
          <w:p>
            <w:r/>
            <w:r>
              <w:rPr>
                <w:color w:val="363B3B"/>
                <w:sz w:val="18"/>
              </w:rPr>
              <w:t>Nasopharyngitis</w:t>
            </w:r>
          </w:p>
        </w:tc>
        <w:tc>
          <w:tcPr>
            <w:tcW w:type="dxa" w:w="3024"/>
          </w:tcPr>
          <w:p>
            <w:r/>
            <w:r>
              <w:rPr>
                <w:color w:val="363B3B"/>
                <w:sz w:val="18"/>
              </w:rPr>
              <w:t>2.6</w:t>
            </w:r>
          </w:p>
        </w:tc>
        <w:tc>
          <w:tcPr>
            <w:tcW w:type="dxa" w:w="3024"/>
          </w:tcPr>
          <w:p>
            <w:r/>
            <w:r>
              <w:rPr>
                <w:color w:val="363B3B"/>
                <w:sz w:val="18"/>
              </w:rPr>
              <w:t>2.7</w:t>
            </w:r>
          </w:p>
        </w:tc>
      </w:tr>
      <w:tr>
        <w:tc>
          <w:tcPr>
            <w:tcW w:type="dxa" w:w="3024"/>
            <w:shd w:fill="F8F8F8"/>
          </w:tcPr>
          <w:p>
            <w:r/>
            <w:r>
              <w:rPr>
                <w:color w:val="363B3B"/>
                <w:sz w:val="18"/>
              </w:rPr>
              <w:t>Back pain</w:t>
            </w:r>
          </w:p>
        </w:tc>
        <w:tc>
          <w:tcPr>
            <w:tcW w:type="dxa" w:w="3024"/>
            <w:shd w:fill="F8F8F8"/>
          </w:tcPr>
          <w:p>
            <w:r/>
            <w:r>
              <w:rPr>
                <w:color w:val="363B3B"/>
                <w:sz w:val="18"/>
              </w:rPr>
              <w:t>2.3</w:t>
            </w:r>
          </w:p>
        </w:tc>
        <w:tc>
          <w:tcPr>
            <w:tcW w:type="dxa" w:w="3024"/>
            <w:shd w:fill="F8F8F8"/>
          </w:tcPr>
          <w:p>
            <w:r/>
            <w:r>
              <w:rPr>
                <w:color w:val="363B3B"/>
                <w:sz w:val="18"/>
              </w:rPr>
              <w:t>2.0</w:t>
            </w:r>
          </w:p>
        </w:tc>
      </w:tr>
      <w:tr>
        <w:tc>
          <w:tcPr>
            <w:tcW w:type="dxa" w:w="3024"/>
          </w:tcPr>
          <w:p>
            <w:r/>
            <w:r>
              <w:rPr>
                <w:color w:val="363B3B"/>
                <w:sz w:val="18"/>
              </w:rPr>
              <w:t>Urinary tract infection</w:t>
            </w:r>
          </w:p>
        </w:tc>
        <w:tc>
          <w:tcPr>
            <w:tcW w:type="dxa" w:w="3024"/>
          </w:tcPr>
          <w:p>
            <w:r/>
            <w:r>
              <w:rPr>
                <w:color w:val="363B3B"/>
                <w:sz w:val="18"/>
              </w:rPr>
              <w:t>2.1</w:t>
            </w:r>
          </w:p>
        </w:tc>
        <w:tc>
          <w:tcPr>
            <w:tcW w:type="dxa" w:w="3024"/>
          </w:tcPr>
          <w:p>
            <w:r/>
            <w:r>
              <w:rPr>
                <w:color w:val="363B3B"/>
                <w:sz w:val="18"/>
              </w:rPr>
              <w:t>1.9</w:t>
            </w:r>
          </w:p>
        </w:tc>
      </w:tr>
      <w:tr>
        <w:tc>
          <w:tcPr>
            <w:tcW w:type="dxa" w:w="3024"/>
            <w:shd w:fill="F8F8F8"/>
          </w:tcPr>
          <w:p>
            <w:r/>
            <w:r>
              <w:rPr>
                <w:color w:val="363B3B"/>
                <w:sz w:val="18"/>
              </w:rPr>
              <w:t>Acute kidney injury</w:t>
            </w:r>
          </w:p>
        </w:tc>
        <w:tc>
          <w:tcPr>
            <w:tcW w:type="dxa" w:w="3024"/>
            <w:shd w:fill="F8F8F8"/>
          </w:tcPr>
          <w:p>
            <w:r/>
            <w:r>
              <w:rPr>
                <w:color w:val="363B3B"/>
                <w:sz w:val="18"/>
              </w:rPr>
              <w:t>1.8</w:t>
            </w:r>
          </w:p>
        </w:tc>
        <w:tc>
          <w:tcPr>
            <w:tcW w:type="dxa" w:w="3024"/>
            <w:shd w:fill="F8F8F8"/>
          </w:tcPr>
          <w:p>
            <w:r/>
            <w:r>
              <w:rPr>
                <w:color w:val="363B3B"/>
                <w:sz w:val="18"/>
              </w:rPr>
              <w:t>1.4</w:t>
            </w:r>
          </w:p>
        </w:tc>
      </w:tr>
    </w:tbl>
    <w:p>
      <w:pPr>
        <w:jc w:val="center"/>
      </w:pPr>
      <w:r>
        <w:rPr>
          <w:color w:val="CCCCCC"/>
          <w:sz w:val="16"/>
        </w:rPr>
        <w:t>────────────────────────────────────────────────────────────</w:t>
      </w:r>
    </w:p>
    <w:p>
      <w:pPr>
        <w:pStyle w:val="Heading3"/>
      </w:pPr>
      <w:r>
        <w:rPr>
          <w:color w:val="0072B2"/>
        </w:rPr>
        <w:t>Section 5 — Key safety consideration cards (equal columns)</w:t>
      </w:r>
    </w:p>
    <w:p>
      <w:r>
        <w:rPr>
          <w:b/>
          <w:sz w:val="20"/>
        </w:rPr>
        <w:t xml:space="preserve">Block: </w:t>
      </w:r>
      <w:r>
        <w:rPr>
          <w:sz w:val="20"/>
        </w:rPr>
        <w:t>cards-teaser</w:t>
      </w:r>
    </w:p>
    <w:p/>
    <w:p>
      <w:pPr>
        <w:jc w:val="center"/>
      </w:pPr>
      <w:r>
        <w:drawing>
          <wp:inline xmlns:a="http://schemas.openxmlformats.org/drawingml/2006/main" xmlns:pic="http://schemas.openxmlformats.org/drawingml/2006/picture">
            <wp:extent cx="2743200" cy="2048256"/>
            <wp:docPr id="9" name="Picture 9"/>
            <wp:cNvGraphicFramePr>
              <a:graphicFrameLocks noChangeAspect="1"/>
            </wp:cNvGraphicFramePr>
            <a:graphic>
              <a:graphicData uri="http://schemas.openxmlformats.org/drawingml/2006/picture">
                <pic:pic>
                  <pic:nvPicPr>
                    <pic:cNvPr id="0" name="card-hyperkalaemia.jpeg"/>
                    <pic:cNvPicPr/>
                  </pic:nvPicPr>
                  <pic:blipFill>
                    <a:blip r:embed="rId17"/>
                    <a:stretch>
                      <a:fillRect/>
                    </a:stretch>
                  </pic:blipFill>
                  <pic:spPr>
                    <a:xfrm>
                      <a:off x="0" y="0"/>
                      <a:ext cx="2743200" cy="2048256"/>
                    </a:xfrm>
                    <a:prstGeom prst="rect"/>
                  </pic:spPr>
                </pic:pic>
              </a:graphicData>
            </a:graphic>
          </wp:inline>
        </w:drawing>
      </w:r>
    </w:p>
    <w:p>
      <w:pPr>
        <w:jc w:val="center"/>
      </w:pPr>
      <w:r>
        <w:rPr>
          <w:color w:val="005599"/>
          <w:sz w:val="16"/>
          <w:u w:val="single"/>
        </w:rPr>
        <w:t>https://eluvion-images.pages.dev/safety-hypertension.jpeg</w:t>
      </w:r>
    </w:p>
    <w:p>
      <w:pPr>
        <w:jc w:val="center"/>
      </w:pPr>
      <w:r>
        <w:rPr>
          <w:i/>
          <w:color w:val="666666"/>
          <w:sz w:val="16"/>
        </w:rPr>
        <w:t>Usage: Safety — hyperkalaemia card</w:t>
      </w:r>
    </w:p>
    <w:p>
      <w:r>
        <w:rPr>
          <w:b/>
          <w:sz w:val="20"/>
        </w:rPr>
        <w:t xml:space="preserve">Card heading: </w:t>
      </w:r>
      <w:r>
        <w:rPr>
          <w:sz w:val="20"/>
        </w:rPr>
        <w:t>Hyperkalaemia management</w:t>
      </w:r>
    </w:p>
    <w:p>
      <w:r>
        <w:rPr>
          <w:b/>
        </w:rPr>
        <w:t xml:space="preserve">Card body: </w:t>
      </w:r>
      <w:r>
        <w:t>Hyperkalaemia (serum K⁺ &gt;5.5 mmol/L) occurred in 14.2% of SERANOVA-treated patients vs 6.3% with placebo. Events were manageable through potassium-guided dose titration: withhold if K⁺ &gt;5.5 mmol/L, resume at 10 mg when K⁺ ≤5.0 mmol/L. Hyperkalaemia leading to permanent discontinuation occurred in only 1.7%.³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0" name="Picture 10"/>
            <wp:cNvGraphicFramePr>
              <a:graphicFrameLocks noChangeAspect="1"/>
            </wp:cNvGraphicFramePr>
            <a:graphic>
              <a:graphicData uri="http://schemas.openxmlformats.org/drawingml/2006/picture">
                <pic:pic>
                  <pic:nvPicPr>
                    <pic:cNvPr id="0" name="card-renal-function.jpeg"/>
                    <pic:cNvPicPr/>
                  </pic:nvPicPr>
                  <pic:blipFill>
                    <a:blip r:embed="rId18"/>
                    <a:stretch>
                      <a:fillRect/>
                    </a:stretch>
                  </pic:blipFill>
                  <pic:spPr>
                    <a:xfrm>
                      <a:off x="0" y="0"/>
                      <a:ext cx="2743200" cy="2048256"/>
                    </a:xfrm>
                    <a:prstGeom prst="rect"/>
                  </pic:spPr>
                </pic:pic>
              </a:graphicData>
            </a:graphic>
          </wp:inline>
        </w:drawing>
      </w:r>
    </w:p>
    <w:p>
      <w:pPr>
        <w:jc w:val="center"/>
      </w:pPr>
      <w:r>
        <w:rPr>
          <w:color w:val="005599"/>
          <w:sz w:val="16"/>
          <w:u w:val="single"/>
        </w:rPr>
        <w:t>https://eluvion-images.pages.dev/safety-proteinuria.jpeg</w:t>
      </w:r>
    </w:p>
    <w:p>
      <w:pPr>
        <w:jc w:val="center"/>
      </w:pPr>
      <w:r>
        <w:rPr>
          <w:i/>
          <w:color w:val="666666"/>
          <w:sz w:val="16"/>
        </w:rPr>
        <w:t>Usage: Safety — renal function card</w:t>
      </w:r>
    </w:p>
    <w:p>
      <w:r>
        <w:rPr>
          <w:b/>
          <w:sz w:val="20"/>
        </w:rPr>
        <w:t xml:space="preserve">Card heading: </w:t>
      </w:r>
      <w:r>
        <w:rPr>
          <w:sz w:val="20"/>
        </w:rPr>
        <w:t>Renal function considerations</w:t>
      </w:r>
    </w:p>
    <w:p>
      <w:r>
        <w:rPr>
          <w:b/>
        </w:rPr>
        <w:t xml:space="preserve">Card body: </w:t>
      </w:r>
      <w:r>
        <w:t>An initial eGFR decline of approximately 2–4 mL/min/1.73m² may occur within the first 4 weeks of SERANOVA treatment. This haemodynamic effect is typically reversible and is not a reason to discontinue treatment. Over longer follow-up, SERANOVA slowed the chronic eGFR decline by 1.7 mL/min/1.73m²/year compared with placebo.¹ ³</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11" name="Picture 11"/>
            <wp:cNvGraphicFramePr>
              <a:graphicFrameLocks noChangeAspect="1"/>
            </wp:cNvGraphicFramePr>
            <a:graphic>
              <a:graphicData uri="http://schemas.openxmlformats.org/drawingml/2006/picture">
                <pic:pic>
                  <pic:nvPicPr>
                    <pic:cNvPr id="0" name="card-cv-safety.jpeg"/>
                    <pic:cNvPicPr/>
                  </pic:nvPicPr>
                  <pic:blipFill>
                    <a:blip r:embed="rId19"/>
                    <a:stretch>
                      <a:fillRect/>
                    </a:stretch>
                  </pic:blipFill>
                  <pic:spPr>
                    <a:xfrm>
                      <a:off x="0" y="0"/>
                      <a:ext cx="2743200" cy="2048256"/>
                    </a:xfrm>
                    <a:prstGeom prst="rect"/>
                  </pic:spPr>
                </pic:pic>
              </a:graphicData>
            </a:graphic>
          </wp:inline>
        </w:drawing>
      </w:r>
    </w:p>
    <w:p>
      <w:pPr>
        <w:jc w:val="center"/>
      </w:pPr>
      <w:r>
        <w:rPr>
          <w:color w:val="005599"/>
          <w:sz w:val="16"/>
          <w:u w:val="single"/>
        </w:rPr>
        <w:t>https://vitessa-images.pages.dev/safety-zoster.jpeg</w:t>
      </w:r>
    </w:p>
    <w:p>
      <w:pPr>
        <w:jc w:val="center"/>
      </w:pPr>
      <w:r>
        <w:rPr>
          <w:i/>
          <w:color w:val="666666"/>
          <w:sz w:val="16"/>
        </w:rPr>
        <w:t>Usage: Safety — CV safety card</w:t>
      </w:r>
    </w:p>
    <w:p>
      <w:r>
        <w:rPr>
          <w:b/>
          <w:sz w:val="20"/>
        </w:rPr>
        <w:t xml:space="preserve">Card heading: </w:t>
      </w:r>
      <w:r>
        <w:rPr>
          <w:sz w:val="20"/>
        </w:rPr>
        <w:t>Cardiovascular and metabolic safety</w:t>
      </w:r>
    </w:p>
    <w:p>
      <w:r>
        <w:rPr>
          <w:b/>
        </w:rPr>
        <w:t xml:space="preserve">Card body: </w:t>
      </w:r>
      <w:r>
        <w:t>No increase in major adverse cardiovascular events was observed with SERANOVA. All-cause mortality was numerically lower with SERANOVA (7.7% vs 9.1%). Blood pressure reduction was modest (systolic −3 to −5 mmHg), and symptomatic hypotension was infrequent (4.2% vs 2.8%). No clinically significant effects on glycaemic control, lipid parameters, or body weight were observed.¹ ² ³</w:t>
      </w:r>
    </w:p>
    <w:p>
      <w:pPr>
        <w:jc w:val="center"/>
      </w:pPr>
      <w:r>
        <w:rPr>
          <w:color w:val="CCCCCC"/>
          <w:sz w:val="16"/>
        </w:rPr>
        <w:t>────────────────────────────────────────────────────────────</w:t>
      </w:r>
    </w:p>
    <w:p>
      <w:pPr>
        <w:pStyle w:val="Heading3"/>
      </w:pPr>
      <w:r>
        <w:rPr>
          <w:color w:val="0072B2"/>
        </w:rPr>
        <w:t>Section 6 — Special populations (two-column: image left, text right)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2" name="Picture 12"/>
            <wp:cNvGraphicFramePr>
              <a:graphicFrameLocks noChangeAspect="1"/>
            </wp:cNvGraphicFramePr>
            <a:graphic>
              <a:graphicData uri="http://schemas.openxmlformats.org/drawingml/2006/picture">
                <pic:pic>
                  <pic:nvPicPr>
                    <pic:cNvPr id="0" name="columns-special-pops.jpeg"/>
                    <pic:cNvPicPr/>
                  </pic:nvPicPr>
                  <pic:blipFill>
                    <a:blip r:embed="rId20"/>
                    <a:stretch>
                      <a:fillRect/>
                    </a:stretch>
                  </pic:blipFill>
                  <pic:spPr>
                    <a:xfrm>
                      <a:off x="0" y="0"/>
                      <a:ext cx="3200400" cy="2389632"/>
                    </a:xfrm>
                    <a:prstGeom prst="rect"/>
                  </pic:spPr>
                </pic:pic>
              </a:graphicData>
            </a:graphic>
          </wp:inline>
        </w:drawing>
      </w:r>
    </w:p>
    <w:p>
      <w:pPr>
        <w:jc w:val="center"/>
      </w:pPr>
      <w:r>
        <w:rPr>
          <w:color w:val="005599"/>
          <w:sz w:val="16"/>
          <w:u w:val="single"/>
        </w:rPr>
        <w:t>https://revantha-images.pages.dev/patient-support.jpeg</w:t>
      </w:r>
    </w:p>
    <w:p>
      <w:pPr>
        <w:jc w:val="center"/>
      </w:pPr>
      <w:r>
        <w:rPr>
          <w:i/>
          <w:color w:val="666666"/>
          <w:sz w:val="16"/>
        </w:rPr>
        <w:t>Usage: Safety — special populations</w:t>
      </w:r>
    </w:p>
    <w:p>
      <w:r>
        <w:rPr>
          <w:b/>
          <w:sz w:val="20"/>
        </w:rPr>
        <w:t xml:space="preserve">Heading: </w:t>
      </w:r>
      <w:r>
        <w:rPr>
          <w:sz w:val="20"/>
        </w:rPr>
        <w:t>Special populations</w:t>
      </w:r>
    </w:p>
    <w:p>
      <w:r>
        <w:rPr>
          <w:b/>
        </w:rPr>
        <w:t xml:space="preserve">Body text: </w:t>
      </w:r>
      <w:r>
        <w:t>Pregnancy and fertility: SERANOVA is contraindicated in pregnancy. Women of childbearing potential must use effective contraception during treatment and for 1 week after the last dose.³</w:t>
        <w:br/>
        <w:br/>
        <w:t>Elderly patients: No dose adjustment required in patients aged ≥65 years. In RENOVA-CKD, 42% of patients were ≥65 years, with consistent efficacy and safety.³</w:t>
        <w:br/>
        <w:br/>
        <w:t>Hepatic impairment: No dose adjustment for mild impairment (Child-Pugh A). Use with caution in moderate impairment. Contraindicated in severe impairment (Child-Pugh C).³</w:t>
        <w:br/>
        <w:br/>
        <w:t>Renal impairment: Studied in eGFR 25–75 mL/min/1.73m². Do not initiate if eGFR &lt;25 mL/min/1.73m². Not studied in patients on dialysis.³</w:t>
      </w:r>
    </w:p>
    <w:p>
      <w:pPr>
        <w:jc w:val="center"/>
      </w:pPr>
      <w:r>
        <w:rPr>
          <w:color w:val="CCCCCC"/>
          <w:sz w:val="16"/>
        </w:rPr>
        <w:t>────────────────────────────────────────────────────────────</w:t>
      </w:r>
    </w:p>
    <w:p>
      <w:pPr>
        <w:pStyle w:val="Heading3"/>
      </w:pPr>
      <w:r>
        <w:rPr>
          <w:color w:val="0072B2"/>
        </w:rPr>
        <w:t>Section 7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Safety | SERANOVA (valinectra) | Hyperkalaemia &amp; Monitoring | AstraZeneca UK</w:t>
      </w:r>
    </w:p>
    <w:p>
      <w:r>
        <w:rPr>
          <w:b w:val="0"/>
          <w:i w:val="0"/>
          <w:color w:val="363B3B"/>
          <w:sz w:val="20"/>
        </w:rPr>
        <w:t>Description: Review the safety profile of SERANOVA (valinectra) including hyperkalaemia management, adverse event rates, and special population recommendations for adults with CKD and type 2 diabetes.</w:t>
      </w:r>
    </w:p>
    <w:p>
      <w:r>
        <w:br w:type="page"/>
      </w:r>
    </w:p>
    <w:p>
      <w:pPr>
        <w:pStyle w:val="Heading2"/>
      </w:pPr>
      <w:r>
        <w:rPr>
          <w:color w:val="830051"/>
        </w:rPr>
        <w:t>PAGE 4: Dosing &amp; Monitoring</w:t>
      </w:r>
    </w:p>
    <w:p>
      <w:r>
        <w:rPr>
          <w:b/>
          <w:sz w:val="20"/>
        </w:rPr>
        <w:t xml:space="preserve">URL path: </w:t>
      </w:r>
      <w:r>
        <w:rPr>
          <w:sz w:val="20"/>
        </w:rPr>
        <w:t>/seranova/dosing</w:t>
      </w:r>
    </w:p>
    <w:p>
      <w:pPr>
        <w:jc w:val="center"/>
      </w:pPr>
      <w:r>
        <w:rPr>
          <w:color w:val="CCCCCC"/>
          <w:sz w:val="16"/>
        </w:rPr>
        <w:t>────────────────────────────────────────────────────────────</w:t>
      </w:r>
    </w:p>
    <w:p>
      <w:pPr>
        <w:pStyle w:val="Heading3"/>
      </w:pPr>
      <w:r>
        <w:rPr>
          <w:color w:val="0072B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3" name="Picture 13"/>
            <wp:cNvGraphicFramePr>
              <a:graphicFrameLocks noChangeAspect="1"/>
            </wp:cNvGraphicFramePr>
            <a:graphic>
              <a:graphicData uri="http://schemas.openxmlformats.org/drawingml/2006/picture">
                <pic:pic>
                  <pic:nvPicPr>
                    <pic:cNvPr id="0" name="hero-dosing.jpeg"/>
                    <pic:cNvPicPr/>
                  </pic:nvPicPr>
                  <pic:blipFill>
                    <a:blip r:embed="rId21"/>
                    <a:stretch>
                      <a:fillRect/>
                    </a:stretch>
                  </pic:blipFill>
                  <pic:spPr>
                    <a:xfrm>
                      <a:off x="0" y="0"/>
                      <a:ext cx="5029200" cy="2806995"/>
                    </a:xfrm>
                    <a:prstGeom prst="rect"/>
                  </pic:spPr>
                </pic:pic>
              </a:graphicData>
            </a:graphic>
          </wp:inline>
        </w:drawing>
      </w:r>
    </w:p>
    <w:p>
      <w:pPr>
        <w:jc w:val="center"/>
      </w:pPr>
      <w:r>
        <w:rPr>
          <w:color w:val="005599"/>
          <w:sz w:val="16"/>
          <w:u w:val="single"/>
        </w:rPr>
        <w:t>https://eluvion-images.pages.dev/hero-dosing.jpeg</w:t>
      </w:r>
    </w:p>
    <w:p>
      <w:pPr>
        <w:jc w:val="center"/>
      </w:pPr>
      <w:r>
        <w:rPr>
          <w:i/>
          <w:color w:val="666666"/>
          <w:sz w:val="16"/>
        </w:rPr>
        <w:t>Usage: Dosing — hero</w:t>
      </w:r>
    </w:p>
    <w:p>
      <w:r>
        <w:rPr>
          <w:b/>
          <w:sz w:val="20"/>
        </w:rPr>
        <w:t xml:space="preserve">Heading: </w:t>
      </w:r>
      <w:r>
        <w:rPr>
          <w:sz w:val="20"/>
        </w:rPr>
        <w:t>Dosing and monitoring</w:t>
      </w:r>
    </w:p>
    <w:p>
      <w:r>
        <w:rPr>
          <w:b/>
        </w:rPr>
        <w:t xml:space="preserve">Body text: </w:t>
      </w:r>
      <w:r>
        <w:t>SERANOVA™ (valinectra) uses a simple potassium-guided titration to optimise cardiorenal protection while managing the risk of hyperkalaemia.³</w:t>
      </w:r>
    </w:p>
    <w:p>
      <w:pPr>
        <w:jc w:val="center"/>
      </w:pPr>
      <w:r>
        <w:rPr>
          <w:color w:val="CCCCCC"/>
          <w:sz w:val="16"/>
        </w:rPr>
        <w:t>────────────────────────────────────────────────────────────</w:t>
      </w:r>
    </w:p>
    <w:p>
      <w:pPr>
        <w:pStyle w:val="Heading3"/>
      </w:pPr>
      <w:r>
        <w:rPr>
          <w:color w:val="0072B2"/>
        </w:rPr>
        <w:t>Section 2 — Potassium-guided titration (two-column) | light background</w:t>
      </w:r>
    </w:p>
    <w:p>
      <w:r>
        <w:rPr>
          <w:b/>
          <w:sz w:val="20"/>
        </w:rPr>
        <w:t xml:space="preserve">Block: </w:t>
      </w:r>
      <w:r>
        <w:rPr>
          <w:sz w:val="20"/>
        </w:rPr>
        <w:t>columns-teaser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3200400" cy="2389632"/>
            <wp:docPr id="14" name="Picture 14"/>
            <wp:cNvGraphicFramePr>
              <a:graphicFrameLocks noChangeAspect="1"/>
            </wp:cNvGraphicFramePr>
            <a:graphic>
              <a:graphicData uri="http://schemas.openxmlformats.org/drawingml/2006/picture">
                <pic:pic>
                  <pic:nvPicPr>
                    <pic:cNvPr id="0" name="columns-dosing.jpeg"/>
                    <pic:cNvPicPr/>
                  </pic:nvPicPr>
                  <pic:blipFill>
                    <a:blip r:embed="rId22"/>
                    <a:stretch>
                      <a:fillRect/>
                    </a:stretch>
                  </pic:blipFill>
                  <pic:spPr>
                    <a:xfrm>
                      <a:off x="0" y="0"/>
                      <a:ext cx="3200400" cy="2389632"/>
                    </a:xfrm>
                    <a:prstGeom prst="rect"/>
                  </pic:spPr>
                </pic:pic>
              </a:graphicData>
            </a:graphic>
          </wp:inline>
        </w:drawing>
      </w:r>
    </w:p>
    <w:p>
      <w:pPr>
        <w:jc w:val="center"/>
      </w:pPr>
      <w:r>
        <w:rPr>
          <w:color w:val="005599"/>
          <w:sz w:val="16"/>
          <w:u w:val="single"/>
        </w:rPr>
        <w:t>https://zenturis-images.pages.dev/columns-dose-adjust.jpeg</w:t>
      </w:r>
    </w:p>
    <w:p>
      <w:pPr>
        <w:jc w:val="center"/>
      </w:pPr>
      <w:r>
        <w:rPr>
          <w:i/>
          <w:color w:val="666666"/>
          <w:sz w:val="16"/>
        </w:rPr>
        <w:t>Usage: Dosing — titration</w:t>
      </w:r>
    </w:p>
    <w:p>
      <w:r>
        <w:rPr>
          <w:b/>
          <w:sz w:val="20"/>
        </w:rPr>
        <w:t xml:space="preserve">Heading: </w:t>
      </w:r>
      <w:r>
        <w:rPr>
          <w:sz w:val="20"/>
        </w:rPr>
        <w:t>Potassium-guided dose titration</w:t>
      </w:r>
    </w:p>
    <w:p>
      <w:r>
        <w:rPr>
          <w:b/>
        </w:rPr>
        <w:t xml:space="preserve">Body text: </w:t>
      </w:r>
      <w:r>
        <w:t>Step 1 — Before initiation: Measure serum potassium. Do not initiate if K⁺ &gt;5.0 mmol/L or eGFR &lt;25 mL/min/1.73m².³</w:t>
        <w:br/>
        <w:br/>
        <w:t>Step 2 — Initiate: Start SERANOVA 10 mg once daily.³</w:t>
        <w:br/>
        <w:br/>
        <w:t>Step 3 — Check at 4 weeks: Measure serum potassium.³</w:t>
        <w:br/>
        <w:br/>
        <w:t>Step 4 — Titrate based on potassium:</w:t>
        <w:br/>
        <w:t xml:space="preserve">  • K⁺ ≤4.8 mmol/L: Uptitrate to 20 mg once daily</w:t>
        <w:br/>
        <w:t xml:space="preserve">  • K⁺ &gt;4.8 to 5.0 mmol/L: Maintain 10 mg once daily</w:t>
        <w:br/>
        <w:t xml:space="preserve">  • K⁺ &gt;5.0 to 5.5 mmol/L: Maintain current dose; recheck in 4 weeks</w:t>
        <w:br/>
        <w:t xml:space="preserve">  • K⁺ &gt;5.5 mmol/L: Withhold SERANOVA; recheck; resume 10 mg when K⁺ ≤5.0 mmol/L³</w:t>
      </w:r>
    </w:p>
    <w:p>
      <w:pPr>
        <w:jc w:val="center"/>
      </w:pPr>
      <w:r>
        <w:rPr>
          <w:color w:val="CCCCCC"/>
          <w:sz w:val="16"/>
        </w:rPr>
        <w:t>────────────────────────────────────────────────────────────</w:t>
      </w:r>
    </w:p>
    <w:p>
      <w:pPr>
        <w:pStyle w:val="Heading3"/>
      </w:pPr>
      <w:r>
        <w:rPr>
          <w:color w:val="0072B2"/>
        </w:rPr>
        <w:t>Section 3 — Administration guidance (two-column)</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5" name="Picture 15"/>
            <wp:cNvGraphicFramePr>
              <a:graphicFrameLocks noChangeAspect="1"/>
            </wp:cNvGraphicFramePr>
            <a:graphic>
              <a:graphicData uri="http://schemas.openxmlformats.org/drawingml/2006/picture">
                <pic:pic>
                  <pic:nvPicPr>
                    <pic:cNvPr id="0" name="columns-admin.jpeg"/>
                    <pic:cNvPicPr/>
                  </pic:nvPicPr>
                  <pic:blipFill>
                    <a:blip r:embed="rId23"/>
                    <a:stretch>
                      <a:fillRect/>
                    </a:stretch>
                  </pic:blipFill>
                  <pic:spPr>
                    <a:xfrm>
                      <a:off x="0" y="0"/>
                      <a:ext cx="3200400" cy="2389632"/>
                    </a:xfrm>
                    <a:prstGeom prst="rect"/>
                  </pic:spPr>
                </pic:pic>
              </a:graphicData>
            </a:graphic>
          </wp:inline>
        </w:drawing>
      </w:r>
    </w:p>
    <w:p>
      <w:pPr>
        <w:jc w:val="center"/>
      </w:pPr>
      <w:r>
        <w:rPr>
          <w:color w:val="005599"/>
          <w:sz w:val="16"/>
          <w:u w:val="single"/>
        </w:rPr>
        <w:t>https://zenturis-images.pages.dev/columns-admin.jpeg</w:t>
      </w:r>
    </w:p>
    <w:p>
      <w:pPr>
        <w:jc w:val="center"/>
      </w:pPr>
      <w:r>
        <w:rPr>
          <w:i/>
          <w:color w:val="666666"/>
          <w:sz w:val="16"/>
        </w:rPr>
        <w:t>Usage: Dosing — administration</w:t>
      </w:r>
    </w:p>
    <w:p>
      <w:r>
        <w:rPr>
          <w:b/>
          <w:sz w:val="20"/>
        </w:rPr>
        <w:t xml:space="preserve">Heading: </w:t>
      </w:r>
      <w:r>
        <w:rPr>
          <w:sz w:val="20"/>
        </w:rPr>
        <w:t>Administration and practical guidance</w:t>
      </w:r>
    </w:p>
    <w:p>
      <w:r>
        <w:rPr>
          <w:b/>
        </w:rPr>
        <w:t xml:space="preserve">Body text: </w:t>
      </w:r>
      <w:r>
        <w:t>SERANOVA should be taken once daily, with or without food. Tablets should be swallowed whole with water.³</w:t>
        <w:br/>
        <w:br/>
        <w:t>If a dose is missed, take it as soon as remembered on the same day. Do not take two doses on the same day to make up for a missed dose.³</w:t>
        <w:br/>
        <w:br/>
        <w:t>SERANOVA may be prescribed alongside existing guideline-directed therapy including ACE inhibitors or ARBs, SGLT2 inhibitors, and GLP-1 receptor agonists. In the RENOVA programme, 97% of patients received concomitant RAAS inhibition, 59% received SGLT2 inhibitors, and 12% received GLP-1 RAs.¹</w:t>
        <w:br/>
        <w:br/>
        <w:t>Do not use with strong CYP3A4 inhibitors (contraindicated) or with other potassium-sparing diuretics (use with caution).³</w:t>
      </w:r>
    </w:p>
    <w:p>
      <w:pPr>
        <w:jc w:val="center"/>
      </w:pPr>
      <w:r>
        <w:rPr>
          <w:color w:val="CCCCCC"/>
          <w:sz w:val="16"/>
        </w:rPr>
        <w:t>────────────────────────────────────────────────────────────</w:t>
      </w:r>
    </w:p>
    <w:p>
      <w:pPr>
        <w:pStyle w:val="Heading3"/>
      </w:pPr>
      <w:r>
        <w:rPr>
          <w:color w:val="0072B2"/>
        </w:rPr>
        <w:t>Section 4 — Ongoing monitoring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6" name="Picture 16"/>
            <wp:cNvGraphicFramePr>
              <a:graphicFrameLocks noChangeAspect="1"/>
            </wp:cNvGraphicFramePr>
            <a:graphic>
              <a:graphicData uri="http://schemas.openxmlformats.org/drawingml/2006/picture">
                <pic:pic>
                  <pic:nvPicPr>
                    <pic:cNvPr id="0" name="columns-monitoring.jpeg"/>
                    <pic:cNvPicPr/>
                  </pic:nvPicPr>
                  <pic:blipFill>
                    <a:blip r:embed="rId24"/>
                    <a:stretch>
                      <a:fillRect/>
                    </a:stretch>
                  </pic:blipFill>
                  <pic:spPr>
                    <a:xfrm>
                      <a:off x="0" y="0"/>
                      <a:ext cx="3200400" cy="2389632"/>
                    </a:xfrm>
                    <a:prstGeom prst="rect"/>
                  </pic:spPr>
                </pic:pic>
              </a:graphicData>
            </a:graphic>
          </wp:inline>
        </w:drawing>
      </w:r>
    </w:p>
    <w:p>
      <w:pPr>
        <w:jc w:val="center"/>
      </w:pPr>
      <w:r>
        <w:rPr>
          <w:color w:val="005599"/>
          <w:sz w:val="16"/>
          <w:u w:val="single"/>
        </w:rPr>
        <w:t>https://lumivex-images.pages.dev/columns-monitoring.jpeg</w:t>
      </w:r>
    </w:p>
    <w:p>
      <w:pPr>
        <w:jc w:val="center"/>
      </w:pPr>
      <w:r>
        <w:rPr>
          <w:i/>
          <w:color w:val="666666"/>
          <w:sz w:val="16"/>
        </w:rPr>
        <w:t>Usage: Dosing — monitoring</w:t>
      </w:r>
    </w:p>
    <w:p>
      <w:r>
        <w:rPr>
          <w:b/>
          <w:sz w:val="20"/>
        </w:rPr>
        <w:t xml:space="preserve">Heading: </w:t>
      </w:r>
      <w:r>
        <w:rPr>
          <w:sz w:val="20"/>
        </w:rPr>
        <w:t>Monitoring recommendations</w:t>
      </w:r>
    </w:p>
    <w:p>
      <w:r>
        <w:rPr>
          <w:b/>
        </w:rPr>
        <w:t xml:space="preserve">Body text: </w:t>
      </w:r>
      <w:r>
        <w:t>Serum potassium: Measure before initiation, within 4 weeks of starting or dose change, and periodically thereafter. Additional monitoring is recommended during intercurrent illness, changes in concomitant medications affecting potassium, or changes in renal function.³</w:t>
        <w:br/>
        <w:br/>
        <w:t>Renal function: Measure eGFR at baseline and periodically. An initial eGFR decline of 2–4 mL/min/1.73m² may occur within the first 4 weeks; this is typically haemodynamic and reversible. Continue treatment unless eGFR declines below 25 mL/min/1.73m² on two consecutive measurements.³</w:t>
        <w:br/>
        <w:br/>
        <w:t>Hepatic function: Monitor liver function tests periodically during treatment.³</w:t>
      </w:r>
    </w:p>
    <w:p>
      <w:pPr>
        <w:jc w:val="center"/>
      </w:pPr>
      <w:r>
        <w:rPr>
          <w:color w:val="CCCCCC"/>
          <w:sz w:val="16"/>
        </w:rPr>
        <w:t>────────────────────────────────────────────────────────────</w:t>
      </w:r>
    </w:p>
    <w:p>
      <w:pPr>
        <w:pStyle w:val="Heading3"/>
      </w:pPr>
      <w:r>
        <w:rPr>
          <w:color w:val="0072B2"/>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Dosing | SERANOVA (valinectra) | Potassium-Guided Titration | AstraZeneca UK</w:t>
      </w:r>
    </w:p>
    <w:p>
      <w:r>
        <w:rPr>
          <w:b w:val="0"/>
          <w:i w:val="0"/>
          <w:color w:val="363B3B"/>
          <w:sz w:val="20"/>
        </w:rPr>
        <w:t>Description: Dosing and monitoring guidance for SERANOVA (valinectra) including potassium-guided titration, administration, concomitant therapy, and monitoring recommendations for CKD with type 2 diabetes.</w:t>
      </w:r>
    </w:p>
    <w:p>
      <w:r>
        <w:br w:type="page"/>
      </w:r>
    </w:p>
    <w:p>
      <w:pPr>
        <w:pStyle w:val="Heading2"/>
      </w:pPr>
      <w:r>
        <w:rPr>
          <w:color w:val="830051"/>
        </w:rPr>
        <w:t>PAGE 5: How SERANOVA Works</w:t>
      </w:r>
    </w:p>
    <w:p>
      <w:r>
        <w:rPr>
          <w:b/>
          <w:sz w:val="20"/>
        </w:rPr>
        <w:t xml:space="preserve">URL path: </w:t>
      </w:r>
      <w:r>
        <w:rPr>
          <w:sz w:val="20"/>
        </w:rPr>
        <w:t>/seranova/how-seranova-works</w:t>
      </w:r>
    </w:p>
    <w:p>
      <w:pPr>
        <w:jc w:val="center"/>
      </w:pPr>
      <w:r>
        <w:rPr>
          <w:color w:val="CCCCCC"/>
          <w:sz w:val="16"/>
        </w:rPr>
        <w:t>────────────────────────────────────────────────────────────</w:t>
      </w:r>
    </w:p>
    <w:p>
      <w:pPr>
        <w:pStyle w:val="Heading3"/>
      </w:pPr>
      <w:r>
        <w:rPr>
          <w:color w:val="0072B2"/>
        </w:rPr>
        <w:t>Section 1 — Hero (full-width image with text overlay)</w:t>
      </w:r>
    </w:p>
    <w:p>
      <w:r>
        <w:rPr>
          <w:b/>
          <w:sz w:val="20"/>
        </w:rPr>
        <w:t xml:space="preserve">Block: </w:t>
      </w:r>
      <w:r>
        <w:rPr>
          <w:sz w:val="20"/>
        </w:rPr>
        <w:t>hero-teaser</w:t>
      </w:r>
    </w:p>
    <w:p/>
    <w:p>
      <w:pPr>
        <w:jc w:val="center"/>
      </w:pPr>
      <w:r>
        <w:drawing>
          <wp:inline xmlns:a="http://schemas.openxmlformats.org/drawingml/2006/main" xmlns:pic="http://schemas.openxmlformats.org/drawingml/2006/picture">
            <wp:extent cx="5029200" cy="2806995"/>
            <wp:docPr id="17" name="Picture 17"/>
            <wp:cNvGraphicFramePr>
              <a:graphicFrameLocks noChangeAspect="1"/>
            </wp:cNvGraphicFramePr>
            <a:graphic>
              <a:graphicData uri="http://schemas.openxmlformats.org/drawingml/2006/picture">
                <pic:pic>
                  <pic:nvPicPr>
                    <pic:cNvPr id="0" name="hero-moa.jpeg"/>
                    <pic:cNvPicPr/>
                  </pic:nvPicPr>
                  <pic:blipFill>
                    <a:blip r:embed="rId25"/>
                    <a:stretch>
                      <a:fillRect/>
                    </a:stretch>
                  </pic:blipFill>
                  <pic:spPr>
                    <a:xfrm>
                      <a:off x="0" y="0"/>
                      <a:ext cx="5029200" cy="2806995"/>
                    </a:xfrm>
                    <a:prstGeom prst="rect"/>
                  </pic:spPr>
                </pic:pic>
              </a:graphicData>
            </a:graphic>
          </wp:inline>
        </w:drawing>
      </w:r>
    </w:p>
    <w:p>
      <w:pPr>
        <w:jc w:val="center"/>
      </w:pPr>
      <w:r>
        <w:rPr>
          <w:color w:val="005599"/>
          <w:sz w:val="16"/>
          <w:u w:val="single"/>
        </w:rPr>
        <w:t>https://eluvion-images.pages.dev/hero-moa.jpeg</w:t>
      </w:r>
    </w:p>
    <w:p>
      <w:pPr>
        <w:jc w:val="center"/>
      </w:pPr>
      <w:r>
        <w:rPr>
          <w:i/>
          <w:color w:val="666666"/>
          <w:sz w:val="16"/>
        </w:rPr>
        <w:t>Usage: How SERANOVA Works — hero</w:t>
      </w:r>
    </w:p>
    <w:p>
      <w:r>
        <w:rPr>
          <w:b/>
          <w:sz w:val="20"/>
        </w:rPr>
        <w:t xml:space="preserve">Heading: </w:t>
      </w:r>
      <w:r>
        <w:rPr>
          <w:sz w:val="20"/>
        </w:rPr>
        <w:t>Targeting the mineralocorticoid receptor in diabetic kidney disease</w:t>
      </w:r>
    </w:p>
    <w:p>
      <w:r>
        <w:rPr>
          <w:b/>
        </w:rPr>
        <w:t xml:space="preserve">Body text: </w:t>
      </w:r>
      <w:r>
        <w:t>SERANOVA™ (valinectra) selectively blocks MR overactivation — an independent driver of kidney and cardiovascular damage in patients with CKD and type 2 diabetes, complementing RAAS inhibition and SGLT2 inhibitor therapy.³</w:t>
      </w:r>
    </w:p>
    <w:p>
      <w:pPr>
        <w:jc w:val="center"/>
      </w:pPr>
      <w:r>
        <w:rPr>
          <w:color w:val="CCCCCC"/>
          <w:sz w:val="16"/>
        </w:rPr>
        <w:t>────────────────────────────────────────────────────────────</w:t>
      </w:r>
    </w:p>
    <w:p>
      <w:pPr>
        <w:pStyle w:val="Heading3"/>
      </w:pPr>
      <w:r>
        <w:rPr>
          <w:color w:val="0072B2"/>
        </w:rPr>
        <w:t>Section 2 — The MR pathway in diabetic kidney disease (two-column)</w:t>
      </w:r>
    </w:p>
    <w:p>
      <w:r>
        <w:rPr>
          <w:b/>
          <w:sz w:val="20"/>
        </w:rPr>
        <w:t xml:space="preserve">Block: </w:t>
      </w:r>
      <w:r>
        <w:rPr>
          <w:sz w:val="20"/>
        </w:rPr>
        <w:t>columns-teaser</w:t>
      </w:r>
    </w:p>
    <w:p/>
    <w:p>
      <w:pPr>
        <w:jc w:val="center"/>
      </w:pPr>
      <w:r>
        <w:drawing>
          <wp:inline xmlns:a="http://schemas.openxmlformats.org/drawingml/2006/main" xmlns:pic="http://schemas.openxmlformats.org/drawingml/2006/picture">
            <wp:extent cx="3200400" cy="2389632"/>
            <wp:docPr id="18" name="Picture 18"/>
            <wp:cNvGraphicFramePr>
              <a:graphicFrameLocks noChangeAspect="1"/>
            </wp:cNvGraphicFramePr>
            <a:graphic>
              <a:graphicData uri="http://schemas.openxmlformats.org/drawingml/2006/picture">
                <pic:pic>
                  <pic:nvPicPr>
                    <pic:cNvPr id="0" name="columns-kidney-pathway.jpeg"/>
                    <pic:cNvPicPr/>
                  </pic:nvPicPr>
                  <pic:blipFill>
                    <a:blip r:embed="rId26"/>
                    <a:stretch>
                      <a:fillRect/>
                    </a:stretch>
                  </pic:blipFill>
                  <pic:spPr>
                    <a:xfrm>
                      <a:off x="0" y="0"/>
                      <a:ext cx="3200400" cy="2389632"/>
                    </a:xfrm>
                    <a:prstGeom prst="rect"/>
                  </pic:spPr>
                </pic:pic>
              </a:graphicData>
            </a:graphic>
          </wp:inline>
        </w:drawing>
      </w:r>
    </w:p>
    <w:p>
      <w:pPr>
        <w:jc w:val="center"/>
      </w:pPr>
      <w:r>
        <w:rPr>
          <w:color w:val="005599"/>
          <w:sz w:val="16"/>
          <w:u w:val="single"/>
        </w:rPr>
        <w:t>https://eluvion-images.pages.dev/pathway-disease.jpeg</w:t>
      </w:r>
    </w:p>
    <w:p>
      <w:pPr>
        <w:jc w:val="center"/>
      </w:pPr>
      <w:r>
        <w:rPr>
          <w:i/>
          <w:color w:val="666666"/>
          <w:sz w:val="16"/>
        </w:rPr>
        <w:t>Usage: MoA — kidney pathway</w:t>
      </w:r>
    </w:p>
    <w:p>
      <w:r>
        <w:rPr>
          <w:b/>
          <w:sz w:val="20"/>
        </w:rPr>
        <w:t xml:space="preserve">Heading: </w:t>
      </w:r>
      <w:r>
        <w:rPr>
          <w:sz w:val="20"/>
        </w:rPr>
        <w:t>Why the mineralocorticoid receptor matters in CKD</w:t>
      </w:r>
    </w:p>
    <w:p>
      <w:r>
        <w:rPr>
          <w:b/>
        </w:rPr>
        <w:t xml:space="preserve">Body text: </w:t>
      </w:r>
      <w:r>
        <w:t>In diabetic kidney disease, chronic hyperglycaemia, haemodynamic stress, and obesity drive excessive aldosterone production and inappropriate MR activation in renal and cardiac tissues — independent of angiotensin II levels.⁴ ⁵</w:t>
        <w:br/>
        <w:br/>
        <w:t>MR overactivation promotes pro-inflammatory and pro-fibrotic signalling (via NF-κB, TGF-β, and PAI-1), leading to podocyte injury, proteinuria, tubular fibrosis, endothelial dysfunction, and cardiac remodelling. This MR-driven damage occurs even when patients are receiving maximum tolerated RAAS inhibition, representing a distinct and undertreated pathway of cardiorenal injury.⁴</w:t>
      </w:r>
    </w:p>
    <w:p>
      <w:pPr>
        <w:jc w:val="center"/>
      </w:pPr>
      <w:r>
        <w:rPr>
          <w:color w:val="CCCCCC"/>
          <w:sz w:val="16"/>
        </w:rPr>
        <w:t>────────────────────────────────────────────────────────────</w:t>
      </w:r>
    </w:p>
    <w:p>
      <w:pPr>
        <w:pStyle w:val="Heading3"/>
      </w:pPr>
      <w:r>
        <w:rPr>
          <w:color w:val="0072B2"/>
        </w:rPr>
        <w:t>Section 3 — SERANOVA mechanism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19" name="Picture 19"/>
            <wp:cNvGraphicFramePr>
              <a:graphicFrameLocks noChangeAspect="1"/>
            </wp:cNvGraphicFramePr>
            <a:graphic>
              <a:graphicData uri="http://schemas.openxmlformats.org/drawingml/2006/picture">
                <pic:pic>
                  <pic:nvPicPr>
                    <pic:cNvPr id="0" name="columns-mr-blockade.jpeg"/>
                    <pic:cNvPicPr/>
                  </pic:nvPicPr>
                  <pic:blipFill>
                    <a:blip r:embed="rId27"/>
                    <a:stretch>
                      <a:fillRect/>
                    </a:stretch>
                  </pic:blipFill>
                  <pic:spPr>
                    <a:xfrm>
                      <a:off x="0" y="0"/>
                      <a:ext cx="3200400" cy="2389632"/>
                    </a:xfrm>
                    <a:prstGeom prst="rect"/>
                  </pic:spPr>
                </pic:pic>
              </a:graphicData>
            </a:graphic>
          </wp:inline>
        </w:drawing>
      </w:r>
    </w:p>
    <w:p>
      <w:pPr>
        <w:jc w:val="center"/>
      </w:pPr>
      <w:r>
        <w:rPr>
          <w:color w:val="005599"/>
          <w:sz w:val="16"/>
          <w:u w:val="single"/>
        </w:rPr>
        <w:t>https://eluvion-images.pages.dev/pathway-cascade.jpeg</w:t>
      </w:r>
    </w:p>
    <w:p>
      <w:pPr>
        <w:jc w:val="center"/>
      </w:pPr>
      <w:r>
        <w:rPr>
          <w:i/>
          <w:color w:val="666666"/>
          <w:sz w:val="16"/>
        </w:rPr>
        <w:t>Usage: MoA — MR blockade</w:t>
      </w:r>
    </w:p>
    <w:p>
      <w:r>
        <w:rPr>
          <w:b/>
          <w:sz w:val="20"/>
        </w:rPr>
        <w:t xml:space="preserve">Heading: </w:t>
      </w:r>
      <w:r>
        <w:rPr>
          <w:sz w:val="20"/>
        </w:rPr>
        <w:t>Selective non-steroidal MR antagonism</w:t>
      </w:r>
    </w:p>
    <w:p>
      <w:r>
        <w:rPr>
          <w:b/>
        </w:rPr>
        <w:t xml:space="preserve">Body text: </w:t>
      </w:r>
      <w:r>
        <w:t>Valinectra binds to the mineralocorticoid receptor ligand-binding domain with a non-steroidal pharmacophore, providing:³</w:t>
        <w:br/>
        <w:br/>
        <w:t>High selectivity for the MR over glucocorticoid, androgen, and progesterone receptors — avoiding the endocrine side effects (gynaecomastia, menstrual irregularity) associated with steroidal MRAs.³</w:t>
        <w:br/>
        <w:br/>
        <w:t>Potent inhibition of MR-driven pro-inflammatory and pro-fibrotic gene transcription in renal tubular cells, podocytes, and cardiac fibroblasts.³</w:t>
        <w:br/>
        <w:br/>
        <w:t>Reduction of proteinuria through direct podocyte protection and reduced glomerular MR signalling.³</w:t>
        <w:br/>
        <w:br/>
        <w:t>Cardioprotection through attenuation of cardiac fibrosis, left ventricular remodelling, and endothelial dysfunction.³</w:t>
      </w:r>
    </w:p>
    <w:p>
      <w:pPr>
        <w:jc w:val="center"/>
      </w:pPr>
      <w:r>
        <w:rPr>
          <w:color w:val="CCCCCC"/>
          <w:sz w:val="16"/>
        </w:rPr>
        <w:t>────────────────────────────────────────────────────────────</w:t>
      </w:r>
    </w:p>
    <w:p>
      <w:pPr>
        <w:pStyle w:val="Heading3"/>
      </w:pPr>
      <w:r>
        <w:rPr>
          <w:color w:val="0072B2"/>
        </w:rPr>
        <w:t>Section 4 — Complementary to existing therapies (centred text) | light background</w:t>
      </w:r>
    </w:p>
    <w:p>
      <w:r>
        <w:rPr>
          <w:b/>
          <w:sz w:val="20"/>
        </w:rPr>
        <w:t xml:space="preserve">Block: </w:t>
      </w:r>
      <w:r>
        <w:rPr>
          <w:sz w:val="20"/>
        </w:rPr>
        <w:t>introduction</w:t>
      </w:r>
    </w:p>
    <w:p>
      <w:r>
        <w:rPr>
          <w:b/>
        </w:rPr>
        <w:t xml:space="preserve">Section metadata: </w:t>
      </w:r>
      <w:r>
        <w:rPr>
          <w:color w:val="666666"/>
        </w:rPr>
        <w:t>Style: light</w:t>
      </w:r>
    </w:p>
    <w:p>
      <w:r>
        <w:rPr>
          <w:b/>
          <w:sz w:val="20"/>
        </w:rPr>
        <w:t xml:space="preserve">Heading: </w:t>
      </w:r>
      <w:r>
        <w:rPr>
          <w:sz w:val="20"/>
        </w:rPr>
        <w:t>A complementary mechanism for comprehensive cardiorenal protection</w:t>
      </w:r>
    </w:p>
    <w:p>
      <w:r>
        <w:rPr>
          <w:b/>
        </w:rPr>
        <w:t xml:space="preserve">Body text: </w:t>
      </w:r>
      <w:r>
        <w:t>SERANOVA addresses a distinct pathophysiological pathway: MR-driven inflammation and fibrosis that persists despite RAAS inhibition and SGLT2 inhibitor therapy. In the RENOVA programme, benefits were consistent regardless of background SGLT2 inhibitor use, confirming that MR antagonism provides additive cardiorenal protection.¹ ² Current KDIGO 2024 guidelines recommend considering non-steroidal MRAs as part of the comprehensive approach to reducing kidney disease progression and cardiovascular risk in patients with CKD and type 2 diabetes.⁵</w:t>
      </w:r>
    </w:p>
    <w:p>
      <w:r>
        <w:rPr>
          <w:b/>
        </w:rPr>
        <w:t xml:space="preserve">Link: </w:t>
      </w:r>
      <w:r>
        <w:t>View RENOVA clinical data → /seranova/renova-data</w:t>
      </w:r>
    </w:p>
    <w:p>
      <w:pPr>
        <w:jc w:val="center"/>
      </w:pPr>
      <w:r>
        <w:rPr>
          <w:color w:val="CCCCCC"/>
          <w:sz w:val="16"/>
        </w:rPr>
        <w:t>────────────────────────────────────────────────────────────</w:t>
      </w:r>
    </w:p>
    <w:p>
      <w:pPr>
        <w:pStyle w:val="Heading3"/>
      </w:pPr>
      <w:r>
        <w:rPr>
          <w:color w:val="0072B2"/>
        </w:rPr>
        <w:t>Section 5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How SERANOVA Works | Mechanism of Action | MR Antagonism | AstraZeneca UK</w:t>
      </w:r>
    </w:p>
    <w:p>
      <w:r>
        <w:rPr>
          <w:b w:val="0"/>
          <w:i w:val="0"/>
          <w:color w:val="363B3B"/>
          <w:sz w:val="20"/>
        </w:rPr>
        <w:t>Description: Understand how SERANOVA (valinectra) selectively blocks the mineralocorticoid receptor to reduce kidney and cardiovascular damage in CKD with type 2 diabetes, complementing RAAS and SGLT2 inhibitor therapy.</w:t>
      </w:r>
    </w:p>
    <w:p>
      <w:r>
        <w:br w:type="page"/>
      </w:r>
    </w:p>
    <w:p>
      <w:pPr>
        <w:pStyle w:val="Heading2"/>
      </w:pPr>
      <w:r>
        <w:rPr>
          <w:color w:val="830051"/>
        </w:rPr>
        <w:t>PAGE 6: Resources</w:t>
      </w:r>
    </w:p>
    <w:p>
      <w:r>
        <w:rPr>
          <w:b/>
          <w:sz w:val="20"/>
        </w:rPr>
        <w:t xml:space="preserve">URL path: </w:t>
      </w:r>
      <w:r>
        <w:rPr>
          <w:sz w:val="20"/>
        </w:rPr>
        <w:t>/seranova/resources</w:t>
      </w:r>
    </w:p>
    <w:p>
      <w:pPr>
        <w:jc w:val="center"/>
      </w:pPr>
      <w:r>
        <w:rPr>
          <w:color w:val="CCCCCC"/>
          <w:sz w:val="16"/>
        </w:rPr>
        <w:t>────────────────────────────────────────────────────────────</w:t>
      </w:r>
    </w:p>
    <w:p>
      <w:pPr>
        <w:pStyle w:val="Heading3"/>
      </w:pPr>
      <w:r>
        <w:rPr>
          <w:color w:val="0072B2"/>
        </w:rPr>
        <w:t>Section 1 — Page header (text only, no image)</w:t>
      </w:r>
    </w:p>
    <w:p>
      <w:r>
        <w:rPr>
          <w:b/>
          <w:sz w:val="20"/>
        </w:rPr>
        <w:t xml:space="preserve">Block: </w:t>
      </w:r>
      <w:r>
        <w:rPr>
          <w:sz w:val="20"/>
        </w:rPr>
        <w:t>title</w:t>
      </w:r>
    </w:p>
    <w:p>
      <w:r>
        <w:rPr>
          <w:b/>
          <w:sz w:val="20"/>
        </w:rPr>
        <w:t xml:space="preserve">Heading: </w:t>
      </w:r>
      <w:r>
        <w:rPr>
          <w:sz w:val="20"/>
        </w:rPr>
        <w:t>Resources for healthcare professionals</w:t>
      </w:r>
    </w:p>
    <w:p>
      <w:r>
        <w:rPr>
          <w:b/>
        </w:rPr>
        <w:t xml:space="preserve">Body text: </w:t>
      </w:r>
      <w:r>
        <w:t>Access prescribing information, clinical data summaries, and patient support materials for SERANOVA™ (valinectra).</w:t>
      </w:r>
    </w:p>
    <w:p>
      <w:pPr>
        <w:jc w:val="center"/>
      </w:pPr>
      <w:r>
        <w:rPr>
          <w:color w:val="CCCCCC"/>
          <w:sz w:val="16"/>
        </w:rPr>
        <w:t>────────────────────────────────────────────────────────────</w:t>
      </w:r>
    </w:p>
    <w:p>
      <w:pPr>
        <w:pStyle w:val="Heading3"/>
      </w:pPr>
      <w:r>
        <w:rPr>
          <w:color w:val="0072B2"/>
        </w:rPr>
        <w:t>Section 2 — Resource cards (equal columns) | light background</w:t>
      </w:r>
    </w:p>
    <w:p>
      <w:r>
        <w:rPr>
          <w:b/>
          <w:sz w:val="20"/>
        </w:rPr>
        <w:t xml:space="preserve">Block: </w:t>
      </w:r>
      <w:r>
        <w:rPr>
          <w:sz w:val="20"/>
        </w:rPr>
        <w:t>cards-teaser</w:t>
      </w:r>
    </w:p>
    <w:p>
      <w:r>
        <w:rPr>
          <w:b/>
        </w:rPr>
        <w:t xml:space="preserve">Section metadata: </w:t>
      </w:r>
      <w:r>
        <w:rPr>
          <w:color w:val="666666"/>
        </w:rPr>
        <w:t>Style: light</w:t>
      </w:r>
    </w:p>
    <w:p/>
    <w:p>
      <w:pPr>
        <w:jc w:val="center"/>
      </w:pPr>
      <w:r>
        <w:drawing>
          <wp:inline xmlns:a="http://schemas.openxmlformats.org/drawingml/2006/main" xmlns:pic="http://schemas.openxmlformats.org/drawingml/2006/picture">
            <wp:extent cx="2743200" cy="2048256"/>
            <wp:docPr id="20" name="Picture 20"/>
            <wp:cNvGraphicFramePr>
              <a:graphicFrameLocks noChangeAspect="1"/>
            </wp:cNvGraphicFramePr>
            <a:graphic>
              <a:graphicData uri="http://schemas.openxmlformats.org/drawingml/2006/picture">
                <pic:pic>
                  <pic:nvPicPr>
                    <pic:cNvPr id="0" name="card-prescribing.jpeg"/>
                    <pic:cNvPicPr/>
                  </pic:nvPicPr>
                  <pic:blipFill>
                    <a:blip r:embed="rId28"/>
                    <a:stretch>
                      <a:fillRect/>
                    </a:stretch>
                  </pic:blipFill>
                  <pic:spPr>
                    <a:xfrm>
                      <a:off x="0" y="0"/>
                      <a:ext cx="2743200" cy="2048256"/>
                    </a:xfrm>
                    <a:prstGeom prst="rect"/>
                  </pic:spPr>
                </pic:pic>
              </a:graphicData>
            </a:graphic>
          </wp:inline>
        </w:drawing>
      </w:r>
    </w:p>
    <w:p>
      <w:pPr>
        <w:jc w:val="center"/>
      </w:pPr>
      <w:r>
        <w:rPr>
          <w:color w:val="005599"/>
          <w:sz w:val="16"/>
          <w:u w:val="single"/>
        </w:rPr>
        <w:t>https://revantha-images.pages.dev/resource-prescribing.jpeg</w:t>
      </w:r>
    </w:p>
    <w:p>
      <w:pPr>
        <w:jc w:val="center"/>
      </w:pPr>
      <w:r>
        <w:rPr>
          <w:i/>
          <w:color w:val="666666"/>
          <w:sz w:val="16"/>
        </w:rPr>
        <w:t>Usage: Resources — prescribing card</w:t>
      </w:r>
    </w:p>
    <w:p>
      <w:r>
        <w:rPr>
          <w:b/>
          <w:sz w:val="20"/>
        </w:rPr>
        <w:t xml:space="preserve">Card heading: </w:t>
      </w:r>
      <w:r>
        <w:rPr>
          <w:sz w:val="20"/>
        </w:rPr>
        <w:t>Prescribing guide</w:t>
      </w:r>
    </w:p>
    <w:p>
      <w:r>
        <w:rPr>
          <w:b/>
        </w:rPr>
        <w:t xml:space="preserve">Card body: </w:t>
      </w:r>
      <w:r>
        <w:t>Access the full Summary of Product Characteristics, potassium-guided titration algorithm, and a quick reference card covering indication, dosing, contraindications, drug interactions, and monitoring requirements for SERANOVA.</w:t>
      </w:r>
    </w:p>
    <w:p>
      <w:r>
        <w:rPr>
          <w:b/>
          <w:sz w:val="20"/>
        </w:rPr>
        <w:t xml:space="preserve">Card link: </w:t>
      </w:r>
      <w:r>
        <w:rPr>
          <w:sz w:val="20"/>
        </w:rPr>
        <w:t>Access prescribing information → /seranova/resources</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1" name="Picture 21"/>
            <wp:cNvGraphicFramePr>
              <a:graphicFrameLocks noChangeAspect="1"/>
            </wp:cNvGraphicFramePr>
            <a:graphic>
              <a:graphicData uri="http://schemas.openxmlformats.org/drawingml/2006/picture">
                <pic:pic>
                  <pic:nvPicPr>
                    <pic:cNvPr id="0" name="card-clinical-summary.jpeg"/>
                    <pic:cNvPicPr/>
                  </pic:nvPicPr>
                  <pic:blipFill>
                    <a:blip r:embed="rId29"/>
                    <a:stretch>
                      <a:fillRect/>
                    </a:stretch>
                  </pic:blipFill>
                  <pic:spPr>
                    <a:xfrm>
                      <a:off x="0" y="0"/>
                      <a:ext cx="2743200" cy="2048256"/>
                    </a:xfrm>
                    <a:prstGeom prst="rect"/>
                  </pic:spPr>
                </pic:pic>
              </a:graphicData>
            </a:graphic>
          </wp:inline>
        </w:drawing>
      </w:r>
    </w:p>
    <w:p>
      <w:pPr>
        <w:jc w:val="center"/>
      </w:pPr>
      <w:r>
        <w:rPr>
          <w:color w:val="005599"/>
          <w:sz w:val="16"/>
          <w:u w:val="single"/>
        </w:rPr>
        <w:t>https://revantha-images.pages.dev/resource-education.jpeg</w:t>
      </w:r>
    </w:p>
    <w:p>
      <w:pPr>
        <w:jc w:val="center"/>
      </w:pPr>
      <w:r>
        <w:rPr>
          <w:i/>
          <w:color w:val="666666"/>
          <w:sz w:val="16"/>
        </w:rPr>
        <w:t>Usage: Resources — clinical data card</w:t>
      </w:r>
    </w:p>
    <w:p>
      <w:r>
        <w:rPr>
          <w:b/>
          <w:sz w:val="20"/>
        </w:rPr>
        <w:t xml:space="preserve">Card heading: </w:t>
      </w:r>
      <w:r>
        <w:rPr>
          <w:sz w:val="20"/>
        </w:rPr>
        <w:t>RENOVA clinical data summaries</w:t>
      </w:r>
    </w:p>
    <w:p>
      <w:r>
        <w:rPr>
          <w:b/>
        </w:rPr>
        <w:t xml:space="preserve">Card body: </w:t>
      </w:r>
      <w:r>
        <w:t>Concise summaries of the RENOVA-CKD and RENOVA-HF pivotal studies, including study design, key endpoints, kidney outcomes, cardiovascular data, and eGFR slope analyses in adults with CKD and type 2 diabetes.</w:t>
      </w:r>
    </w:p>
    <w:p>
      <w:r>
        <w:rPr>
          <w:b/>
          <w:sz w:val="20"/>
        </w:rPr>
        <w:t xml:space="preserve">Card link: </w:t>
      </w:r>
      <w:r>
        <w:rPr>
          <w:sz w:val="20"/>
        </w:rPr>
        <w:t>Download study summaries → /seranova/resources</w:t>
      </w:r>
    </w:p>
    <w:p>
      <w:pPr>
        <w:jc w:val="center"/>
      </w:pPr>
      <w:r>
        <w:rPr>
          <w:color w:val="CCCCCC"/>
          <w:sz w:val="16"/>
        </w:rPr>
        <w:t>────────────────────────────────────────────────────────────</w:t>
      </w:r>
    </w:p>
    <w:p>
      <w:pPr>
        <w:jc w:val="center"/>
      </w:pPr>
      <w:r>
        <w:drawing>
          <wp:inline xmlns:a="http://schemas.openxmlformats.org/drawingml/2006/main" xmlns:pic="http://schemas.openxmlformats.org/drawingml/2006/picture">
            <wp:extent cx="2743200" cy="2048256"/>
            <wp:docPr id="22" name="Picture 22"/>
            <wp:cNvGraphicFramePr>
              <a:graphicFrameLocks noChangeAspect="1"/>
            </wp:cNvGraphicFramePr>
            <a:graphic>
              <a:graphicData uri="http://schemas.openxmlformats.org/drawingml/2006/picture">
                <pic:pic>
                  <pic:nvPicPr>
                    <pic:cNvPr id="0" name="card-patient.jpeg"/>
                    <pic:cNvPicPr/>
                  </pic:nvPicPr>
                  <pic:blipFill>
                    <a:blip r:embed="rId30"/>
                    <a:stretch>
                      <a:fillRect/>
                    </a:stretch>
                  </pic:blipFill>
                  <pic:spPr>
                    <a:xfrm>
                      <a:off x="0" y="0"/>
                      <a:ext cx="2743200" cy="2048256"/>
                    </a:xfrm>
                    <a:prstGeom prst="rect"/>
                  </pic:spPr>
                </pic:pic>
              </a:graphicData>
            </a:graphic>
          </wp:inline>
        </w:drawing>
      </w:r>
    </w:p>
    <w:p>
      <w:pPr>
        <w:jc w:val="center"/>
      </w:pPr>
      <w:r>
        <w:rPr>
          <w:color w:val="005599"/>
          <w:sz w:val="16"/>
          <w:u w:val="single"/>
        </w:rPr>
        <w:t>https://novapril-images.pages.dev/resource-patient.jpeg</w:t>
      </w:r>
    </w:p>
    <w:p>
      <w:pPr>
        <w:jc w:val="center"/>
      </w:pPr>
      <w:r>
        <w:rPr>
          <w:i/>
          <w:color w:val="666666"/>
          <w:sz w:val="16"/>
        </w:rPr>
        <w:t>Usage: Resources — patient materials card</w:t>
      </w:r>
    </w:p>
    <w:p>
      <w:r>
        <w:rPr>
          <w:b/>
          <w:sz w:val="20"/>
        </w:rPr>
        <w:t xml:space="preserve">Card heading: </w:t>
      </w:r>
      <w:r>
        <w:rPr>
          <w:sz w:val="20"/>
        </w:rPr>
        <w:t>Patient support materials</w:t>
      </w:r>
    </w:p>
    <w:p>
      <w:r>
        <w:rPr>
          <w:b/>
        </w:rPr>
        <w:t xml:space="preserve">Card body: </w:t>
      </w:r>
      <w:r>
        <w:t>Downloadable patient information leaflets, potassium monitoring diaries, and dietary guidance materials to support patients starting SERANOVA. Available in print-ready and digital formats.</w:t>
      </w:r>
    </w:p>
    <w:p>
      <w:r>
        <w:rPr>
          <w:b/>
          <w:sz w:val="20"/>
        </w:rPr>
        <w:t xml:space="preserve">Card link: </w:t>
      </w:r>
      <w:r>
        <w:rPr>
          <w:sz w:val="20"/>
        </w:rPr>
        <w:t>Download patient materials → /seranova/resources</w:t>
      </w:r>
    </w:p>
    <w:p>
      <w:pPr>
        <w:jc w:val="center"/>
      </w:pPr>
      <w:r>
        <w:rPr>
          <w:color w:val="CCCCCC"/>
          <w:sz w:val="16"/>
        </w:rPr>
        <w:t>────────────────────────────────────────────────────────────</w:t>
      </w:r>
    </w:p>
    <w:p>
      <w:pPr>
        <w:pStyle w:val="Heading3"/>
      </w:pPr>
      <w:r>
        <w:rPr>
          <w:color w:val="0072B2"/>
        </w:rPr>
        <w:t>Section 3 — Medical information contact (two-column) | highlight background</w:t>
      </w:r>
    </w:p>
    <w:p>
      <w:r>
        <w:rPr>
          <w:b/>
          <w:sz w:val="20"/>
        </w:rPr>
        <w:t xml:space="preserve">Block: </w:t>
      </w:r>
      <w:r>
        <w:rPr>
          <w:sz w:val="20"/>
        </w:rPr>
        <w:t>columns-teaser</w:t>
      </w:r>
    </w:p>
    <w:p>
      <w:r>
        <w:rPr>
          <w:b/>
        </w:rPr>
        <w:t xml:space="preserve">Section metadata: </w:t>
      </w:r>
      <w:r>
        <w:rPr>
          <w:color w:val="666666"/>
        </w:rPr>
        <w:t>Style: highlight</w:t>
      </w:r>
    </w:p>
    <w:p/>
    <w:p>
      <w:pPr>
        <w:jc w:val="center"/>
      </w:pPr>
      <w:r>
        <w:drawing>
          <wp:inline xmlns:a="http://schemas.openxmlformats.org/drawingml/2006/main" xmlns:pic="http://schemas.openxmlformats.org/drawingml/2006/picture">
            <wp:extent cx="3200400" cy="2389632"/>
            <wp:docPr id="23" name="Picture 23"/>
            <wp:cNvGraphicFramePr>
              <a:graphicFrameLocks noChangeAspect="1"/>
            </wp:cNvGraphicFramePr>
            <a:graphic>
              <a:graphicData uri="http://schemas.openxmlformats.org/drawingml/2006/picture">
                <pic:pic>
                  <pic:nvPicPr>
                    <pic:cNvPr id="0" name="columns-contact.jpeg"/>
                    <pic:cNvPicPr/>
                  </pic:nvPicPr>
                  <pic:blipFill>
                    <a:blip r:embed="rId31"/>
                    <a:stretch>
                      <a:fillRect/>
                    </a:stretch>
                  </pic:blipFill>
                  <pic:spPr>
                    <a:xfrm>
                      <a:off x="0" y="0"/>
                      <a:ext cx="3200400" cy="2389632"/>
                    </a:xfrm>
                    <a:prstGeom prst="rect"/>
                  </pic:spPr>
                </pic:pic>
              </a:graphicData>
            </a:graphic>
          </wp:inline>
        </w:drawing>
      </w:r>
    </w:p>
    <w:p>
      <w:pPr>
        <w:jc w:val="center"/>
      </w:pPr>
      <w:r>
        <w:rPr>
          <w:color w:val="005599"/>
          <w:sz w:val="16"/>
          <w:u w:val="single"/>
        </w:rPr>
        <w:t>https://revantha-images.pages.dev/contact-support.jpeg</w:t>
      </w:r>
    </w:p>
    <w:p>
      <w:pPr>
        <w:jc w:val="center"/>
      </w:pPr>
      <w:r>
        <w:rPr>
          <w:i/>
          <w:color w:val="666666"/>
          <w:sz w:val="16"/>
        </w:rPr>
        <w:t>Usage: Resources — contact</w:t>
      </w:r>
    </w:p>
    <w:p>
      <w:r>
        <w:rPr>
          <w:b/>
          <w:sz w:val="20"/>
        </w:rPr>
        <w:t xml:space="preserve">Heading: </w:t>
      </w:r>
      <w:r>
        <w:rPr>
          <w:sz w:val="20"/>
        </w:rPr>
        <w:t>Medical information and support</w:t>
      </w:r>
    </w:p>
    <w:p>
      <w:r>
        <w:rPr>
          <w:b/>
        </w:rPr>
        <w:t xml:space="preserve">Body text: </w:t>
      </w:r>
      <w:r>
        <w:t>For medical information enquiries about SERANOVA, please contact AstraZeneca Medical Information:</w:t>
        <w:br/>
        <w:br/>
        <w:t>Telephone: 0800 783 0033</w:t>
        <w:br/>
        <w:br/>
        <w:t>Email: medicalinformationuk@astrazeneca.com</w:t>
        <w:br/>
        <w:br/>
        <w:t>Website: contactazmedical.astrazeneca.com</w:t>
        <w:br/>
        <w:br/>
        <w:t>Our medical information team is available Monday to Friday, 9:00 AM to 5:00 PM.</w:t>
      </w:r>
    </w:p>
    <w:p>
      <w:pPr>
        <w:jc w:val="center"/>
      </w:pPr>
      <w:r>
        <w:rPr>
          <w:color w:val="CCCCCC"/>
          <w:sz w:val="16"/>
        </w:rPr>
        <w:t>────────────────────────────────────────────────────────────</w:t>
      </w:r>
    </w:p>
    <w:p>
      <w:pPr>
        <w:pStyle w:val="Heading3"/>
      </w:pPr>
      <w:r>
        <w:rPr>
          <w:color w:val="0072B2"/>
        </w:rPr>
        <w:t>Section 4 — Prescribing information footer</w:t>
      </w:r>
    </w:p>
    <w:p>
      <w:r>
        <w:rPr>
          <w:b w:val="0"/>
          <w:i/>
          <w:color w:val="363B3B"/>
          <w:sz w:val="20"/>
        </w:rPr>
        <w:t>Block: accordion  |  Expandable: PI | AE Reporting | References</w:t>
      </w:r>
    </w:p>
    <w:p/>
    <w:p>
      <w:r>
        <w:rPr>
          <w:b/>
          <w:color w:val="830051"/>
        </w:rPr>
        <w:t>Page metadata</w:t>
      </w:r>
    </w:p>
    <w:p>
      <w:r>
        <w:rPr>
          <w:b w:val="0"/>
          <w:i w:val="0"/>
          <w:color w:val="363B3B"/>
          <w:sz w:val="20"/>
        </w:rPr>
        <w:t>Title: Resources | SERANOVA (valinectra) | Clinical Summaries &amp; Guides | AstraZeneca UK</w:t>
      </w:r>
    </w:p>
    <w:p>
      <w:r>
        <w:rPr>
          <w:b w:val="0"/>
          <w:i w:val="0"/>
          <w:color w:val="363B3B"/>
          <w:sz w:val="20"/>
        </w:rPr>
        <w:t>Description: Access prescribing information, RENOVA study summaries, and patient support materials for SERANOVA (valinectra) in CKD with type 2 diabetes.</w:t>
      </w:r>
    </w:p>
    <w:p>
      <w:r>
        <w:br w:type="page"/>
      </w:r>
    </w:p>
    <w:p>
      <w:pPr>
        <w:pStyle w:val="Heading1"/>
      </w:pPr>
      <w:r>
        <w:rPr>
          <w:color w:val="830051"/>
        </w:rPr>
        <w:t>10. Footer Content</w:t>
      </w:r>
    </w:p>
    <w:p>
      <w:r>
        <w:rPr>
          <w:b/>
          <w:sz w:val="20"/>
        </w:rPr>
        <w:t xml:space="preserve">Row 1 — Brand: </w:t>
      </w:r>
      <w:r>
        <w:rPr>
          <w:sz w:val="20"/>
        </w:rPr>
        <w:t>AstraZeneca logo | GB-96017 | DOP: March 2026 | © 2026 AstraZeneca. All rights reserved.</w:t>
      </w:r>
    </w:p>
    <w:p>
      <w:r>
        <w:rPr>
          <w:b/>
          <w:sz w:val="20"/>
        </w:rPr>
        <w:t xml:space="preserve">Row 2 — Site links: </w:t>
      </w:r>
      <w:r>
        <w:rPr>
          <w:sz w:val="20"/>
        </w:rPr>
        <w:t>RENOVA Data | Safety | Dosing &amp; Monitoring | How SERANOVA Works | Resources</w:t>
      </w:r>
    </w:p>
    <w:p>
      <w:r>
        <w:rPr>
          <w:b/>
          <w:sz w:val="20"/>
        </w:rPr>
        <w:t xml:space="preserve">Row 3 — Regulatory links: </w:t>
      </w:r>
      <w:r>
        <w:rPr>
          <w:sz w:val="20"/>
        </w:rPr>
        <w:t>Report Adverse Event (https://yellowcard.mhra.gov.uk/) | Medical Information (https://contactazmedical.astrazeneca.com/) | Privacy Policy (https://www.astrazeneca.co.uk/our-company/privacy-notice.html) | Terms of Use (https://www.astrazeneca.co.uk/our-company/terms-of-use.html) | Accessibility (https://www.astrazeneca.co.uk/accessibility.html)</w:t>
      </w:r>
    </w:p>
    <w:p>
      <w:r>
        <w:rPr>
          <w:b/>
          <w:sz w:val="20"/>
        </w:rPr>
        <w:t xml:space="preserve">Row 4 — Date: </w:t>
      </w:r>
      <w:r>
        <w:rPr>
          <w:sz w:val="20"/>
        </w:rPr>
        <w:t>Date of Preparation: March 2026</w:t>
      </w:r>
    </w:p>
    <w:p>
      <w:pPr>
        <w:jc w:val="center"/>
      </w:pPr>
      <w:r>
        <w:rPr>
          <w:color w:val="CCCCCC"/>
          <w:sz w:val="16"/>
        </w:rPr>
        <w:t>────────────────────────────────────────────────────────────</w:t>
      </w:r>
    </w:p>
    <w:p>
      <w:pPr>
        <w:pStyle w:val="Heading1"/>
      </w:pPr>
      <w:r>
        <w:rPr>
          <w:color w:val="830051"/>
        </w:rPr>
        <w:t>11. Image Assets</w:t>
      </w:r>
    </w:p>
    <w:p>
      <w:r>
        <w:rPr>
          <w:b w:val="0"/>
          <w:i w:val="0"/>
          <w:color w:val="363B3B"/>
          <w:sz w:val="20"/>
        </w:rPr>
        <w:t>All images are reused from existing AZ site CDN deployments. No new image generation is required. If a dedicated Seranova CDN is set up in future, images should be downloaded from the source URLs below and redeployed to https://seranova-images.pages.dev/.</w:t>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830051"/>
          </w:tcPr>
          <w:p>
            <w:r/>
            <w:r>
              <w:rPr>
                <w:b/>
                <w:color w:val="FFFFFF"/>
                <w:sz w:val="18"/>
              </w:rPr>
              <w:t>#</w:t>
            </w:r>
          </w:p>
        </w:tc>
        <w:tc>
          <w:tcPr>
            <w:tcW w:type="dxa" w:w="1814"/>
            <w:shd w:fill="830051"/>
          </w:tcPr>
          <w:p>
            <w:r/>
            <w:r>
              <w:rPr>
                <w:b/>
                <w:color w:val="FFFFFF"/>
                <w:sz w:val="18"/>
              </w:rPr>
              <w:t>Usage</w:t>
            </w:r>
          </w:p>
        </w:tc>
        <w:tc>
          <w:tcPr>
            <w:tcW w:type="dxa" w:w="1814"/>
            <w:shd w:fill="830051"/>
          </w:tcPr>
          <w:p>
            <w:r/>
            <w:r>
              <w:rPr>
                <w:b/>
                <w:color w:val="FFFFFF"/>
                <w:sz w:val="18"/>
              </w:rPr>
              <w:t>Source CDN URL</w:t>
            </w:r>
          </w:p>
        </w:tc>
        <w:tc>
          <w:tcPr>
            <w:tcW w:type="dxa" w:w="1814"/>
            <w:shd w:fill="830051"/>
          </w:tcPr>
          <w:p>
            <w:r/>
            <w:r>
              <w:rPr>
                <w:b/>
                <w:color w:val="FFFFFF"/>
                <w:sz w:val="18"/>
              </w:rPr>
              <w:t>Dimensions</w:t>
            </w:r>
          </w:p>
        </w:tc>
        <w:tc>
          <w:tcPr>
            <w:tcW w:type="dxa" w:w="1814"/>
            <w:shd w:fill="830051"/>
          </w:tcPr>
          <w:p>
            <w:r/>
            <w:r>
              <w:rPr>
                <w:b/>
                <w:color w:val="FFFFFF"/>
                <w:sz w:val="18"/>
              </w:rPr>
              <w:t>Used on</w:t>
            </w:r>
          </w:p>
        </w:tc>
      </w:tr>
      <w:tr>
        <w:tc>
          <w:tcPr>
            <w:tcW w:type="dxa" w:w="1814"/>
          </w:tcPr>
          <w:p>
            <w:r/>
            <w:r>
              <w:rPr>
                <w:color w:val="363B3B"/>
                <w:sz w:val="18"/>
              </w:rPr>
              <w:t>1</w:t>
            </w:r>
          </w:p>
        </w:tc>
        <w:tc>
          <w:tcPr>
            <w:tcW w:type="dxa" w:w="1814"/>
          </w:tcPr>
          <w:p>
            <w:r/>
            <w:r>
              <w:rPr>
                <w:color w:val="363B3B"/>
                <w:sz w:val="18"/>
              </w:rPr>
              <w:t>hero-home</w:t>
            </w:r>
          </w:p>
        </w:tc>
        <w:tc>
          <w:tcPr>
            <w:tcW w:type="dxa" w:w="1814"/>
          </w:tcPr>
          <w:p>
            <w:r/>
            <w:r>
              <w:rPr>
                <w:color w:val="363B3B"/>
                <w:sz w:val="18"/>
              </w:rPr>
              <w:t>https://novapril-images.pages.dev/hero-home.jpeg</w:t>
            </w:r>
          </w:p>
        </w:tc>
        <w:tc>
          <w:tcPr>
            <w:tcW w:type="dxa" w:w="1814"/>
          </w:tcPr>
          <w:p>
            <w:r/>
            <w:r>
              <w:rPr>
                <w:color w:val="363B3B"/>
                <w:sz w:val="18"/>
              </w:rPr>
              <w:t>1440×810</w:t>
            </w:r>
          </w:p>
        </w:tc>
        <w:tc>
          <w:tcPr>
            <w:tcW w:type="dxa" w:w="1814"/>
          </w:tcPr>
          <w:p>
            <w:r/>
            <w:r>
              <w:rPr>
                <w:color w:val="363B3B"/>
                <w:sz w:val="18"/>
              </w:rPr>
              <w:t>Home — hero</w:t>
            </w:r>
          </w:p>
        </w:tc>
      </w:tr>
      <w:tr>
        <w:tc>
          <w:tcPr>
            <w:tcW w:type="dxa" w:w="1814"/>
            <w:shd w:fill="F8F8F8"/>
          </w:tcPr>
          <w:p>
            <w:r/>
            <w:r>
              <w:rPr>
                <w:color w:val="363B3B"/>
                <w:sz w:val="18"/>
              </w:rPr>
              <w:t>2</w:t>
            </w:r>
          </w:p>
        </w:tc>
        <w:tc>
          <w:tcPr>
            <w:tcW w:type="dxa" w:w="1814"/>
            <w:shd w:fill="F8F8F8"/>
          </w:tcPr>
          <w:p>
            <w:r/>
            <w:r>
              <w:rPr>
                <w:color w:val="363B3B"/>
                <w:sz w:val="18"/>
              </w:rPr>
              <w:t>hero-efficacy</w:t>
            </w:r>
          </w:p>
        </w:tc>
        <w:tc>
          <w:tcPr>
            <w:tcW w:type="dxa" w:w="1814"/>
            <w:shd w:fill="F8F8F8"/>
          </w:tcPr>
          <w:p>
            <w:r/>
            <w:r>
              <w:rPr>
                <w:color w:val="363B3B"/>
                <w:sz w:val="18"/>
              </w:rPr>
              <w:t>https://zenturis-images.pages.dev/hero-efficacy.jpeg</w:t>
            </w:r>
          </w:p>
        </w:tc>
        <w:tc>
          <w:tcPr>
            <w:tcW w:type="dxa" w:w="1814"/>
            <w:shd w:fill="F8F8F8"/>
          </w:tcPr>
          <w:p>
            <w:r/>
            <w:r>
              <w:rPr>
                <w:color w:val="363B3B"/>
                <w:sz w:val="18"/>
              </w:rPr>
              <w:t>1440×810</w:t>
            </w:r>
          </w:p>
        </w:tc>
        <w:tc>
          <w:tcPr>
            <w:tcW w:type="dxa" w:w="1814"/>
            <w:shd w:fill="F8F8F8"/>
          </w:tcPr>
          <w:p>
            <w:r/>
            <w:r>
              <w:rPr>
                <w:color w:val="363B3B"/>
                <w:sz w:val="18"/>
              </w:rPr>
              <w:t>RENOVA Data — hero</w:t>
            </w:r>
          </w:p>
        </w:tc>
      </w:tr>
      <w:tr>
        <w:tc>
          <w:tcPr>
            <w:tcW w:type="dxa" w:w="1814"/>
          </w:tcPr>
          <w:p>
            <w:r/>
            <w:r>
              <w:rPr>
                <w:color w:val="363B3B"/>
                <w:sz w:val="18"/>
              </w:rPr>
              <w:t>3</w:t>
            </w:r>
          </w:p>
        </w:tc>
        <w:tc>
          <w:tcPr>
            <w:tcW w:type="dxa" w:w="1814"/>
          </w:tcPr>
          <w:p>
            <w:r/>
            <w:r>
              <w:rPr>
                <w:color w:val="363B3B"/>
                <w:sz w:val="18"/>
              </w:rPr>
              <w:t>hero-dosing</w:t>
            </w:r>
          </w:p>
        </w:tc>
        <w:tc>
          <w:tcPr>
            <w:tcW w:type="dxa" w:w="1814"/>
          </w:tcPr>
          <w:p>
            <w:r/>
            <w:r>
              <w:rPr>
                <w:color w:val="363B3B"/>
                <w:sz w:val="18"/>
              </w:rPr>
              <w:t>https://eluvion-images.pages.dev/hero-dosing.jpeg</w:t>
            </w:r>
          </w:p>
        </w:tc>
        <w:tc>
          <w:tcPr>
            <w:tcW w:type="dxa" w:w="1814"/>
          </w:tcPr>
          <w:p>
            <w:r/>
            <w:r>
              <w:rPr>
                <w:color w:val="363B3B"/>
                <w:sz w:val="18"/>
              </w:rPr>
              <w:t>1440×810</w:t>
            </w:r>
          </w:p>
        </w:tc>
        <w:tc>
          <w:tcPr>
            <w:tcW w:type="dxa" w:w="1814"/>
          </w:tcPr>
          <w:p>
            <w:r/>
            <w:r>
              <w:rPr>
                <w:color w:val="363B3B"/>
                <w:sz w:val="18"/>
              </w:rPr>
              <w:t>Dosing — hero</w:t>
            </w:r>
          </w:p>
        </w:tc>
      </w:tr>
      <w:tr>
        <w:tc>
          <w:tcPr>
            <w:tcW w:type="dxa" w:w="1814"/>
            <w:shd w:fill="F8F8F8"/>
          </w:tcPr>
          <w:p>
            <w:r/>
            <w:r>
              <w:rPr>
                <w:color w:val="363B3B"/>
                <w:sz w:val="18"/>
              </w:rPr>
              <w:t>4</w:t>
            </w:r>
          </w:p>
        </w:tc>
        <w:tc>
          <w:tcPr>
            <w:tcW w:type="dxa" w:w="1814"/>
            <w:shd w:fill="F8F8F8"/>
          </w:tcPr>
          <w:p>
            <w:r/>
            <w:r>
              <w:rPr>
                <w:color w:val="363B3B"/>
                <w:sz w:val="18"/>
              </w:rPr>
              <w:t>hero-moa</w:t>
            </w:r>
          </w:p>
        </w:tc>
        <w:tc>
          <w:tcPr>
            <w:tcW w:type="dxa" w:w="1814"/>
            <w:shd w:fill="F8F8F8"/>
          </w:tcPr>
          <w:p>
            <w:r/>
            <w:r>
              <w:rPr>
                <w:color w:val="363B3B"/>
                <w:sz w:val="18"/>
              </w:rPr>
              <w:t>https://eluvion-images.pages.dev/hero-moa.jpeg</w:t>
            </w:r>
          </w:p>
        </w:tc>
        <w:tc>
          <w:tcPr>
            <w:tcW w:type="dxa" w:w="1814"/>
            <w:shd w:fill="F8F8F8"/>
          </w:tcPr>
          <w:p>
            <w:r/>
            <w:r>
              <w:rPr>
                <w:color w:val="363B3B"/>
                <w:sz w:val="18"/>
              </w:rPr>
              <w:t>1440×810</w:t>
            </w:r>
          </w:p>
        </w:tc>
        <w:tc>
          <w:tcPr>
            <w:tcW w:type="dxa" w:w="1814"/>
            <w:shd w:fill="F8F8F8"/>
          </w:tcPr>
          <w:p>
            <w:r/>
            <w:r>
              <w:rPr>
                <w:color w:val="363B3B"/>
                <w:sz w:val="18"/>
              </w:rPr>
              <w:t>How SERANOVA Works — hero</w:t>
            </w:r>
          </w:p>
        </w:tc>
      </w:tr>
      <w:tr>
        <w:tc>
          <w:tcPr>
            <w:tcW w:type="dxa" w:w="1814"/>
          </w:tcPr>
          <w:p>
            <w:r/>
            <w:r>
              <w:rPr>
                <w:color w:val="363B3B"/>
                <w:sz w:val="18"/>
              </w:rPr>
              <w:t>5</w:t>
            </w:r>
          </w:p>
        </w:tc>
        <w:tc>
          <w:tcPr>
            <w:tcW w:type="dxa" w:w="1814"/>
          </w:tcPr>
          <w:p>
            <w:r/>
            <w:r>
              <w:rPr>
                <w:color w:val="363B3B"/>
                <w:sz w:val="18"/>
              </w:rPr>
              <w:t>card-renal</w:t>
            </w:r>
          </w:p>
        </w:tc>
        <w:tc>
          <w:tcPr>
            <w:tcW w:type="dxa" w:w="1814"/>
          </w:tcPr>
          <w:p>
            <w:r/>
            <w:r>
              <w:rPr>
                <w:color w:val="363B3B"/>
                <w:sz w:val="18"/>
              </w:rPr>
              <w:t>https://eluvion-images.pages.dev/trial1-results.jpeg</w:t>
            </w:r>
          </w:p>
        </w:tc>
        <w:tc>
          <w:tcPr>
            <w:tcW w:type="dxa" w:w="1814"/>
          </w:tcPr>
          <w:p>
            <w:r/>
            <w:r>
              <w:rPr>
                <w:color w:val="363B3B"/>
                <w:sz w:val="18"/>
              </w:rPr>
              <w:t>800×600</w:t>
            </w:r>
          </w:p>
        </w:tc>
        <w:tc>
          <w:tcPr>
            <w:tcW w:type="dxa" w:w="1814"/>
          </w:tcPr>
          <w:p>
            <w:r/>
            <w:r>
              <w:rPr>
                <w:color w:val="363B3B"/>
                <w:sz w:val="18"/>
              </w:rPr>
              <w:t>Home — renal outcomes card</w:t>
            </w:r>
          </w:p>
        </w:tc>
      </w:tr>
      <w:tr>
        <w:tc>
          <w:tcPr>
            <w:tcW w:type="dxa" w:w="1814"/>
            <w:shd w:fill="F8F8F8"/>
          </w:tcPr>
          <w:p>
            <w:r/>
            <w:r>
              <w:rPr>
                <w:color w:val="363B3B"/>
                <w:sz w:val="18"/>
              </w:rPr>
              <w:t>6</w:t>
            </w:r>
          </w:p>
        </w:tc>
        <w:tc>
          <w:tcPr>
            <w:tcW w:type="dxa" w:w="1814"/>
            <w:shd w:fill="F8F8F8"/>
          </w:tcPr>
          <w:p>
            <w:r/>
            <w:r>
              <w:rPr>
                <w:color w:val="363B3B"/>
                <w:sz w:val="18"/>
              </w:rPr>
              <w:t>card-cv</w:t>
            </w:r>
          </w:p>
        </w:tc>
        <w:tc>
          <w:tcPr>
            <w:tcW w:type="dxa" w:w="1814"/>
            <w:shd w:fill="F8F8F8"/>
          </w:tcPr>
          <w:p>
            <w:r/>
            <w:r>
              <w:rPr>
                <w:color w:val="363B3B"/>
                <w:sz w:val="18"/>
              </w:rPr>
              <w:t>https://revantha-images.pages.dev/card-efficacy.jpeg</w:t>
            </w:r>
          </w:p>
        </w:tc>
        <w:tc>
          <w:tcPr>
            <w:tcW w:type="dxa" w:w="1814"/>
            <w:shd w:fill="F8F8F8"/>
          </w:tcPr>
          <w:p>
            <w:r/>
            <w:r>
              <w:rPr>
                <w:color w:val="363B3B"/>
                <w:sz w:val="18"/>
              </w:rPr>
              <w:t>800×600</w:t>
            </w:r>
          </w:p>
        </w:tc>
        <w:tc>
          <w:tcPr>
            <w:tcW w:type="dxa" w:w="1814"/>
            <w:shd w:fill="F8F8F8"/>
          </w:tcPr>
          <w:p>
            <w:r/>
            <w:r>
              <w:rPr>
                <w:color w:val="363B3B"/>
                <w:sz w:val="18"/>
              </w:rPr>
              <w:t>Home — CV outcomes card</w:t>
            </w:r>
          </w:p>
        </w:tc>
      </w:tr>
      <w:tr>
        <w:tc>
          <w:tcPr>
            <w:tcW w:type="dxa" w:w="1814"/>
          </w:tcPr>
          <w:p>
            <w:r/>
            <w:r>
              <w:rPr>
                <w:color w:val="363B3B"/>
                <w:sz w:val="18"/>
              </w:rPr>
              <w:t>7</w:t>
            </w:r>
          </w:p>
        </w:tc>
        <w:tc>
          <w:tcPr>
            <w:tcW w:type="dxa" w:w="1814"/>
          </w:tcPr>
          <w:p>
            <w:r/>
            <w:r>
              <w:rPr>
                <w:color w:val="363B3B"/>
                <w:sz w:val="18"/>
              </w:rPr>
              <w:t>card-oral</w:t>
            </w:r>
          </w:p>
        </w:tc>
        <w:tc>
          <w:tcPr>
            <w:tcW w:type="dxa" w:w="1814"/>
          </w:tcPr>
          <w:p>
            <w:r/>
            <w:r>
              <w:rPr>
                <w:color w:val="363B3B"/>
                <w:sz w:val="18"/>
              </w:rPr>
              <w:t>https://zenturis-images.pages.dev/card-dosing.jpeg</w:t>
            </w:r>
          </w:p>
        </w:tc>
        <w:tc>
          <w:tcPr>
            <w:tcW w:type="dxa" w:w="1814"/>
          </w:tcPr>
          <w:p>
            <w:r/>
            <w:r>
              <w:rPr>
                <w:color w:val="363B3B"/>
                <w:sz w:val="18"/>
              </w:rPr>
              <w:t>800×600</w:t>
            </w:r>
          </w:p>
        </w:tc>
        <w:tc>
          <w:tcPr>
            <w:tcW w:type="dxa" w:w="1814"/>
          </w:tcPr>
          <w:p>
            <w:r/>
            <w:r>
              <w:rPr>
                <w:color w:val="363B3B"/>
                <w:sz w:val="18"/>
              </w:rPr>
              <w:t>Home — oral dosing card</w:t>
            </w:r>
          </w:p>
        </w:tc>
      </w:tr>
      <w:tr>
        <w:tc>
          <w:tcPr>
            <w:tcW w:type="dxa" w:w="1814"/>
            <w:shd w:fill="F8F8F8"/>
          </w:tcPr>
          <w:p>
            <w:r/>
            <w:r>
              <w:rPr>
                <w:color w:val="363B3B"/>
                <w:sz w:val="18"/>
              </w:rPr>
              <w:t>8</w:t>
            </w:r>
          </w:p>
        </w:tc>
        <w:tc>
          <w:tcPr>
            <w:tcW w:type="dxa" w:w="1814"/>
            <w:shd w:fill="F8F8F8"/>
          </w:tcPr>
          <w:p>
            <w:r/>
            <w:r>
              <w:rPr>
                <w:color w:val="363B3B"/>
                <w:sz w:val="18"/>
              </w:rPr>
              <w:t>card-hyperkalaemia</w:t>
            </w:r>
          </w:p>
        </w:tc>
        <w:tc>
          <w:tcPr>
            <w:tcW w:type="dxa" w:w="1814"/>
            <w:shd w:fill="F8F8F8"/>
          </w:tcPr>
          <w:p>
            <w:r/>
            <w:r>
              <w:rPr>
                <w:color w:val="363B3B"/>
                <w:sz w:val="18"/>
              </w:rPr>
              <w:t>https://eluvion-images.pages.dev/safety-hypertension.jpeg</w:t>
            </w:r>
          </w:p>
        </w:tc>
        <w:tc>
          <w:tcPr>
            <w:tcW w:type="dxa" w:w="1814"/>
            <w:shd w:fill="F8F8F8"/>
          </w:tcPr>
          <w:p>
            <w:r/>
            <w:r>
              <w:rPr>
                <w:color w:val="363B3B"/>
                <w:sz w:val="18"/>
              </w:rPr>
              <w:t>800×600</w:t>
            </w:r>
          </w:p>
        </w:tc>
        <w:tc>
          <w:tcPr>
            <w:tcW w:type="dxa" w:w="1814"/>
            <w:shd w:fill="F8F8F8"/>
          </w:tcPr>
          <w:p>
            <w:r/>
            <w:r>
              <w:rPr>
                <w:color w:val="363B3B"/>
                <w:sz w:val="18"/>
              </w:rPr>
              <w:t>Safety — hyperkalaemia card</w:t>
            </w:r>
          </w:p>
        </w:tc>
      </w:tr>
      <w:tr>
        <w:tc>
          <w:tcPr>
            <w:tcW w:type="dxa" w:w="1814"/>
          </w:tcPr>
          <w:p>
            <w:r/>
            <w:r>
              <w:rPr>
                <w:color w:val="363B3B"/>
                <w:sz w:val="18"/>
              </w:rPr>
              <w:t>9</w:t>
            </w:r>
          </w:p>
        </w:tc>
        <w:tc>
          <w:tcPr>
            <w:tcW w:type="dxa" w:w="1814"/>
          </w:tcPr>
          <w:p>
            <w:r/>
            <w:r>
              <w:rPr>
                <w:color w:val="363B3B"/>
                <w:sz w:val="18"/>
              </w:rPr>
              <w:t>card-renal-function</w:t>
            </w:r>
          </w:p>
        </w:tc>
        <w:tc>
          <w:tcPr>
            <w:tcW w:type="dxa" w:w="1814"/>
          </w:tcPr>
          <w:p>
            <w:r/>
            <w:r>
              <w:rPr>
                <w:color w:val="363B3B"/>
                <w:sz w:val="18"/>
              </w:rPr>
              <w:t>https://eluvion-images.pages.dev/safety-proteinuria.jpeg</w:t>
            </w:r>
          </w:p>
        </w:tc>
        <w:tc>
          <w:tcPr>
            <w:tcW w:type="dxa" w:w="1814"/>
          </w:tcPr>
          <w:p>
            <w:r/>
            <w:r>
              <w:rPr>
                <w:color w:val="363B3B"/>
                <w:sz w:val="18"/>
              </w:rPr>
              <w:t>800×600</w:t>
            </w:r>
          </w:p>
        </w:tc>
        <w:tc>
          <w:tcPr>
            <w:tcW w:type="dxa" w:w="1814"/>
          </w:tcPr>
          <w:p>
            <w:r/>
            <w:r>
              <w:rPr>
                <w:color w:val="363B3B"/>
                <w:sz w:val="18"/>
              </w:rPr>
              <w:t>Safety — renal function card</w:t>
            </w:r>
          </w:p>
        </w:tc>
      </w:tr>
      <w:tr>
        <w:tc>
          <w:tcPr>
            <w:tcW w:type="dxa" w:w="1814"/>
            <w:shd w:fill="F8F8F8"/>
          </w:tcPr>
          <w:p>
            <w:r/>
            <w:r>
              <w:rPr>
                <w:color w:val="363B3B"/>
                <w:sz w:val="18"/>
              </w:rPr>
              <w:t>10</w:t>
            </w:r>
          </w:p>
        </w:tc>
        <w:tc>
          <w:tcPr>
            <w:tcW w:type="dxa" w:w="1814"/>
            <w:shd w:fill="F8F8F8"/>
          </w:tcPr>
          <w:p>
            <w:r/>
            <w:r>
              <w:rPr>
                <w:color w:val="363B3B"/>
                <w:sz w:val="18"/>
              </w:rPr>
              <w:t>card-cv-safety</w:t>
            </w:r>
          </w:p>
        </w:tc>
        <w:tc>
          <w:tcPr>
            <w:tcW w:type="dxa" w:w="1814"/>
            <w:shd w:fill="F8F8F8"/>
          </w:tcPr>
          <w:p>
            <w:r/>
            <w:r>
              <w:rPr>
                <w:color w:val="363B3B"/>
                <w:sz w:val="18"/>
              </w:rPr>
              <w:t>https://vitessa-images.pages.dev/safety-zoster.jpeg</w:t>
            </w:r>
          </w:p>
        </w:tc>
        <w:tc>
          <w:tcPr>
            <w:tcW w:type="dxa" w:w="1814"/>
            <w:shd w:fill="F8F8F8"/>
          </w:tcPr>
          <w:p>
            <w:r/>
            <w:r>
              <w:rPr>
                <w:color w:val="363B3B"/>
                <w:sz w:val="18"/>
              </w:rPr>
              <w:t>800×600</w:t>
            </w:r>
          </w:p>
        </w:tc>
        <w:tc>
          <w:tcPr>
            <w:tcW w:type="dxa" w:w="1814"/>
            <w:shd w:fill="F8F8F8"/>
          </w:tcPr>
          <w:p>
            <w:r/>
            <w:r>
              <w:rPr>
                <w:color w:val="363B3B"/>
                <w:sz w:val="18"/>
              </w:rPr>
              <w:t>Safety — CV safety card</w:t>
            </w:r>
          </w:p>
        </w:tc>
      </w:tr>
      <w:tr>
        <w:tc>
          <w:tcPr>
            <w:tcW w:type="dxa" w:w="1814"/>
          </w:tcPr>
          <w:p>
            <w:r/>
            <w:r>
              <w:rPr>
                <w:color w:val="363B3B"/>
                <w:sz w:val="18"/>
              </w:rPr>
              <w:t>11</w:t>
            </w:r>
          </w:p>
        </w:tc>
        <w:tc>
          <w:tcPr>
            <w:tcW w:type="dxa" w:w="1814"/>
          </w:tcPr>
          <w:p>
            <w:r/>
            <w:r>
              <w:rPr>
                <w:color w:val="363B3B"/>
                <w:sz w:val="18"/>
              </w:rPr>
              <w:t>card-prescribing</w:t>
            </w:r>
          </w:p>
        </w:tc>
        <w:tc>
          <w:tcPr>
            <w:tcW w:type="dxa" w:w="1814"/>
          </w:tcPr>
          <w:p>
            <w:r/>
            <w:r>
              <w:rPr>
                <w:color w:val="363B3B"/>
                <w:sz w:val="18"/>
              </w:rPr>
              <w:t>https://revantha-images.pages.dev/resource-prescribing.jpeg</w:t>
            </w:r>
          </w:p>
        </w:tc>
        <w:tc>
          <w:tcPr>
            <w:tcW w:type="dxa" w:w="1814"/>
          </w:tcPr>
          <w:p>
            <w:r/>
            <w:r>
              <w:rPr>
                <w:color w:val="363B3B"/>
                <w:sz w:val="18"/>
              </w:rPr>
              <w:t>800×600</w:t>
            </w:r>
          </w:p>
        </w:tc>
        <w:tc>
          <w:tcPr>
            <w:tcW w:type="dxa" w:w="1814"/>
          </w:tcPr>
          <w:p>
            <w:r/>
            <w:r>
              <w:rPr>
                <w:color w:val="363B3B"/>
                <w:sz w:val="18"/>
              </w:rPr>
              <w:t>Resources — prescribing card</w:t>
            </w:r>
          </w:p>
        </w:tc>
      </w:tr>
      <w:tr>
        <w:tc>
          <w:tcPr>
            <w:tcW w:type="dxa" w:w="1814"/>
            <w:shd w:fill="F8F8F8"/>
          </w:tcPr>
          <w:p>
            <w:r/>
            <w:r>
              <w:rPr>
                <w:color w:val="363B3B"/>
                <w:sz w:val="18"/>
              </w:rPr>
              <w:t>12</w:t>
            </w:r>
          </w:p>
        </w:tc>
        <w:tc>
          <w:tcPr>
            <w:tcW w:type="dxa" w:w="1814"/>
            <w:shd w:fill="F8F8F8"/>
          </w:tcPr>
          <w:p>
            <w:r/>
            <w:r>
              <w:rPr>
                <w:color w:val="363B3B"/>
                <w:sz w:val="18"/>
              </w:rPr>
              <w:t>card-clinical-summary</w:t>
            </w:r>
          </w:p>
        </w:tc>
        <w:tc>
          <w:tcPr>
            <w:tcW w:type="dxa" w:w="1814"/>
            <w:shd w:fill="F8F8F8"/>
          </w:tcPr>
          <w:p>
            <w:r/>
            <w:r>
              <w:rPr>
                <w:color w:val="363B3B"/>
                <w:sz w:val="18"/>
              </w:rPr>
              <w:t>https://revantha-images.pages.dev/resource-education.jpeg</w:t>
            </w:r>
          </w:p>
        </w:tc>
        <w:tc>
          <w:tcPr>
            <w:tcW w:type="dxa" w:w="1814"/>
            <w:shd w:fill="F8F8F8"/>
          </w:tcPr>
          <w:p>
            <w:r/>
            <w:r>
              <w:rPr>
                <w:color w:val="363B3B"/>
                <w:sz w:val="18"/>
              </w:rPr>
              <w:t>800×600</w:t>
            </w:r>
          </w:p>
        </w:tc>
        <w:tc>
          <w:tcPr>
            <w:tcW w:type="dxa" w:w="1814"/>
            <w:shd w:fill="F8F8F8"/>
          </w:tcPr>
          <w:p>
            <w:r/>
            <w:r>
              <w:rPr>
                <w:color w:val="363B3B"/>
                <w:sz w:val="18"/>
              </w:rPr>
              <w:t>Resources — clinical data card</w:t>
            </w:r>
          </w:p>
        </w:tc>
      </w:tr>
      <w:tr>
        <w:tc>
          <w:tcPr>
            <w:tcW w:type="dxa" w:w="1814"/>
          </w:tcPr>
          <w:p>
            <w:r/>
            <w:r>
              <w:rPr>
                <w:color w:val="363B3B"/>
                <w:sz w:val="18"/>
              </w:rPr>
              <w:t>13</w:t>
            </w:r>
          </w:p>
        </w:tc>
        <w:tc>
          <w:tcPr>
            <w:tcW w:type="dxa" w:w="1814"/>
          </w:tcPr>
          <w:p>
            <w:r/>
            <w:r>
              <w:rPr>
                <w:color w:val="363B3B"/>
                <w:sz w:val="18"/>
              </w:rPr>
              <w:t>card-patient</w:t>
            </w:r>
          </w:p>
        </w:tc>
        <w:tc>
          <w:tcPr>
            <w:tcW w:type="dxa" w:w="1814"/>
          </w:tcPr>
          <w:p>
            <w:r/>
            <w:r>
              <w:rPr>
                <w:color w:val="363B3B"/>
                <w:sz w:val="18"/>
              </w:rPr>
              <w:t>https://novapril-images.pages.dev/resource-patient.jpeg</w:t>
            </w:r>
          </w:p>
        </w:tc>
        <w:tc>
          <w:tcPr>
            <w:tcW w:type="dxa" w:w="1814"/>
          </w:tcPr>
          <w:p>
            <w:r/>
            <w:r>
              <w:rPr>
                <w:color w:val="363B3B"/>
                <w:sz w:val="18"/>
              </w:rPr>
              <w:t>800×600</w:t>
            </w:r>
          </w:p>
        </w:tc>
        <w:tc>
          <w:tcPr>
            <w:tcW w:type="dxa" w:w="1814"/>
          </w:tcPr>
          <w:p>
            <w:r/>
            <w:r>
              <w:rPr>
                <w:color w:val="363B3B"/>
                <w:sz w:val="18"/>
              </w:rPr>
              <w:t>Resources — patient materials card</w:t>
            </w:r>
          </w:p>
        </w:tc>
      </w:tr>
      <w:tr>
        <w:tc>
          <w:tcPr>
            <w:tcW w:type="dxa" w:w="1814"/>
            <w:shd w:fill="F8F8F8"/>
          </w:tcPr>
          <w:p>
            <w:r/>
            <w:r>
              <w:rPr>
                <w:color w:val="363B3B"/>
                <w:sz w:val="18"/>
              </w:rPr>
              <w:t>14</w:t>
            </w:r>
          </w:p>
        </w:tc>
        <w:tc>
          <w:tcPr>
            <w:tcW w:type="dxa" w:w="1814"/>
            <w:shd w:fill="F8F8F8"/>
          </w:tcPr>
          <w:p>
            <w:r/>
            <w:r>
              <w:rPr>
                <w:color w:val="363B3B"/>
                <w:sz w:val="18"/>
              </w:rPr>
              <w:t>columns-moa-preview</w:t>
            </w:r>
          </w:p>
        </w:tc>
        <w:tc>
          <w:tcPr>
            <w:tcW w:type="dxa" w:w="1814"/>
            <w:shd w:fill="F8F8F8"/>
          </w:tcPr>
          <w:p>
            <w:r/>
            <w:r>
              <w:rPr>
                <w:color w:val="363B3B"/>
                <w:sz w:val="18"/>
              </w:rPr>
              <w:t>https://eluvion-images.pages.dev/drug-mechanism.jpeg</w:t>
            </w:r>
          </w:p>
        </w:tc>
        <w:tc>
          <w:tcPr>
            <w:tcW w:type="dxa" w:w="1814"/>
            <w:shd w:fill="F8F8F8"/>
          </w:tcPr>
          <w:p>
            <w:r/>
            <w:r>
              <w:rPr>
                <w:color w:val="363B3B"/>
                <w:sz w:val="18"/>
              </w:rPr>
              <w:t>800×600</w:t>
            </w:r>
          </w:p>
        </w:tc>
        <w:tc>
          <w:tcPr>
            <w:tcW w:type="dxa" w:w="1814"/>
            <w:shd w:fill="F8F8F8"/>
          </w:tcPr>
          <w:p>
            <w:r/>
            <w:r>
              <w:rPr>
                <w:color w:val="363B3B"/>
                <w:sz w:val="18"/>
              </w:rPr>
              <w:t>Home — MoA teaser</w:t>
            </w:r>
          </w:p>
        </w:tc>
      </w:tr>
      <w:tr>
        <w:tc>
          <w:tcPr>
            <w:tcW w:type="dxa" w:w="1814"/>
          </w:tcPr>
          <w:p>
            <w:r/>
            <w:r>
              <w:rPr>
                <w:color w:val="363B3B"/>
                <w:sz w:val="18"/>
              </w:rPr>
              <w:t>15</w:t>
            </w:r>
          </w:p>
        </w:tc>
        <w:tc>
          <w:tcPr>
            <w:tcW w:type="dxa" w:w="1814"/>
          </w:tcPr>
          <w:p>
            <w:r/>
            <w:r>
              <w:rPr>
                <w:color w:val="363B3B"/>
                <w:sz w:val="18"/>
              </w:rPr>
              <w:t>columns-kidney-pathway</w:t>
            </w:r>
          </w:p>
        </w:tc>
        <w:tc>
          <w:tcPr>
            <w:tcW w:type="dxa" w:w="1814"/>
          </w:tcPr>
          <w:p>
            <w:r/>
            <w:r>
              <w:rPr>
                <w:color w:val="363B3B"/>
                <w:sz w:val="18"/>
              </w:rPr>
              <w:t>https://eluvion-images.pages.dev/pathway-disease.jpeg</w:t>
            </w:r>
          </w:p>
        </w:tc>
        <w:tc>
          <w:tcPr>
            <w:tcW w:type="dxa" w:w="1814"/>
          </w:tcPr>
          <w:p>
            <w:r/>
            <w:r>
              <w:rPr>
                <w:color w:val="363B3B"/>
                <w:sz w:val="18"/>
              </w:rPr>
              <w:t>800×600</w:t>
            </w:r>
          </w:p>
        </w:tc>
        <w:tc>
          <w:tcPr>
            <w:tcW w:type="dxa" w:w="1814"/>
          </w:tcPr>
          <w:p>
            <w:r/>
            <w:r>
              <w:rPr>
                <w:color w:val="363B3B"/>
                <w:sz w:val="18"/>
              </w:rPr>
              <w:t>MoA — kidney pathway</w:t>
            </w:r>
          </w:p>
        </w:tc>
      </w:tr>
      <w:tr>
        <w:tc>
          <w:tcPr>
            <w:tcW w:type="dxa" w:w="1814"/>
            <w:shd w:fill="F8F8F8"/>
          </w:tcPr>
          <w:p>
            <w:r/>
            <w:r>
              <w:rPr>
                <w:color w:val="363B3B"/>
                <w:sz w:val="18"/>
              </w:rPr>
              <w:t>16</w:t>
            </w:r>
          </w:p>
        </w:tc>
        <w:tc>
          <w:tcPr>
            <w:tcW w:type="dxa" w:w="1814"/>
            <w:shd w:fill="F8F8F8"/>
          </w:tcPr>
          <w:p>
            <w:r/>
            <w:r>
              <w:rPr>
                <w:color w:val="363B3B"/>
                <w:sz w:val="18"/>
              </w:rPr>
              <w:t>columns-mr-blockade</w:t>
            </w:r>
          </w:p>
        </w:tc>
        <w:tc>
          <w:tcPr>
            <w:tcW w:type="dxa" w:w="1814"/>
            <w:shd w:fill="F8F8F8"/>
          </w:tcPr>
          <w:p>
            <w:r/>
            <w:r>
              <w:rPr>
                <w:color w:val="363B3B"/>
                <w:sz w:val="18"/>
              </w:rPr>
              <w:t>https://eluvion-images.pages.dev/pathway-cascade.jpeg</w:t>
            </w:r>
          </w:p>
        </w:tc>
        <w:tc>
          <w:tcPr>
            <w:tcW w:type="dxa" w:w="1814"/>
            <w:shd w:fill="F8F8F8"/>
          </w:tcPr>
          <w:p>
            <w:r/>
            <w:r>
              <w:rPr>
                <w:color w:val="363B3B"/>
                <w:sz w:val="18"/>
              </w:rPr>
              <w:t>800×600</w:t>
            </w:r>
          </w:p>
        </w:tc>
        <w:tc>
          <w:tcPr>
            <w:tcW w:type="dxa" w:w="1814"/>
            <w:shd w:fill="F8F8F8"/>
          </w:tcPr>
          <w:p>
            <w:r/>
            <w:r>
              <w:rPr>
                <w:color w:val="363B3B"/>
                <w:sz w:val="18"/>
              </w:rPr>
              <w:t>MoA — MR blockade</w:t>
            </w:r>
          </w:p>
        </w:tc>
      </w:tr>
      <w:tr>
        <w:tc>
          <w:tcPr>
            <w:tcW w:type="dxa" w:w="1814"/>
          </w:tcPr>
          <w:p>
            <w:r/>
            <w:r>
              <w:rPr>
                <w:color w:val="363B3B"/>
                <w:sz w:val="18"/>
              </w:rPr>
              <w:t>17</w:t>
            </w:r>
          </w:p>
        </w:tc>
        <w:tc>
          <w:tcPr>
            <w:tcW w:type="dxa" w:w="1814"/>
          </w:tcPr>
          <w:p>
            <w:r/>
            <w:r>
              <w:rPr>
                <w:color w:val="363B3B"/>
                <w:sz w:val="18"/>
              </w:rPr>
              <w:t>columns-dosing</w:t>
            </w:r>
          </w:p>
        </w:tc>
        <w:tc>
          <w:tcPr>
            <w:tcW w:type="dxa" w:w="1814"/>
          </w:tcPr>
          <w:p>
            <w:r/>
            <w:r>
              <w:rPr>
                <w:color w:val="363B3B"/>
                <w:sz w:val="18"/>
              </w:rPr>
              <w:t>https://zenturis-images.pages.dev/columns-dose-adjust.jpeg</w:t>
            </w:r>
          </w:p>
        </w:tc>
        <w:tc>
          <w:tcPr>
            <w:tcW w:type="dxa" w:w="1814"/>
          </w:tcPr>
          <w:p>
            <w:r/>
            <w:r>
              <w:rPr>
                <w:color w:val="363B3B"/>
                <w:sz w:val="18"/>
              </w:rPr>
              <w:t>800×600</w:t>
            </w:r>
          </w:p>
        </w:tc>
        <w:tc>
          <w:tcPr>
            <w:tcW w:type="dxa" w:w="1814"/>
          </w:tcPr>
          <w:p>
            <w:r/>
            <w:r>
              <w:rPr>
                <w:color w:val="363B3B"/>
                <w:sz w:val="18"/>
              </w:rPr>
              <w:t>Dosing — titration</w:t>
            </w:r>
          </w:p>
        </w:tc>
      </w:tr>
      <w:tr>
        <w:tc>
          <w:tcPr>
            <w:tcW w:type="dxa" w:w="1814"/>
            <w:shd w:fill="F8F8F8"/>
          </w:tcPr>
          <w:p>
            <w:r/>
            <w:r>
              <w:rPr>
                <w:color w:val="363B3B"/>
                <w:sz w:val="18"/>
              </w:rPr>
              <w:t>18</w:t>
            </w:r>
          </w:p>
        </w:tc>
        <w:tc>
          <w:tcPr>
            <w:tcW w:type="dxa" w:w="1814"/>
            <w:shd w:fill="F8F8F8"/>
          </w:tcPr>
          <w:p>
            <w:r/>
            <w:r>
              <w:rPr>
                <w:color w:val="363B3B"/>
                <w:sz w:val="18"/>
              </w:rPr>
              <w:t>columns-admin</w:t>
            </w:r>
          </w:p>
        </w:tc>
        <w:tc>
          <w:tcPr>
            <w:tcW w:type="dxa" w:w="1814"/>
            <w:shd w:fill="F8F8F8"/>
          </w:tcPr>
          <w:p>
            <w:r/>
            <w:r>
              <w:rPr>
                <w:color w:val="363B3B"/>
                <w:sz w:val="18"/>
              </w:rPr>
              <w:t>https://zenturis-images.pages.dev/columns-admin.jpeg</w:t>
            </w:r>
          </w:p>
        </w:tc>
        <w:tc>
          <w:tcPr>
            <w:tcW w:type="dxa" w:w="1814"/>
            <w:shd w:fill="F8F8F8"/>
          </w:tcPr>
          <w:p>
            <w:r/>
            <w:r>
              <w:rPr>
                <w:color w:val="363B3B"/>
                <w:sz w:val="18"/>
              </w:rPr>
              <w:t>800×600</w:t>
            </w:r>
          </w:p>
        </w:tc>
        <w:tc>
          <w:tcPr>
            <w:tcW w:type="dxa" w:w="1814"/>
            <w:shd w:fill="F8F8F8"/>
          </w:tcPr>
          <w:p>
            <w:r/>
            <w:r>
              <w:rPr>
                <w:color w:val="363B3B"/>
                <w:sz w:val="18"/>
              </w:rPr>
              <w:t>Dosing — administration</w:t>
            </w:r>
          </w:p>
        </w:tc>
      </w:tr>
      <w:tr>
        <w:tc>
          <w:tcPr>
            <w:tcW w:type="dxa" w:w="1814"/>
          </w:tcPr>
          <w:p>
            <w:r/>
            <w:r>
              <w:rPr>
                <w:color w:val="363B3B"/>
                <w:sz w:val="18"/>
              </w:rPr>
              <w:t>19</w:t>
            </w:r>
          </w:p>
        </w:tc>
        <w:tc>
          <w:tcPr>
            <w:tcW w:type="dxa" w:w="1814"/>
          </w:tcPr>
          <w:p>
            <w:r/>
            <w:r>
              <w:rPr>
                <w:color w:val="363B3B"/>
                <w:sz w:val="18"/>
              </w:rPr>
              <w:t>columns-monitoring</w:t>
            </w:r>
          </w:p>
        </w:tc>
        <w:tc>
          <w:tcPr>
            <w:tcW w:type="dxa" w:w="1814"/>
          </w:tcPr>
          <w:p>
            <w:r/>
            <w:r>
              <w:rPr>
                <w:color w:val="363B3B"/>
                <w:sz w:val="18"/>
              </w:rPr>
              <w:t>https://lumivex-images.pages.dev/columns-monitoring.jpeg</w:t>
            </w:r>
          </w:p>
        </w:tc>
        <w:tc>
          <w:tcPr>
            <w:tcW w:type="dxa" w:w="1814"/>
          </w:tcPr>
          <w:p>
            <w:r/>
            <w:r>
              <w:rPr>
                <w:color w:val="363B3B"/>
                <w:sz w:val="18"/>
              </w:rPr>
              <w:t>800×600</w:t>
            </w:r>
          </w:p>
        </w:tc>
        <w:tc>
          <w:tcPr>
            <w:tcW w:type="dxa" w:w="1814"/>
          </w:tcPr>
          <w:p>
            <w:r/>
            <w:r>
              <w:rPr>
                <w:color w:val="363B3B"/>
                <w:sz w:val="18"/>
              </w:rPr>
              <w:t>Dosing — monitoring</w:t>
            </w:r>
          </w:p>
        </w:tc>
      </w:tr>
      <w:tr>
        <w:tc>
          <w:tcPr>
            <w:tcW w:type="dxa" w:w="1814"/>
            <w:shd w:fill="F8F8F8"/>
          </w:tcPr>
          <w:p>
            <w:r/>
            <w:r>
              <w:rPr>
                <w:color w:val="363B3B"/>
                <w:sz w:val="18"/>
              </w:rPr>
              <w:t>20</w:t>
            </w:r>
          </w:p>
        </w:tc>
        <w:tc>
          <w:tcPr>
            <w:tcW w:type="dxa" w:w="1814"/>
            <w:shd w:fill="F8F8F8"/>
          </w:tcPr>
          <w:p>
            <w:r/>
            <w:r>
              <w:rPr>
                <w:color w:val="363B3B"/>
                <w:sz w:val="18"/>
              </w:rPr>
              <w:t>columns-special-pops</w:t>
            </w:r>
          </w:p>
        </w:tc>
        <w:tc>
          <w:tcPr>
            <w:tcW w:type="dxa" w:w="1814"/>
            <w:shd w:fill="F8F8F8"/>
          </w:tcPr>
          <w:p>
            <w:r/>
            <w:r>
              <w:rPr>
                <w:color w:val="363B3B"/>
                <w:sz w:val="18"/>
              </w:rPr>
              <w:t>https://revantha-images.pages.dev/patient-support.jpeg</w:t>
            </w:r>
          </w:p>
        </w:tc>
        <w:tc>
          <w:tcPr>
            <w:tcW w:type="dxa" w:w="1814"/>
            <w:shd w:fill="F8F8F8"/>
          </w:tcPr>
          <w:p>
            <w:r/>
            <w:r>
              <w:rPr>
                <w:color w:val="363B3B"/>
                <w:sz w:val="18"/>
              </w:rPr>
              <w:t>800×600</w:t>
            </w:r>
          </w:p>
        </w:tc>
        <w:tc>
          <w:tcPr>
            <w:tcW w:type="dxa" w:w="1814"/>
            <w:shd w:fill="F8F8F8"/>
          </w:tcPr>
          <w:p>
            <w:r/>
            <w:r>
              <w:rPr>
                <w:color w:val="363B3B"/>
                <w:sz w:val="18"/>
              </w:rPr>
              <w:t>Safety — special populations</w:t>
            </w:r>
          </w:p>
        </w:tc>
      </w:tr>
      <w:tr>
        <w:tc>
          <w:tcPr>
            <w:tcW w:type="dxa" w:w="1814"/>
          </w:tcPr>
          <w:p>
            <w:r/>
            <w:r>
              <w:rPr>
                <w:color w:val="363B3B"/>
                <w:sz w:val="18"/>
              </w:rPr>
              <w:t>21</w:t>
            </w:r>
          </w:p>
        </w:tc>
        <w:tc>
          <w:tcPr>
            <w:tcW w:type="dxa" w:w="1814"/>
          </w:tcPr>
          <w:p>
            <w:r/>
            <w:r>
              <w:rPr>
                <w:color w:val="363B3B"/>
                <w:sz w:val="18"/>
              </w:rPr>
              <w:t>columns-contact</w:t>
            </w:r>
          </w:p>
        </w:tc>
        <w:tc>
          <w:tcPr>
            <w:tcW w:type="dxa" w:w="1814"/>
          </w:tcPr>
          <w:p>
            <w:r/>
            <w:r>
              <w:rPr>
                <w:color w:val="363B3B"/>
                <w:sz w:val="18"/>
              </w:rPr>
              <w:t>https://revantha-images.pages.dev/contact-support.jpeg</w:t>
            </w:r>
          </w:p>
        </w:tc>
        <w:tc>
          <w:tcPr>
            <w:tcW w:type="dxa" w:w="1814"/>
          </w:tcPr>
          <w:p>
            <w:r/>
            <w:r>
              <w:rPr>
                <w:color w:val="363B3B"/>
                <w:sz w:val="18"/>
              </w:rPr>
              <w:t>800×600</w:t>
            </w:r>
          </w:p>
        </w:tc>
        <w:tc>
          <w:tcPr>
            <w:tcW w:type="dxa" w:w="1814"/>
          </w:tcPr>
          <w:p>
            <w:r/>
            <w:r>
              <w:rPr>
                <w:color w:val="363B3B"/>
                <w:sz w:val="18"/>
              </w:rPr>
              <w:t>Resources — contact</w:t>
            </w:r>
          </w:p>
        </w:tc>
      </w:tr>
      <w:tr>
        <w:tc>
          <w:tcPr>
            <w:tcW w:type="dxa" w:w="1814"/>
            <w:shd w:fill="F8F8F8"/>
          </w:tcPr>
          <w:p>
            <w:r/>
            <w:r>
              <w:rPr>
                <w:color w:val="363B3B"/>
                <w:sz w:val="18"/>
              </w:rPr>
              <w:t>22</w:t>
            </w:r>
          </w:p>
        </w:tc>
        <w:tc>
          <w:tcPr>
            <w:tcW w:type="dxa" w:w="1814"/>
            <w:shd w:fill="F8F8F8"/>
          </w:tcPr>
          <w:p>
            <w:r/>
            <w:r>
              <w:rPr>
                <w:color w:val="363B3B"/>
                <w:sz w:val="18"/>
              </w:rPr>
              <w:t>tab-renova-ckd</w:t>
            </w:r>
          </w:p>
        </w:tc>
        <w:tc>
          <w:tcPr>
            <w:tcW w:type="dxa" w:w="1814"/>
            <w:shd w:fill="F8F8F8"/>
          </w:tcPr>
          <w:p>
            <w:r/>
            <w:r>
              <w:rPr>
                <w:color w:val="363B3B"/>
                <w:sz w:val="18"/>
              </w:rPr>
              <w:t>https://zenturis-images.pages.dev/tab-zenith1.jpeg</w:t>
            </w:r>
          </w:p>
        </w:tc>
        <w:tc>
          <w:tcPr>
            <w:tcW w:type="dxa" w:w="1814"/>
            <w:shd w:fill="F8F8F8"/>
          </w:tcPr>
          <w:p>
            <w:r/>
            <w:r>
              <w:rPr>
                <w:color w:val="363B3B"/>
                <w:sz w:val="18"/>
              </w:rPr>
              <w:t>800×600</w:t>
            </w:r>
          </w:p>
        </w:tc>
        <w:tc>
          <w:tcPr>
            <w:tcW w:type="dxa" w:w="1814"/>
            <w:shd w:fill="F8F8F8"/>
          </w:tcPr>
          <w:p>
            <w:r/>
            <w:r>
              <w:rPr>
                <w:color w:val="363B3B"/>
                <w:sz w:val="18"/>
              </w:rPr>
              <w:t>RENOVA Data — CKD tab</w:t>
            </w:r>
          </w:p>
        </w:tc>
      </w:tr>
      <w:tr>
        <w:tc>
          <w:tcPr>
            <w:tcW w:type="dxa" w:w="1814"/>
          </w:tcPr>
          <w:p>
            <w:r/>
            <w:r>
              <w:rPr>
                <w:color w:val="363B3B"/>
                <w:sz w:val="18"/>
              </w:rPr>
              <w:t>23</w:t>
            </w:r>
          </w:p>
        </w:tc>
        <w:tc>
          <w:tcPr>
            <w:tcW w:type="dxa" w:w="1814"/>
          </w:tcPr>
          <w:p>
            <w:r/>
            <w:r>
              <w:rPr>
                <w:color w:val="363B3B"/>
                <w:sz w:val="18"/>
              </w:rPr>
              <w:t>tab-renova-hf</w:t>
            </w:r>
          </w:p>
        </w:tc>
        <w:tc>
          <w:tcPr>
            <w:tcW w:type="dxa" w:w="1814"/>
          </w:tcPr>
          <w:p>
            <w:r/>
            <w:r>
              <w:rPr>
                <w:color w:val="363B3B"/>
                <w:sz w:val="18"/>
              </w:rPr>
              <w:t>https://zenturis-images.pages.dev/tab-zenith2.jpeg</w:t>
            </w:r>
          </w:p>
        </w:tc>
        <w:tc>
          <w:tcPr>
            <w:tcW w:type="dxa" w:w="1814"/>
          </w:tcPr>
          <w:p>
            <w:r/>
            <w:r>
              <w:rPr>
                <w:color w:val="363B3B"/>
                <w:sz w:val="18"/>
              </w:rPr>
              <w:t>800×600</w:t>
            </w:r>
          </w:p>
        </w:tc>
        <w:tc>
          <w:tcPr>
            <w:tcW w:type="dxa" w:w="1814"/>
          </w:tcPr>
          <w:p>
            <w:r/>
            <w:r>
              <w:rPr>
                <w:color w:val="363B3B"/>
                <w:sz w:val="18"/>
              </w:rPr>
              <w:t>RENOVA Data — HF tab</w:t>
            </w:r>
          </w:p>
        </w:tc>
      </w:tr>
      <w:tr>
        <w:tc>
          <w:tcPr>
            <w:tcW w:type="dxa" w:w="1814"/>
            <w:shd w:fill="F8F8F8"/>
          </w:tcPr>
          <w:p>
            <w:r/>
            <w:r>
              <w:rPr>
                <w:color w:val="363B3B"/>
                <w:sz w:val="18"/>
              </w:rPr>
              <w:t>24</w:t>
            </w:r>
          </w:p>
        </w:tc>
        <w:tc>
          <w:tcPr>
            <w:tcW w:type="dxa" w:w="1814"/>
            <w:shd w:fill="F8F8F8"/>
          </w:tcPr>
          <w:p>
            <w:r/>
            <w:r>
              <w:rPr>
                <w:color w:val="363B3B"/>
                <w:sz w:val="18"/>
              </w:rPr>
              <w:t>astrazeneca-logo</w:t>
            </w:r>
          </w:p>
        </w:tc>
        <w:tc>
          <w:tcPr>
            <w:tcW w:type="dxa" w:w="1814"/>
            <w:shd w:fill="F8F8F8"/>
          </w:tcPr>
          <w:p>
            <w:r/>
            <w:r>
              <w:rPr>
                <w:color w:val="363B3B"/>
                <w:sz w:val="18"/>
              </w:rPr>
              <w:t>https://novapril-images.pages.dev/astrazeneca-logo.svg</w:t>
            </w:r>
          </w:p>
        </w:tc>
        <w:tc>
          <w:tcPr>
            <w:tcW w:type="dxa" w:w="1814"/>
            <w:shd w:fill="F8F8F8"/>
          </w:tcPr>
          <w:p>
            <w:r/>
            <w:r>
              <w:rPr>
                <w:color w:val="363B3B"/>
                <w:sz w:val="18"/>
              </w:rPr>
              <w:t>Various</w:t>
            </w:r>
          </w:p>
        </w:tc>
        <w:tc>
          <w:tcPr>
            <w:tcW w:type="dxa" w:w="1814"/>
            <w:shd w:fill="F8F8F8"/>
          </w:tcPr>
          <w:p>
            <w:r/>
            <w:r>
              <w:rPr>
                <w:color w:val="363B3B"/>
                <w:sz w:val="18"/>
              </w:rPr>
              <w:t>Header/footer logo</w:t>
            </w:r>
          </w:p>
        </w:tc>
      </w:tr>
      <w:tr>
        <w:tc>
          <w:tcPr>
            <w:tcW w:type="dxa" w:w="1814"/>
          </w:tcPr>
          <w:p>
            <w:r/>
            <w:r>
              <w:rPr>
                <w:color w:val="363B3B"/>
                <w:sz w:val="18"/>
              </w:rPr>
              <w:t>25</w:t>
            </w:r>
          </w:p>
        </w:tc>
        <w:tc>
          <w:tcPr>
            <w:tcW w:type="dxa" w:w="1814"/>
          </w:tcPr>
          <w:p>
            <w:r/>
            <w:r>
              <w:rPr>
                <w:color w:val="363B3B"/>
                <w:sz w:val="18"/>
              </w:rPr>
              <w:t>search</w:t>
            </w:r>
          </w:p>
        </w:tc>
        <w:tc>
          <w:tcPr>
            <w:tcW w:type="dxa" w:w="1814"/>
          </w:tcPr>
          <w:p>
            <w:r/>
            <w:r>
              <w:rPr>
                <w:color w:val="363B3B"/>
                <w:sz w:val="18"/>
              </w:rPr>
              <w:t>https://revantha-images.pages.dev/search.svg</w:t>
            </w:r>
          </w:p>
        </w:tc>
        <w:tc>
          <w:tcPr>
            <w:tcW w:type="dxa" w:w="1814"/>
          </w:tcPr>
          <w:p>
            <w:r/>
            <w:r>
              <w:rPr>
                <w:color w:val="363B3B"/>
                <w:sz w:val="18"/>
              </w:rPr>
              <w:t>Various</w:t>
            </w:r>
          </w:p>
        </w:tc>
        <w:tc>
          <w:tcPr>
            <w:tcW w:type="dxa" w:w="1814"/>
          </w:tcPr>
          <w:p>
            <w:r/>
            <w:r>
              <w:rPr>
                <w:color w:val="363B3B"/>
                <w:sz w:val="18"/>
              </w:rPr>
              <w:t>Header search icon</w:t>
            </w:r>
          </w:p>
        </w:tc>
      </w:tr>
    </w:tbl>
    <w:p/>
    <w:p>
      <w:pPr>
        <w:pStyle w:val="Heading2"/>
      </w:pPr>
      <w:r>
        <w:rPr>
          <w:color w:val="830051"/>
        </w:rPr>
        <w:t>Source site cross-reference</w:t>
      </w:r>
    </w:p>
    <w:p>
      <w:pPr>
        <w:pStyle w:val="ListBullet"/>
      </w:pPr>
      <w:r>
        <w:rPr>
          <w:b/>
          <w:sz w:val="20"/>
        </w:rPr>
        <w:t xml:space="preserve">novapril-images.pages.dev: </w:t>
      </w:r>
      <w:r>
        <w:rPr>
          <w:sz w:val="20"/>
        </w:rPr>
        <w:t>NOVAPRIL (SLE/Lupus) — Lifestyle portraits, kidney-related imagery</w:t>
      </w:r>
    </w:p>
    <w:p>
      <w:pPr>
        <w:pStyle w:val="ListBullet"/>
      </w:pPr>
      <w:r>
        <w:rPr>
          <w:b/>
          <w:sz w:val="20"/>
        </w:rPr>
        <w:t xml:space="preserve">zenturis-images.pages.dev: </w:t>
      </w:r>
      <w:r>
        <w:rPr>
          <w:sz w:val="20"/>
        </w:rPr>
        <w:t>ZENTURIS (Type 2 Diabetes) — Metabolic data visualisations, tablet dosing</w:t>
      </w:r>
    </w:p>
    <w:p>
      <w:pPr>
        <w:pStyle w:val="ListBullet"/>
      </w:pPr>
      <w:r>
        <w:rPr>
          <w:b/>
          <w:sz w:val="20"/>
        </w:rPr>
        <w:t xml:space="preserve">eluvion-images.pages.dev: </w:t>
      </w:r>
      <w:r>
        <w:rPr>
          <w:sz w:val="20"/>
        </w:rPr>
        <w:t>ELUVION (Renal Cell Carcinoma) — Renal/kidney mechanism imagery</w:t>
      </w:r>
    </w:p>
    <w:p>
      <w:pPr>
        <w:pStyle w:val="ListBullet"/>
      </w:pPr>
      <w:r>
        <w:rPr>
          <w:b/>
          <w:sz w:val="20"/>
        </w:rPr>
        <w:t xml:space="preserve">novatrel-images.pages.dev: </w:t>
      </w:r>
      <w:r>
        <w:rPr>
          <w:sz w:val="20"/>
        </w:rPr>
        <w:t>NOVATREL (NSCLC) — Survival data viz, resource cards, editorial photography</w:t>
      </w:r>
    </w:p>
    <w:p>
      <w:pPr>
        <w:pStyle w:val="ListBullet"/>
      </w:pPr>
      <w:r>
        <w:rPr>
          <w:b/>
          <w:sz w:val="20"/>
        </w:rPr>
        <w:t xml:space="preserve">lumivex-images.pages.dev: </w:t>
      </w:r>
      <w:r>
        <w:rPr>
          <w:sz w:val="20"/>
        </w:rPr>
        <w:t>LUMIVEX (Psoriasis) — Monitoring guidance imagery</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63B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300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3005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83005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