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line="240" w:lineRule="auto"/>
        <w:jc w:val="center"/>
      </w:pPr>
      <w:r>
        <w:rPr>
          <w:rFonts w:ascii="Arial Narrow" w:hAnsi="Arial Narrow" w:cs="Arial Narrow" w:eastAsia="Arial Narrow"/>
          <w:b/>
          <w:sz w:val="32"/>
        </w:rPr>
        <w:t>TIP-QUEZON CITY</w:t>
      </w:r>
    </w:p>
    <w:p>
      <w:pPr>
        <w:spacing w:line="240" w:lineRule="auto"/>
        <w:jc w:val="center"/>
      </w:pPr>
      <w:r>
        <w:rPr>
          <w:rFonts w:ascii="Arial Narrow" w:hAnsi="Arial Narrow" w:cs="Arial Narrow" w:eastAsia="Arial Narrow"/>
          <w:b/>
          <w:sz w:val="32"/>
        </w:rPr>
        <w:t>College of Information Technology Education</w:t>
      </w:r>
    </w:p>
    <w:p>
      <w:pPr>
        <w:spacing w:line="240" w:lineRule="auto"/>
        <w:jc w:val="center"/>
      </w:pPr>
      <w:r>
        <w:rPr>
          <w:rFonts w:ascii="Arial Narrow" w:hAnsi="Arial Narrow" w:cs="Arial Narrow" w:eastAsia="Arial Narrow"/>
          <w:b/>
          <w:sz w:val="32"/>
        </w:rPr>
        <w:t>Bachelor of Science in Information Technology</w:t>
      </w:r>
    </w:p>
    <w:p/>
    <w:p/>
    <w:p>
      <w:pPr>
        <w:spacing w:line="240" w:lineRule="auto"/>
        <w:jc w:val="center"/>
      </w:pPr>
      <w:r>
        <w:rPr>
          <w:rFonts w:ascii="Arial Narrow" w:hAnsi="Arial Narrow" w:cs="Arial Narrow" w:eastAsia="Arial Narrow"/>
          <w:b/>
          <w:sz w:val="28"/>
          <w:u w:val="single"/>
        </w:rPr>
        <w:t>MediCare Pro Hospital Management System</w:t>
        <w:br/>
        <w:t>Cyber Threat Model</w:t>
      </w:r>
    </w:p>
    <w:p/>
    <w:p/>
    <w:p>
      <w:pPr>
        <w:jc w:val="center"/>
      </w:pPr>
      <w:r>
        <w:t>In Partial Fulfillment of the Requirement of the Course</w:t>
        <w:br/>
        <w:t>Cyber Threat Modeling (IT024)</w:t>
      </w:r>
    </w:p>
    <w:p/>
    <w:p>
      <w:pPr>
        <w:jc w:val="center"/>
      </w:pPr>
      <w:r>
        <w:rPr>
          <w:b/>
        </w:rPr>
        <w:t>Presented by:</w:t>
      </w:r>
    </w:p>
    <w:p>
      <w:pPr>
        <w:jc w:val="center"/>
      </w:pPr>
      <w:r>
        <w:t>ESPINO, LUIS DAVID</w:t>
      </w:r>
    </w:p>
    <w:p>
      <w:pPr>
        <w:jc w:val="center"/>
      </w:pPr>
      <w:r>
        <w:t>EGIL, ABDULLAH IBN MUJAHID</w:t>
      </w:r>
    </w:p>
    <w:p>
      <w:pPr>
        <w:jc w:val="center"/>
      </w:pPr>
      <w:r>
        <w:t>ESTOLATAN, MC EARL</w:t>
      </w:r>
    </w:p>
    <w:p>
      <w:pPr>
        <w:jc w:val="center"/>
      </w:pPr>
      <w:r>
        <w:t>LIBAG, JOSHUA</w:t>
      </w:r>
    </w:p>
    <w:p>
      <w:pPr>
        <w:jc w:val="center"/>
      </w:pPr>
      <w:r>
        <w:t>PENOLA, JOHN PAUL</w:t>
      </w:r>
    </w:p>
    <w:p>
      <w:pPr>
        <w:jc w:val="center"/>
      </w:pPr>
      <w:r>
        <w:t>Section: IT41S5</w:t>
        <w:br/>
        <w:t>Group No. 3</w:t>
        <w:br/>
        <w:t>Presented to: MR. JEFFREY TAGOC</w:t>
        <w:br/>
        <w:t>Adviser</w:t>
        <w:br/>
        <w:t>October 5, 2026</w:t>
      </w:r>
    </w:p>
    <w:p>
      <w:r>
        <w:br w:type="page"/>
      </w:r>
    </w:p>
    <w:p>
      <w:pPr>
        <w:pStyle w:val="Heading1"/>
      </w:pPr>
      <w:r>
        <w:rPr>
          <w:rFonts w:ascii="Arial Narrow" w:hAnsi="Arial Narrow" w:cs="Arial Narrow" w:eastAsia="Arial Narrow"/>
          <w:b/>
          <w:sz w:val="28"/>
        </w:rPr>
        <w:t>Table of Contents</w:t>
      </w:r>
    </w:p>
    <w:p>
      <w:r>
        <w:t>Chapter 1. Company Name/System</w:t>
      </w:r>
    </w:p>
    <w:p>
      <w:r>
        <w:t>Chapter 2. Version</w:t>
      </w:r>
    </w:p>
    <w:p>
      <w:r>
        <w:t>Chapter 3. Document Owner</w:t>
      </w:r>
    </w:p>
    <w:p>
      <w:r>
        <w:t>Chapter 4. Description of the Company</w:t>
      </w:r>
    </w:p>
    <w:p>
      <w:r>
        <w:t>Chapter 5. Participants</w:t>
      </w:r>
    </w:p>
    <w:p>
      <w:r>
        <w:t>Chapter 6. Reviewers</w:t>
      </w:r>
    </w:p>
    <w:p>
      <w:r>
        <w:t>Chapter 7. External Dependencies</w:t>
      </w:r>
    </w:p>
    <w:p>
      <w:r>
        <w:t>Chapter 8. Use Scenarios</w:t>
      </w:r>
    </w:p>
    <w:p>
      <w:r>
        <w:t>Chapter 9. Roles</w:t>
      </w:r>
    </w:p>
    <w:p>
      <w:r>
        <w:t>Chapter 10. Assets</w:t>
      </w:r>
    </w:p>
    <w:p>
      <w:r>
        <w:t>Chapter 11. Activity Matrix</w:t>
      </w:r>
    </w:p>
    <w:p>
      <w:r>
        <w:t>Chapter 12. Trust Boundaries</w:t>
      </w:r>
    </w:p>
    <w:p>
      <w:r>
        <w:t>Chapter 13. Threats</w:t>
      </w:r>
    </w:p>
    <w:p>
      <w:r>
        <w:t>Chapter 14. Threat Trees and Abuse Cases</w:t>
      </w:r>
    </w:p>
    <w:p>
      <w:r>
        <w:t>Chapter 15. Plan Your Mitigations</w:t>
      </w:r>
    </w:p>
    <w:p>
      <w:r>
        <w:t>Note: The document covers Chapters 1–15 as requested. Chapters 16–19 from the course regulation are outside this requested submission.</w:t>
      </w:r>
    </w:p>
    <w:p>
      <w:r>
        <w:br w:type="page"/>
      </w:r>
    </w:p>
    <w:p>
      <w:pPr>
        <w:pStyle w:val="Heading1"/>
      </w:pPr>
      <w:r>
        <w:t>Chapter 1. Company Name/System</w:t>
      </w:r>
    </w:p>
    <w:p>
      <w:pPr>
        <w:pStyle w:val="Heading2"/>
      </w:pPr>
      <w:r>
        <w:t>1.1 Company Name</w:t>
      </w:r>
    </w:p>
    <w:p>
      <w:r>
        <w:t>MediCare Pro is a fictional healthcare organization that provides hospital and clinical services. The organization uses an online hospital management platform to support medical, administrative, and operational activities.</w:t>
      </w:r>
    </w:p>
    <w:p>
      <w:pPr>
        <w:pStyle w:val="Heading2"/>
      </w:pPr>
      <w:r>
        <w:t>1.2 System Name</w:t>
      </w:r>
    </w:p>
    <w:p>
      <w:r>
        <w:t>MediCare Pro Hospital Management System</w:t>
      </w:r>
    </w:p>
    <w:p>
      <w:pPr>
        <w:pStyle w:val="Heading2"/>
      </w:pPr>
      <w:r>
        <w:t>1.3 System Purpose</w:t>
      </w:r>
    </w:p>
    <w:p>
      <w:r>
        <w:t>The system is a web-based hospital management platform implemented as a Node.js/Express application with Firebase Authentication and Cloud Firestore. The repository also contains intentionally vulnerable security-learning pages and API endpoints for authorized penetration-testing activities.</w:t>
      </w:r>
    </w:p>
    <w:p>
      <w:pPr>
        <w:pStyle w:val="ListBullet"/>
      </w:pPr>
      <w:r>
        <w:t>Staff login and authentication</w:t>
      </w:r>
    </w:p>
    <w:p>
      <w:pPr>
        <w:pStyle w:val="ListBullet"/>
      </w:pPr>
      <w:r>
        <w:t>Dashboard and hospital activity information</w:t>
      </w:r>
    </w:p>
    <w:p>
      <w:pPr>
        <w:pStyle w:val="ListBullet"/>
      </w:pPr>
      <w:r>
        <w:t>Patient record and bed-management functions</w:t>
      </w:r>
    </w:p>
    <w:p>
      <w:pPr>
        <w:pStyle w:val="ListBullet"/>
      </w:pPr>
      <w:r>
        <w:t>Clinical notes</w:t>
      </w:r>
    </w:p>
    <w:p>
      <w:pPr>
        <w:pStyle w:val="ListBullet"/>
      </w:pPr>
      <w:r>
        <w:t>Laboratory report viewing</w:t>
      </w:r>
    </w:p>
    <w:p>
      <w:pPr>
        <w:pStyle w:val="ListBullet"/>
      </w:pPr>
      <w:r>
        <w:t>Staff profile management</w:t>
      </w:r>
    </w:p>
    <w:p>
      <w:pPr>
        <w:pStyle w:val="ListBullet"/>
      </w:pPr>
      <w:r>
        <w:t>Patient feedback</w:t>
      </w:r>
    </w:p>
    <w:p>
      <w:pPr>
        <w:pStyle w:val="ListBullet"/>
      </w:pPr>
      <w:r>
        <w:t>Hospital document management</w:t>
      </w:r>
    </w:p>
    <w:p>
      <w:pPr>
        <w:pStyle w:val="ListBullet"/>
      </w:pPr>
      <w:r>
        <w:t>Billing portal and invoice lookup</w:t>
      </w:r>
    </w:p>
    <w:p>
      <w:pPr>
        <w:pStyle w:val="ListBullet"/>
      </w:pPr>
      <w:r>
        <w:t>Hospital locations and directions</w:t>
      </w:r>
    </w:p>
    <w:p>
      <w:pPr>
        <w:pStyle w:val="ListBullet"/>
      </w:pPr>
      <w:r>
        <w:t>Drug information lookup through openFDA</w:t>
      </w:r>
    </w:p>
    <w:p>
      <w:pPr>
        <w:pStyle w:val="ListBullet"/>
      </w:pPr>
      <w:r>
        <w:t>AI assistant through a server-side Gemini API proxy</w:t>
      </w:r>
    </w:p>
    <w:p>
      <w:pPr>
        <w:pStyle w:val="ListBullet"/>
      </w:pPr>
      <w:r>
        <w:t>Security-learning labs for brute force, SQL injection, blind SQL injection, XSS, CSRF, file inclusion/path traversal, command execution, and shell upload</w:t>
      </w:r>
    </w:p>
    <w:p>
      <w:pPr>
        <w:pStyle w:val="Heading2"/>
      </w:pPr>
      <w:r>
        <w:t>1.4 Purpose of the Threat Model</w:t>
      </w:r>
    </w:p>
    <w:p>
      <w:r>
        <w:t>This threat model identifies assets, users, trust boundaries, threats, abuse cases, and mitigations for the current MediCare Pro implementation. The assessment distinguishes normal hospital-management functions from intentionally vulnerable training functions so that the weaknesses can be discussed as controlled security-learning scenarios.</w:t>
      </w:r>
    </w:p>
    <w:p>
      <w:r>
        <w:t>The course regulation requires a dummy website with a database and two penetration-testing activities: brute force and SQL injection. The current project uses Firebase Authentication/Cloud Firestore and includes dedicated security-learning pages that support those activities.</w:t>
      </w:r>
    </w:p>
    <w:p>
      <w:pPr>
        <w:pStyle w:val="Heading1"/>
      </w:pPr>
      <w:r>
        <w:t>Chapter 2. Version</w:t>
      </w:r>
    </w:p>
    <w:p>
      <w:r>
        <w:t>Document Version: 3.0</w:t>
      </w:r>
    </w:p>
    <w:p>
      <w:r>
        <w:t>This version updates the earlier draft to reflect the current MediCare Pro repository, its Express/Firebase architecture, the intentionally vulnerable training endpoints, and the required Chapters 11–15. The assessment basis is the current main branch of the project repository reviewed on October 5, 2026.</w:t>
      </w:r>
    </w:p>
    <w:p>
      <w:pPr/>
      <w:r>
        <w:rPr/>
        <w:t>Version 3.0 adds three findings from a line-by-line audit of api/forgot-password.js and api/google-login.js that the earlier draft did not cover: unauthenticated password-reset link disclosure (T18), demo-mode plaintext credential disclosure (T19), and uncontrolled Google account provisioning (T20). Each is carried through to a new abuse case (AC-11, AC-12, AC-13) and mitigation (M21, M22, M23), and the Chapter 15 traceability matrices were extended so every identifier resolves. Unlike the intentional training weaknesses, these three are genuine production defects.</w:t>
      </w:r>
    </w:p>
    <w:p>
      <w:r>
        <w:t>Future versions should be created when application architecture, authentication, authorization, database rules, deployment environment, security-lab behavior, or identified threats materially change.</w:t>
      </w:r>
    </w:p>
    <w:p>
      <w:pPr>
        <w:pStyle w:val="Heading1"/>
      </w:pPr>
      <w:r>
        <w:t>Chapter 3. Document Owner</w:t>
      </w:r>
    </w:p>
    <w:p>
      <w:r>
        <w:t>Document Owner: Sentinel Assurance Group</w:t>
      </w:r>
    </w:p>
    <w:p>
      <w:r>
        <w:t>Organization Type: Ethical Hacking and Cybersecurity Assessment Group</w:t>
      </w:r>
    </w:p>
    <w:p>
      <w:r>
        <w:t>Sentinel Assurance Group acts as the authorized security assessment team for the MediCare Pro training environment.</w:t>
      </w:r>
    </w:p>
    <w:p>
      <w:pPr>
        <w:pStyle w:val="ListBullet"/>
      </w:pPr>
      <w:r>
        <w:t>Obtain authorization before testing.</w:t>
      </w:r>
    </w:p>
    <w:p>
      <w:pPr>
        <w:pStyle w:val="ListBullet"/>
      </w:pPr>
      <w:r>
        <w:t>Test only the approved application, APIs, and training environment.</w:t>
      </w:r>
    </w:p>
    <w:p>
      <w:pPr>
        <w:pStyle w:val="ListBullet"/>
      </w:pPr>
      <w:r>
        <w:t>Use fictional/demo information only.</w:t>
      </w:r>
    </w:p>
    <w:p>
      <w:pPr>
        <w:pStyle w:val="ListBullet"/>
      </w:pPr>
      <w:r>
        <w:t>Avoid unnecessary destruction, persistence, or service disruption.</w:t>
      </w:r>
    </w:p>
    <w:p>
      <w:pPr>
        <w:pStyle w:val="ListBullet"/>
      </w:pPr>
      <w:r>
        <w:t>Protect credentials, tokens, and evidence collected during testing.</w:t>
      </w:r>
    </w:p>
    <w:p>
      <w:pPr>
        <w:pStyle w:val="ListBullet"/>
      </w:pPr>
      <w:r>
        <w:t>Document findings accurately and distinguish intentional lab vulnerabilities from production defects.</w:t>
      </w:r>
    </w:p>
    <w:p>
      <w:pPr>
        <w:pStyle w:val="ListBullet"/>
      </w:pPr>
      <w:r>
        <w:t>Recommend practical remediation and retest corrected controls.</w:t>
      </w:r>
    </w:p>
    <w:p>
      <w:pPr>
        <w:pStyle w:val="Heading1"/>
      </w:pPr>
      <w:r>
        <w:t>Chapter 4. Description of the Company</w:t>
      </w:r>
    </w:p>
    <w:p>
      <w:pPr>
        <w:pStyle w:val="Heading2"/>
      </w:pPr>
      <w:r>
        <w:t>4.1 Nature of the Business</w:t>
      </w:r>
    </w:p>
    <w:p>
      <w:r>
        <w:t>MediCare Pro represents a healthcare organization. Its personnel use the web platform to view and manage fictional patient information, clinical notes, laboratory information, admissions/bed data, staff profiles, feedback, documents, and billing-related information.</w:t>
      </w:r>
    </w:p>
    <w:p>
      <w:pPr>
        <w:pStyle w:val="Heading2"/>
      </w:pPr>
      <w:r>
        <w:t>4.2 Importance of the System</w:t>
      </w:r>
    </w:p>
    <w:p>
      <w:r>
        <w:t>The system processes information whose confidentiality and integrity are important. Incorrect patient or bed information could affect operational decisions, while unauthorized disclosure of clinical or billing information could create privacy and financial risks.</w:t>
      </w:r>
    </w:p>
    <w:p>
      <w:pPr>
        <w:pStyle w:val="Heading2"/>
      </w:pPr>
      <w:r>
        <w:t>4.3 Current Cybersecurity Issues</w:t>
      </w:r>
    </w:p>
    <w:tbl>
      <w:tblPr>
        <w:tblStyle w:val="TableGrid"/>
        <w:tblW w:type="auto" w:w="0"/>
        <w:jc w:val="center"/>
        <w:tblLayout w:type="fixed"/>
        <w:tblLook w:firstColumn="1" w:firstRow="1" w:lastColumn="0" w:lastRow="0" w:noHBand="0" w:noVBand="1" w:val="04A0"/>
      </w:tblPr>
      <w:tblGrid>
        <w:gridCol w:w="4320"/>
        <w:gridCol w:w="4320"/>
      </w:tblGrid>
      <w:tr>
        <w:tc>
          <w:tcPr>
            <w:tcW w:type="dxa" w:w="432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Area</w:t>
            </w:r>
          </w:p>
        </w:tc>
        <w:tc>
          <w:tcPr>
            <w:tcW w:type="dxa" w:w="432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Current implementation / security concern</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Authentication</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Firebase Authentication is used when configured. Login responses intentionally distinguish nonexistent users from incorrect passwords, creating username-enumeration risk. A legacy in-memory fallback also exists when Firebase is not configured.</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Authorization</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Firestore requires authentication, but patient records can be CRUD by any signed-in user. The rules do not implement fine-grained Administrator/Physician/Nurse/Radiologist/Lab Technician privileges.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SQL injection</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The normal `/api/sql` fallback is parameterized/simulated safely, but `/api/sql-blind` intentionally evaluates injection-like conditions and exposes a boolean oracle for training.</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XSS</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Stored-XSS training stores note content without sanitization and the project uses client-side rendering that is part of the lesson.</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CSRF</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`/api/csrf-update` intentionally accepts requests without CSRF-token or Origin/Referer validation and allows all origins.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File inclusion</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`/api/file` accepts a user-controlled path and reads files without restricting access to a safe base directory; simulated sensitive paths are included for training.</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Command execution</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`/api/execute` places the `host` parameter directly into a shell command through `execSync`, intentionally demonstrating command injection.</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File upload</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`/api/upload` accepts the filename without extension/content validation and explicitly demonstrates executable-file upload behavior.</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Sensitive data exposure</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Some error responses and training APIs reveal information useful to attackers. The billing endpoint also returns invoice records for known IDs without an authentication check.</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CORS / API exposure</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Several training and data endpoints set `Access-Control-Allow-Origin: *`, which is inappropriate for sensitive authenticated operations.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Secrets</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The Firebase service account is a privileged credential and must remain outside source control. Public Firebase web configuration is different from the secret service-account credential.</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External services</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The AI assistant sends user messages to Gemini server-side, while drug information is retrieved from openFDA. These integrations add external trust and availability dependencies.</w:t>
            </w:r>
          </w:p>
        </w:tc>
      </w:tr>
    </w:tbl>
    <w:p/>
    <w:p>
      <w:pPr>
        <w:pStyle w:val="Heading2"/>
      </w:pPr>
      <w:r>
        <w:t>4.4 Security Objectives</w:t>
      </w:r>
    </w:p>
    <w:p>
      <w:pPr>
        <w:pStyle w:val="ListBullet"/>
      </w:pPr>
      <w:r>
        <w:t>Confidentiality: restrict patient, staff, clinical, document, and billing information to authorized users.</w:t>
      </w:r>
    </w:p>
    <w:p>
      <w:pPr>
        <w:pStyle w:val="ListBullet"/>
      </w:pPr>
      <w:r>
        <w:t>Integrity: prevent unauthorized changes to records, profiles, notes, and system data.</w:t>
      </w:r>
    </w:p>
    <w:p>
      <w:pPr>
        <w:pStyle w:val="ListBullet"/>
      </w:pPr>
      <w:r>
        <w:t>Availability: keep the web application and dependent cloud services available to legitimate users.</w:t>
      </w:r>
    </w:p>
    <w:p>
      <w:pPr>
        <w:pStyle w:val="ListBullet"/>
      </w:pPr>
      <w:r>
        <w:t>Authentication: reliably establish the identity of staff users.</w:t>
      </w:r>
    </w:p>
    <w:p>
      <w:pPr>
        <w:pStyle w:val="ListBullet"/>
      </w:pPr>
      <w:r>
        <w:t>Authorization: enforce least privilege according to role and function.</w:t>
      </w:r>
    </w:p>
    <w:p>
      <w:pPr>
        <w:pStyle w:val="ListBullet"/>
      </w:pPr>
      <w:r>
        <w:t>Accountability: maintain useful security and activity records.</w:t>
      </w:r>
    </w:p>
    <w:p>
      <w:pPr>
        <w:pStyle w:val="ListBullet"/>
      </w:pPr>
      <w:r>
        <w:t>Privacy: protect fictional healthcare and staff information from unauthorized disclosure.</w:t>
      </w:r>
    </w:p>
    <w:p>
      <w:pPr>
        <w:pStyle w:val="ListBullet"/>
      </w:pPr>
      <w:r>
        <w:t>Controlled testing: preserve intentionally vulnerable functions only within the authorized training environment.</w:t>
      </w:r>
    </w:p>
    <w:p>
      <w:pPr>
        <w:pStyle w:val="Heading1"/>
      </w:pPr>
      <w:r>
        <w:t>Chapter 5. Participants</w:t>
      </w:r>
    </w:p>
    <w:tbl>
      <w:tblPr>
        <w:tblStyle w:val="TableGrid"/>
        <w:tblW w:type="auto" w:w="0"/>
        <w:jc w:val="center"/>
        <w:tblLayout w:type="fixed"/>
        <w:tblLook w:firstColumn="1" w:firstRow="1" w:lastColumn="0" w:lastRow="0" w:noHBand="0" w:noVBand="1" w:val="04A0"/>
      </w:tblPr>
      <w:tblGrid>
        <w:gridCol w:w="4320"/>
        <w:gridCol w:w="4320"/>
      </w:tblGrid>
      <w:tr>
        <w:tc>
          <w:tcPr>
            <w:tcW w:type="dxa" w:w="432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Participant</w:t>
            </w:r>
          </w:p>
        </w:tc>
        <w:tc>
          <w:tcPr>
            <w:tcW w:type="dxa" w:w="432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Role / responsibility</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Luis David Espino</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Project member; participates in threat modeling, documentation, and authorized testing.</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Abdullah Ibn Mujahid Egil</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Project member; participates in threat modeling, documentation, and authorized testing.</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Mc Earl Estolatan</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Project member; participates in threat modeling, documentation, and authorized testing.</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Joshua Libag</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Project member; participates in threat modeling, documentation, and authorized testing.</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John Paul Penola</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Project member; participates in threat modeling, documentation, and authorized testing.</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Lead Penetration Tester</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Defines scope, coordinates tests, reviews evidence, and consolidates findings.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Web Application Penetration Tester</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Tests authentication, authorization, input validation, XSS, SQL injection, CSRF, file access, and application logic.</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API / Backend Security Tester</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Reviews Express routes, request handling, CORS, error handling, command/file APIs, and server-side controls.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Cloud / Firebase Security Analyst</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Reviews Firebase Authentication, Firestore rules, Admin SDK use, configuration, and database access.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Security Analyst / Report Writer</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Documents threats, severity, impact, abuse cases, and mitigations.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System Owner / Hospital Representative</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Confirms intended business behavior and helps prioritize remediation.</w:t>
            </w:r>
          </w:p>
        </w:tc>
      </w:tr>
    </w:tbl>
    <w:p/>
    <w:p>
      <w:pPr>
        <w:pStyle w:val="Heading1"/>
      </w:pPr>
      <w:r>
        <w:t>Chapter 6. Reviewers</w:t>
      </w:r>
    </w:p>
    <w:tbl>
      <w:tblPr>
        <w:tblStyle w:val="TableGrid"/>
        <w:tblW w:type="auto" w:w="0"/>
        <w:jc w:val="center"/>
        <w:tblLayout w:type="fixed"/>
        <w:tblLook w:firstColumn="1" w:firstRow="1" w:lastColumn="0" w:lastRow="0" w:noHBand="0" w:noVBand="1" w:val="04A0"/>
      </w:tblPr>
      <w:tblGrid>
        <w:gridCol w:w="4320"/>
        <w:gridCol w:w="4320"/>
      </w:tblGrid>
      <w:tr>
        <w:tc>
          <w:tcPr>
            <w:tcW w:type="dxa" w:w="432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Reviewer</w:t>
            </w:r>
          </w:p>
        </w:tc>
        <w:tc>
          <w:tcPr>
            <w:tcW w:type="dxa" w:w="432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Review responsibility</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Chief Information Security Officer (CISO)</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Reviews overall security posture, major findings, authentication, patient information, Firebase, and administrative risks.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Chief Security Officer (CSO)</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Reviews organizational risk and coordinates security decisions when findings affect operations.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Cyber Incident Response Team (CIRT)</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Reviews incidents, evidence, containment, investigation, recovery, and reporting.</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System Administrator</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Reviews application server, configuration, environment variables, deployment, and availability findings.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Firebase / Database Administrator</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Reviews Authentication, Firestore rules, database access, staff data, and security configuration.</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Sentinel Assurance Group</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Validates vulnerabilities and recommendations within the authorized training environment.</w:t>
            </w:r>
          </w:p>
        </w:tc>
      </w:tr>
    </w:tbl>
    <w:p/>
    <w:p>
      <w:pPr>
        <w:pStyle w:val="Heading1"/>
      </w:pPr>
      <w:r>
        <w:t>Chapter 7. External Dependencies</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288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Dependency</w:t>
            </w:r>
          </w:p>
        </w:tc>
        <w:tc>
          <w:tcPr>
            <w:tcW w:type="dxa" w:w="288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Purpose</w:t>
            </w:r>
          </w:p>
        </w:tc>
        <w:tc>
          <w:tcPr>
            <w:tcW w:type="dxa" w:w="288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Security relevance</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Node.js 20 / Express 4</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Server runtime and HTTP routing</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Server compromise, dependency vulnerabilities, unsafe request handling, and shell/file access affect the whole application.</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Firebase Authentication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Staff identity and login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Account compromise directly affects protected Firestore resources.</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Cloud Firestore</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Primary cloud database</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Stores patients, staff, notes, lab reports, activity, feedback, and documents; rules determine client access.</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Firebase Admin SDK</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Privileged backend operations</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Service-account credentials can bypass client Firestore rules and therefore require strong protection.</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Render</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Public hosting / deployment platform</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Controls availability and exposes the application to Internet traffic.</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Browser</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Client-side application runtime</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Handles Firebase Auth session state, page logic, API calls, and rendering; client-side trust cannot replace server-side authorization.</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HTTPS/TLS</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Transport protection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Protects credentials and application data in transit.</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Gemini API</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AI assistant backend service</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Creates an external data-flow and dependency; API key must remain server-side and inputs should be constrained.</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openFDA API</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Drug information source</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External service availability and returned data affect the drug-information feature.</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Docker / container environment</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Application packaging and runtime</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Container and environment configuration influence isolation and secret protection.</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Kali Linux / VirtualBox</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Authorized security-testing environment</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Used for the required brute-force and SQL-injection simulations.</w:t>
            </w:r>
          </w:p>
        </w:tc>
      </w:tr>
    </w:tbl>
    <w:p/>
    <w:p>
      <w:pPr>
        <w:pStyle w:val="Heading1"/>
      </w:pPr>
      <w:r>
        <w:t>Chapter 8. Use Scenarios</w:t>
      </w:r>
    </w:p>
    <w:p>
      <w:r>
        <w:t>The use scenarios below identify activities and functions that users can perform in the current website. Normal hospital functions are separated from intentionally vulnerable security-training functions.</w:t>
      </w:r>
    </w:p>
    <w:p>
      <w:pPr>
        <w:pStyle w:val="Heading2"/>
      </w:pPr>
      <w:r>
        <w:t>8.1 Staff Authentication</w:t>
      </w:r>
    </w:p>
    <w:p>
      <w:r>
        <w:t>A staff member enters credentials through the Staff Login page. The server looks up the staff profile and, when Firebase is configured, authenticates against Firebase Authentication and establishes the browser Firebase session.</w:t>
      </w:r>
    </w:p>
    <w:p>
      <w:pPr>
        <w:pStyle w:val="Heading2"/>
      </w:pPr>
      <w:r>
        <w:t>8.2 Google Sign-In</w:t>
      </w:r>
    </w:p>
    <w:p>
      <w:r>
        <w:t>A user can use Google Sign-In through Firebase Authentication. The client obtains an ID token and sends it to `/api/google-login` for server-side verification and staff-profile synchronization.</w:t>
      </w:r>
    </w:p>
    <w:p>
      <w:pPr>
        <w:pStyle w:val="Heading2"/>
      </w:pPr>
      <w:r>
        <w:t>8.3 Dashboard Access</w:t>
      </w:r>
    </w:p>
    <w:p>
      <w:r>
        <w:t>Authenticated staff can view dashboard statistics such as patient information, pending laboratory reports, and recent activity.</w:t>
      </w:r>
    </w:p>
    <w:p>
      <w:pPr>
        <w:pStyle w:val="Heading2"/>
      </w:pPr>
      <w:r>
        <w:t>8.4 Patient Record Management</w:t>
      </w:r>
    </w:p>
    <w:p>
      <w:r>
        <w:t>Signed-in staff can search, view, create, update, and delete fictional patient records through Firestore. The current Firestore rule allows these operations to any authenticated staff member.</w:t>
      </w:r>
    </w:p>
    <w:p>
      <w:pPr>
        <w:pStyle w:val="Heading2"/>
      </w:pPr>
      <w:r>
        <w:t>8.5 Bed and Admission Management</w:t>
      </w:r>
    </w:p>
    <w:p>
      <w:r>
        <w:t>Staff can use patient/bed management functions to support admissions, placement, movement, editing, and discharge-related workflows.</w:t>
      </w:r>
    </w:p>
    <w:p>
      <w:pPr>
        <w:pStyle w:val="Heading2"/>
      </w:pPr>
      <w:r>
        <w:t>8.6 Clinical Notes</w:t>
      </w:r>
    </w:p>
    <w:p>
      <w:r>
        <w:t>Authenticated staff can view notes and manage notes they authored. This function also provides the stored-XSS training scenario.</w:t>
      </w:r>
    </w:p>
    <w:p>
      <w:pPr>
        <w:pStyle w:val="Heading2"/>
      </w:pPr>
      <w:r>
        <w:t>8.7 Laboratory Reports</w:t>
      </w:r>
    </w:p>
    <w:p>
      <w:r>
        <w:t>Authenticated staff can read laboratory reports. Normal client-side writes are blocked by Firestore rules.</w:t>
      </w:r>
    </w:p>
    <w:p>
      <w:pPr>
        <w:pStyle w:val="Heading2"/>
      </w:pPr>
      <w:r>
        <w:t>8.8 Staff Profile Management</w:t>
      </w:r>
    </w:p>
    <w:p>
      <w:r>
        <w:t>An authenticated staff member can read and update their own staff profile document.</w:t>
      </w:r>
    </w:p>
    <w:p>
      <w:pPr>
        <w:pStyle w:val="Heading2"/>
      </w:pPr>
      <w:r>
        <w:t>8.9 Patient Feedback</w:t>
      </w:r>
    </w:p>
    <w:p>
      <w:r>
        <w:t>Authenticated staff can view feedback and submit reviews; Firestore rules restrict update/delete operations to the review author.</w:t>
      </w:r>
    </w:p>
    <w:p>
      <w:pPr>
        <w:pStyle w:val="Heading2"/>
      </w:pPr>
      <w:r>
        <w:t>8.10 Document Management</w:t>
      </w:r>
    </w:p>
    <w:p>
      <w:r>
        <w:t>Authenticated staff can read document metadata, create/upload document records, and delete documents they uploaded.</w:t>
      </w:r>
    </w:p>
    <w:p>
      <w:pPr>
        <w:pStyle w:val="Heading2"/>
      </w:pPr>
      <w:r>
        <w:t>8.11 Billing Portal</w:t>
      </w:r>
    </w:p>
    <w:p>
      <w:r>
        <w:t>The billing feature looks up fictional invoices by invoice ID. The current `/api/billing` implementation returns a matching invoice without checking Firebase authentication, creating an authorization risk.</w:t>
      </w:r>
    </w:p>
    <w:p>
      <w:pPr>
        <w:pStyle w:val="Heading2"/>
      </w:pPr>
      <w:r>
        <w:t>8.12 Locations</w:t>
      </w:r>
    </w:p>
    <w:p>
      <w:r>
        <w:t>Users can view hospital location and direction information.</w:t>
      </w:r>
    </w:p>
    <w:p>
      <w:pPr>
        <w:pStyle w:val="Heading2"/>
      </w:pPr>
      <w:r>
        <w:t>8.13 Drug Information</w:t>
      </w:r>
    </w:p>
    <w:p>
      <w:r>
        <w:t>Users can request drug information from the server-side openFDA proxy using a drug name.</w:t>
      </w:r>
    </w:p>
    <w:p>
      <w:pPr>
        <w:pStyle w:val="Heading2"/>
      </w:pPr>
      <w:r>
        <w:t>8.14 AI Assistant</w:t>
      </w:r>
    </w:p>
    <w:p>
      <w:r>
        <w:t>Users can send messages to the MediCare Pro AI assistant. The server limits message size and history and applies a basic in-memory rate limit before forwarding to Gemini.</w:t>
      </w:r>
    </w:p>
    <w:p>
      <w:pPr>
        <w:pStyle w:val="Heading2"/>
      </w:pPr>
      <w:r>
        <w:t>8.15 Security Training Labs</w:t>
      </w:r>
    </w:p>
    <w:p>
      <w:r>
        <w:t>The site provides training scenarios for brute force, SQL injection, blind SQL injection, reflected/stored XSS, CSRF, file inclusion/path traversal, command execution, and shell upload.</w:t>
      </w:r>
    </w:p>
    <w:p>
      <w:pPr>
        <w:pStyle w:val="Heading2"/>
      </w:pPr>
      <w:r>
        <w:t>8.16 Authorized Penetration Testing</w:t>
      </w:r>
    </w:p>
    <w:p>
      <w:pPr>
        <w:pStyle w:val="Heading2"/>
      </w:pPr>
      <w:r>
        <w:t>8.17 Password Reset and Account Recovery</w:t>
      </w:r>
    </w:p>
    <w:p>
      <w:pPr/>
      <w:r>
        <w:t>A user can authenticate through Google Sign-In. The server verifies the Google ID token and, when no matching staff profile exists, automatically creates a new staff profile with the default role Staff.</w:t>
      </w:r>
    </w:p>
    <w:p>
      <w:pPr/>
      <w:r>
        <w:t>A user can request a password reset for a staff account. The server looks up the staff profile and, when Firebase is configured, generates a real Firebase password-reset link and returns it directly in the HTTP response.</w:t>
      </w:r>
    </w:p>
    <w:p>
      <w:r>
        <w:t>The red team can use the approved training functions to demonstrate the required brute-force and SQL-injection activities. Testing must remain within the approved website and fictional data environment.</w:t>
      </w:r>
    </w:p>
    <w:p>
      <w:pPr>
        <w:pStyle w:val="Heading1"/>
      </w:pPr>
      <w:r>
        <w:t>Chapter 9. Roles</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288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Role</w:t>
            </w:r>
          </w:p>
        </w:tc>
        <w:tc>
          <w:tcPr>
            <w:tcW w:type="dxa" w:w="288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Type</w:t>
            </w:r>
          </w:p>
        </w:tc>
        <w:tc>
          <w:tcPr>
            <w:tcW w:type="dxa" w:w="288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Current access / privileges</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Anonymous User</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Human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Can reach the public web application and authentication-facing pages. Should not receive protected Firestore data.</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Invalid User</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Human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Can submit failed authentication attempts. Repeated failures are relevant to brute-force testing.</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Administrator</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Human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Privileged business role represented in staff data. Current Firestore rules do not enforce a separate Administrator privilege for patient CRUD.</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Physician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Human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Authenticated clinical role. Can access functions permitted to signed-in staff; current patient rules do not enforce physician-only restrictions.</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Nurse</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Human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Authenticated care role. Can access functions permitted to signed-in staff; current patient rules do not enforce nurse-only restrictions.</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Radiologist</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Human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Authenticated imaging/diagnostic role. Can access functions permitted to signed-in staff.</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Laboratory Technician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Human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Authenticated laboratory role. Can access functions permitted to signed-in staff.</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Penetration Tester / Red Team</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Human</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Authorized security tester. May exercise intentionally vulnerable training functions within scope.</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External Attacker</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Threat actor</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Unauthorized actor attempting credential compromise, data access, injection, privilege abuse, or service disruption.</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Application Server</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System process</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Express server that serves static pages and executes API handlers.</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Firebase Authenticated User</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System security principal</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 browser session with a valid Firebase Auth identity; used by Firestore rules as the authentication condition.</w:t>
            </w:r>
          </w:p>
        </w:tc>
      </w:tr>
      <w:tr>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Firebase Admin Process</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System process</w:t>
            </w:r>
          </w:p>
        </w:tc>
        <w:tc>
          <w:tcPr>
            <w:tcW w:type="dxa" w:w="288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Privileged server-side process using the Admin SDK; can bypass client Firestore rules and therefore has high trust.</w:t>
            </w:r>
          </w:p>
        </w:tc>
      </w:tr>
      <w:tr>
        <w:tc>
          <w:tcPr>
            <w:tcW w:type="dxa" w:w="2880"/>
            <w:vAlign w:val="center"/>
          </w:tcPr>
          <w:p>
            <w:pPr>
              <w:spacing w:line="240" w:lineRule="auto" w:before="20" w:after="20"/>
            </w:pPr>
            <w:r>
              <w:rPr>
                <w:rFonts w:ascii="Arial Narrow" w:hAnsi="Arial Narrow" w:cs="Arial Narrow" w:eastAsia="Arial Narrow"/>
                <w:sz w:val="24"/>
              </w:rPr>
              <w:t>Forgotten-Password Caller</w:t>
            </w:r>
          </w:p>
        </w:tc>
        <w:tc>
          <w:tcPr>
            <w:tcW w:type="dxa" w:w="2880"/>
            <w:vAlign w:val="center"/>
          </w:tcPr>
          <w:p>
            <w:pPr>
              <w:spacing w:line="240" w:lineRule="auto" w:before="20" w:after="20"/>
            </w:pPr>
            <w:r>
              <w:rPr>
                <w:rFonts w:ascii="Arial Narrow" w:hAnsi="Arial Narrow" w:cs="Arial Narrow" w:eastAsia="Arial Narrow"/>
                <w:sz w:val="24"/>
              </w:rPr>
              <w:t>Human</w:t>
            </w:r>
          </w:p>
        </w:tc>
        <w:tc>
          <w:tcPr>
            <w:tcW w:type="dxa" w:w="2880"/>
            <w:vAlign w:val="center"/>
          </w:tcPr>
          <w:p>
            <w:pPr>
              <w:spacing w:line="240" w:lineRule="auto" w:before="20" w:after="20"/>
            </w:pPr>
            <w:r>
              <w:rPr>
                <w:rFonts w:ascii="Arial Narrow" w:hAnsi="Arial Narrow" w:cs="Arial Narrow" w:eastAsia="Arial Narrow"/>
                <w:sz w:val="24"/>
              </w:rPr>
              <w:t>Any unauthenticated requester to /api/forgot-password. Receives a usable password-reset link, or a demo-mode plaintext password, for a named staff account.</w:t>
            </w:r>
          </w:p>
        </w:tc>
      </w:tr>
    </w:tbl>
    <w:p/>
    <w:p>
      <w:pPr>
        <w:pStyle w:val="Heading1"/>
      </w:pPr>
      <w:r>
        <w:t>Chapter 10. Assets</w:t>
      </w:r>
    </w:p>
    <w:tbl>
      <w:tblPr>
        <w:tblStyle w:val="TableGrid"/>
        <w:tblW w:type="auto" w:w="0"/>
        <w:jc w:val="center"/>
        <w:tblLayout w:type="fixed"/>
        <w:tblLook w:firstColumn="1" w:firstRow="1" w:lastColumn="0" w:lastRow="0" w:noHBand="0" w:noVBand="1" w:val="04A0"/>
      </w:tblPr>
      <w:tblGrid>
        <w:gridCol w:w="2160"/>
        <w:gridCol w:w="2160"/>
        <w:gridCol w:w="2160"/>
        <w:gridCol w:w="2160"/>
      </w:tblGrid>
      <w:tr>
        <w:tc>
          <w:tcPr>
            <w:tcW w:type="dxa" w:w="216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ID</w:t>
            </w:r>
          </w:p>
        </w:tc>
        <w:tc>
          <w:tcPr>
            <w:tcW w:type="dxa" w:w="216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Asset</w:t>
            </w:r>
          </w:p>
        </w:tc>
        <w:tc>
          <w:tcPr>
            <w:tcW w:type="dxa" w:w="216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Description</w:t>
            </w:r>
          </w:p>
        </w:tc>
        <w:tc>
          <w:tcPr>
            <w:tcW w:type="dxa" w:w="216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Impact</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A01</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Patient records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Names, identifiers, diagnosis, department, room/ward, status, medical fields, and other fictional patient data.</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High</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A02</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Clinical notes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Patient-related clinical notes and author information.</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High</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A03</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Laboratory reports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Laboratory results and status information.</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High</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A04</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Staff accounts and profiles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User identity, role, department, email, and profile data.</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High</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A05</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Authentication credentials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Passwords, authentication tokens, Firebase sessions, and identity information.</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Critical</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A06</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Administrator account</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Privileged staff identity and associated permissions.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Critical</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A07</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Firebase service-account credential</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Privileged server-side credential used by the Admin SDK.</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Critical</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A08</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Firestore database</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Cloud data store containing application collections.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Critical</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A09</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Firestore security rules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Rules defining client-side access to protected data.</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Critical</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A10</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Uploaded documents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Hospital document records and uploaded content.</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High</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A11</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Billing information</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Invoice IDs, patient associations, amounts, insurer information, and billing notes.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High</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A12</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Activity/audit records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Recent application actions used for monitoring and investigation.</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High</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A13</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Application server</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Node.js/Express runtime, source files, environment, and API handlers.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Critical</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A14</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Backend API endpoints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Login, Firebase configuration, billing, feedback, chat, drug information, and security-lab routes.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High</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A15</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AI/API credentials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Gemini API key and other server-side integration secrets.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Critical</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A16</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System availability</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Availability of Render, Express, Firebase Auth, Firestore, and external services.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High</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A17</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Security-testing evidence</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Logs, screenshots, requests, results, and vulnerability evidence.</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High</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A18</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Data integrity</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Correctness of patient, clinical, staff, billing, and configuration data.</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Critical</w:t>
            </w:r>
          </w:p>
        </w:tc>
      </w:tr>
      <w:tr>
        <w:tc>
          <w:tcPr>
            <w:tcW w:type="dxa" w:w="2160"/>
            <w:vAlign w:val="center"/>
          </w:tcPr>
          <w:p>
            <w:pPr>
              <w:spacing w:line="240" w:lineRule="auto" w:before="20" w:after="20"/>
            </w:pPr>
            <w:r>
              <w:rPr>
                <w:rFonts w:ascii="Arial Narrow" w:hAnsi="Arial Narrow" w:cs="Arial Narrow" w:eastAsia="Arial Narrow"/>
                <w:sz w:val="24"/>
              </w:rPr>
              <w:t>A19</w:t>
            </w:r>
          </w:p>
        </w:tc>
        <w:tc>
          <w:tcPr>
            <w:tcW w:type="dxa" w:w="2160"/>
            <w:vAlign w:val="center"/>
          </w:tcPr>
          <w:p>
            <w:pPr>
              <w:spacing w:line="240" w:lineRule="auto" w:before="20" w:after="20"/>
            </w:pPr>
            <w:r>
              <w:rPr>
                <w:rFonts w:ascii="Arial Narrow" w:hAnsi="Arial Narrow" w:cs="Arial Narrow" w:eastAsia="Arial Narrow"/>
                <w:sz w:val="24"/>
              </w:rPr>
              <w:t>Password-reset links and recovery tokens</w:t>
            </w:r>
          </w:p>
        </w:tc>
        <w:tc>
          <w:tcPr>
            <w:tcW w:type="dxa" w:w="2160"/>
            <w:vAlign w:val="center"/>
          </w:tcPr>
          <w:p>
            <w:pPr>
              <w:spacing w:line="240" w:lineRule="auto" w:before="20" w:after="20"/>
            </w:pPr>
            <w:r>
              <w:rPr>
                <w:rFonts w:ascii="Arial Narrow" w:hAnsi="Arial Narrow" w:cs="Arial Narrow" w:eastAsia="Arial Narrow"/>
                <w:sz w:val="24"/>
              </w:rPr>
              <w:t>Firebase password-reset links and the demo-mode credential response from /api/forgot-password. A leaked link allows silent account takeover without the victim's password or email access.</w:t>
            </w:r>
          </w:p>
        </w:tc>
        <w:tc>
          <w:tcPr>
            <w:tcW w:type="dxa" w:w="2160"/>
            <w:vAlign w:val="center"/>
          </w:tcPr>
          <w:p>
            <w:pPr>
              <w:spacing w:line="240" w:lineRule="auto" w:before="20" w:after="20"/>
            </w:pPr>
            <w:r>
              <w:rPr>
                <w:rFonts w:ascii="Arial Narrow" w:hAnsi="Arial Narrow" w:cs="Arial Narrow" w:eastAsia="Arial Narrow"/>
                <w:sz w:val="24"/>
              </w:rPr>
              <w:t>Critical</w:t>
            </w:r>
          </w:p>
        </w:tc>
      </w:tr>
    </w:tbl>
    <w:p/>
    <w:p>
      <w:pPr>
        <w:sectPr>
          <w:headerReference w:type="default" r:id="rId9"/>
          <w:footerReference w:type="default" r:id="rId10"/>
          <w:headerReference w:type="first" r:id="rId13"/>
          <w:footerReference w:type="first" r:id="rId14"/>
          <w:pgSz w:w="12240" w:h="15840"/>
          <w:pgMar w:top="1440" w:right="1440" w:bottom="1440" w:left="2160" w:header="720" w:footer="720" w:gutter="0"/>
          <w:cols w:space="720"/>
          <w:titlePg/>
          <w:docGrid w:linePitch="360"/>
        </w:sectPr>
      </w:pPr>
    </w:p>
    <w:p>
      <w:pPr>
        <w:pStyle w:val="Heading1"/>
      </w:pPr>
      <w:r>
        <w:t>Chapter 11. Activity Matrix</w:t>
      </w:r>
    </w:p>
    <w:p>
      <w:r>
        <w:t>Legend: ✓ = currently permitted/available; C = conditional or role-dependent; L = security-training activity; — = not a normal activity. The matrix reflects the current implementation, not an ideal future authorization model.</w:t>
      </w:r>
    </w:p>
    <w:tbl>
      <w:tblPr>
        <w:tblStyle w:val="TableGrid"/>
        <w:tblW w:type="auto" w:w="0"/>
        <w:jc w:val="center"/>
        <w:tblLayout w:type="fixed"/>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Role</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Login</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Dashboard</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Patient CRUD</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Bed/Admission</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Notes</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Lab Reports</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Own Profile</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Feedback</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Documents</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Billing</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Drug Info</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AI Chat</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Locations</w:t>
            </w:r>
          </w:p>
        </w:tc>
        <w:tc>
          <w:tcPr>
            <w:tcW w:type="dxa" w:w="540"/>
            <w:shd w:fill="D9EAF7" w:val="clear"/>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sz w:val="14"/>
              </w:rPr>
              <w:t>Security Labs</w:t>
            </w:r>
          </w:p>
        </w:tc>
        <w:tc>
          <w:tcPr>
            <w:tcW w:type="dxa" w:w="540"/>
          </w:tcPr>
          <w:p>
            <w:pPr>
              <w:spacing w:line="240" w:lineRule="auto" w:before="20" w:after="20"/>
            </w:pPr>
            <w:r>
              <w:rPr>
                <w:rFonts w:ascii="Arial Narrow" w:hAnsi="Arial Narrow" w:cs="Arial Narrow" w:eastAsia="Arial Narrow"/>
                <w:b w:val="0"/>
                <w:sz w:val="14"/>
              </w:rPr>
              <w:t>Password Reset</w:t>
            </w:r>
          </w:p>
        </w:tc>
      </w:tr>
      <w:tr>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Anonymous</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L</w:t>
            </w:r>
          </w:p>
        </w:tc>
        <w:tc>
          <w:tcPr>
            <w:tcW w:type="dxa" w:w="540"/>
          </w:tcPr>
          <w:p>
            <w:pPr>
              <w:spacing w:line="240" w:lineRule="auto" w:before="20" w:after="20"/>
            </w:pPr>
            <w:r>
              <w:rPr>
                <w:rFonts w:ascii="Arial Narrow" w:hAnsi="Arial Narrow" w:cs="Arial Narrow" w:eastAsia="Arial Narrow"/>
                <w:b w:val="0"/>
                <w:sz w:val="14"/>
              </w:rPr>
              <w:t>OK</w:t>
            </w:r>
          </w:p>
        </w:tc>
      </w:tr>
      <w:tr>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Invalid User</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L</w:t>
            </w:r>
          </w:p>
        </w:tc>
        <w:tc>
          <w:tcPr>
            <w:tcW w:type="dxa" w:w="540"/>
          </w:tcPr>
          <w:p>
            <w:pPr>
              <w:spacing w:line="240" w:lineRule="auto" w:before="20" w:after="20"/>
            </w:pPr>
            <w:r>
              <w:rPr>
                <w:rFonts w:ascii="Arial Narrow" w:hAnsi="Arial Narrow" w:cs="Arial Narrow" w:eastAsia="Arial Narrow"/>
                <w:b w:val="0"/>
                <w:sz w:val="14"/>
              </w:rPr>
              <w:t>OK</w:t>
            </w:r>
          </w:p>
        </w:tc>
      </w:tr>
      <w:tr>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Administrator</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L</w:t>
            </w:r>
          </w:p>
        </w:tc>
        <w:tc>
          <w:tcPr>
            <w:tcW w:type="dxa" w:w="540"/>
          </w:tcPr>
          <w:p>
            <w:pPr>
              <w:spacing w:line="240" w:lineRule="auto" w:before="20" w:after="20"/>
            </w:pPr>
            <w:r>
              <w:rPr>
                <w:rFonts w:ascii="Arial Narrow" w:hAnsi="Arial Narrow" w:cs="Arial Narrow" w:eastAsia="Arial Narrow"/>
                <w:b w:val="0"/>
                <w:sz w:val="14"/>
              </w:rPr>
              <w:t>C*</w:t>
            </w:r>
          </w:p>
        </w:tc>
      </w:tr>
      <w:tr>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Physician</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L</w:t>
            </w:r>
          </w:p>
        </w:tc>
        <w:tc>
          <w:tcPr>
            <w:tcW w:type="dxa" w:w="540"/>
          </w:tcPr>
          <w:p>
            <w:pPr>
              <w:spacing w:line="240" w:lineRule="auto" w:before="20" w:after="20"/>
            </w:pPr>
            <w:r>
              <w:rPr>
                <w:rFonts w:ascii="Arial Narrow" w:hAnsi="Arial Narrow" w:cs="Arial Narrow" w:eastAsia="Arial Narrow"/>
                <w:b w:val="0"/>
                <w:sz w:val="14"/>
              </w:rPr>
              <w:t>C*</w:t>
            </w:r>
          </w:p>
        </w:tc>
      </w:tr>
      <w:tr>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Nurse</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L</w:t>
            </w:r>
          </w:p>
        </w:tc>
        <w:tc>
          <w:tcPr>
            <w:tcW w:type="dxa" w:w="540"/>
          </w:tcPr>
          <w:p>
            <w:pPr>
              <w:spacing w:line="240" w:lineRule="auto" w:before="20" w:after="20"/>
            </w:pPr>
            <w:r>
              <w:rPr>
                <w:rFonts w:ascii="Arial Narrow" w:hAnsi="Arial Narrow" w:cs="Arial Narrow" w:eastAsia="Arial Narrow"/>
                <w:b w:val="0"/>
                <w:sz w:val="14"/>
              </w:rPr>
              <w:t>C*</w:t>
            </w:r>
          </w:p>
        </w:tc>
      </w:tr>
      <w:tr>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Radiologist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L</w:t>
            </w:r>
          </w:p>
        </w:tc>
        <w:tc>
          <w:tcPr>
            <w:tcW w:type="dxa" w:w="540"/>
          </w:tcPr>
          <w:p>
            <w:pPr>
              <w:spacing w:line="240" w:lineRule="auto" w:before="20" w:after="20"/>
            </w:pPr>
            <w:r>
              <w:rPr>
                <w:rFonts w:ascii="Arial Narrow" w:hAnsi="Arial Narrow" w:cs="Arial Narrow" w:eastAsia="Arial Narrow"/>
                <w:b w:val="0"/>
                <w:sz w:val="14"/>
              </w:rPr>
              <w:t>C*</w:t>
            </w:r>
          </w:p>
        </w:tc>
      </w:tr>
      <w:tr>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Lab Technician</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L</w:t>
            </w:r>
          </w:p>
        </w:tc>
        <w:tc>
          <w:tcPr>
            <w:tcW w:type="dxa" w:w="540"/>
          </w:tcPr>
          <w:p>
            <w:pPr>
              <w:spacing w:line="240" w:lineRule="auto" w:before="20" w:after="20"/>
            </w:pPr>
            <w:r>
              <w:rPr>
                <w:rFonts w:ascii="Arial Narrow" w:hAnsi="Arial Narrow" w:cs="Arial Narrow" w:eastAsia="Arial Narrow"/>
                <w:b w:val="0"/>
                <w:sz w:val="14"/>
              </w:rPr>
              <w:t>C*</w:t>
            </w:r>
          </w:p>
        </w:tc>
      </w:tr>
      <w:tr>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Penetration Tester</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C</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w:t>
            </w:r>
          </w:p>
        </w:tc>
        <w:tc>
          <w:tcPr>
            <w:tcW w:type="dxa" w:w="540"/>
            <w:vAlign w:val="center"/>
          </w:tcPr>
          <w:p>
            <w:pPr>
              <w:spacing w:line="240" w:lineRule="auto" w:before="20" w:after="20"/>
            </w:pPr>
            <w:r>
              <w:rPr>
                <w:rFonts w:ascii="Arial Narrow" w:hAnsi="Arial Narrow" w:cs="Arial Narrow" w:eastAsia="Arial Narrow"/>
                <w:sz w:val="14"/>
              </w:rPr>
            </w:r>
            <w:r>
              <w:rPr>
                <w:rFonts w:ascii="Arial Narrow" w:hAnsi="Arial Narrow" w:cs="Arial Narrow" w:eastAsia="Arial Narrow"/>
                <w:b w:val="0"/>
                <w:sz w:val="14"/>
              </w:rPr>
              <w:t>L</w:t>
            </w:r>
          </w:p>
        </w:tc>
        <w:tc>
          <w:tcPr>
            <w:tcW w:type="dxa" w:w="540"/>
          </w:tcPr>
          <w:p>
            <w:pPr>
              <w:spacing w:line="240" w:lineRule="auto" w:before="20" w:after="20"/>
            </w:pPr>
            <w:r>
              <w:rPr>
                <w:rFonts w:ascii="Arial Narrow" w:hAnsi="Arial Narrow" w:cs="Arial Narrow" w:eastAsia="Arial Narrow"/>
                <w:b w:val="0"/>
                <w:sz w:val="14"/>
              </w:rPr>
              <w:t>C*</w:t>
            </w:r>
          </w:p>
        </w:tc>
      </w:tr>
    </w:tbl>
    <w:p/>
    <w:p>
      <w:r>
        <w:t>C* Billing is technically reachable through the current backend endpoint without an authentication check, so its current exposure should be treated as a vulnerability rather than a properly authorized staff privilege. Security-lab functions are intentionally exposed for training and must not be interpreted as production privileges.</w:t>
      </w:r>
    </w:p>
    <w:p>
      <w:pPr/>
      <w:r>
        <w:rPr/>
        <w:t>OK Password reset is reachable with no authentication at all: /api/forgot-password returns a working reset link to any anonymous caller. This is recorded as threat T18 rather than as an authorized privilege. C* Password reset should require a fully authenticated staff identity plus proof of control of the registered email address.</w:t>
      </w:r>
    </w:p>
    <w:p>
      <w:pPr>
        <w:sectPr>
          <w:pgSz w:w="12240" w:h="15840" w:orient="landscape"/>
          <w:pgMar w:top="1440" w:right="1440" w:bottom="1440" w:left="2160" w:header="720" w:footer="720" w:gutter="0"/>
          <w:cols w:space="720"/>
          <w:docGrid w:linePitch="360"/>
        </w:sectPr>
      </w:pPr>
    </w:p>
    <w:p>
      <w:pPr>
        <w:pStyle w:val="Heading2"/>
      </w:pPr>
      <w:r>
        <w:t>11.1 Matrix Interpretation</w:t>
      </w:r>
    </w:p>
    <w:p>
      <w:pPr>
        <w:pStyle w:val="ListBullet"/>
      </w:pPr>
      <w:r>
        <w:t>The most important authorization gap is that patient CRUD is granted to any authenticated staff identity instead of being restricted by business role.</w:t>
      </w:r>
    </w:p>
    <w:p>
      <w:pPr>
        <w:pStyle w:val="ListBullet"/>
      </w:pPr>
      <w:r>
        <w:t>Security-training APIs are not equivalent to hospital-management permissions; they exist to demonstrate vulnerabilities.</w:t>
      </w:r>
    </w:p>
    <w:p>
      <w:pPr>
        <w:pStyle w:val="ListBullet"/>
      </w:pPr>
      <w:r>
        <w:t>Billing is an especially important exception because the current API does not establish a Firebase-authenticated caller before returning a known invoice.</w:t>
      </w:r>
    </w:p>
    <w:p>
      <w:pPr>
        <w:pStyle w:val="ListBullet"/>
      </w:pPr>
      <w:r>
        <w:t>Penetration testers receive broader testing privileges only because the environment is an authorized training system.</w:t>
      </w:r>
    </w:p>
    <w:p>
      <w:pPr>
        <w:pStyle w:val="Heading1"/>
      </w:pPr>
      <w:r>
        <w:t>Chapter 12. Trust Boundaries</w:t>
      </w:r>
    </w:p>
    <w:p>
      <w:r>
        <w:t>A trust boundary is a point where data crosses between components with different assumptions about identity, integrity, confidentiality, or authority. The MediCare Pro architecture contains several important boundaries.</w:t>
      </w:r>
    </w:p>
    <w:p>
      <w:r>
        <w:drawing>
          <wp:inline xmlns:a="http://schemas.openxmlformats.org/drawingml/2006/main" xmlns:pic="http://schemas.openxmlformats.org/drawingml/2006/picture">
            <wp:extent cx="6217920" cy="3807112"/>
            <wp:docPr id="1" name="Picture 1"/>
            <wp:cNvGraphicFramePr>
              <a:graphicFrameLocks noChangeAspect="1"/>
            </wp:cNvGraphicFramePr>
            <a:graphic>
              <a:graphicData uri="http://schemas.openxmlformats.org/drawingml/2006/picture">
                <pic:pic>
                  <pic:nvPicPr>
                    <pic:cNvPr id="0" name="medicare_dfd.png"/>
                    <pic:cNvPicPr/>
                  </pic:nvPicPr>
                  <pic:blipFill>
                    <a:blip r:embed="rId11"/>
                    <a:stretch>
                      <a:fillRect/>
                    </a:stretch>
                  </pic:blipFill>
                  <pic:spPr>
                    <a:xfrm>
                      <a:off x="0" y="0"/>
                      <a:ext cx="6217920" cy="3807112"/>
                    </a:xfrm>
                    <a:prstGeom prst="rect"/>
                  </pic:spPr>
                </pic:pic>
              </a:graphicData>
            </a:graphic>
          </wp:inline>
        </w:drawing>
      </w:r>
    </w:p>
    <w:p>
      <w:pPr>
        <w:jc w:val="center"/>
      </w:pPr>
      <w:r>
        <w:t>Figure 1. Level-0 DFD showing the major trust boundaries in MediCare Pro.</w:t>
      </w:r>
    </w:p>
    <w:tbl>
      <w:tblPr>
        <w:tblStyle w:val="TableGrid"/>
        <w:tblW w:type="auto" w:w="0"/>
        <w:jc w:val="center"/>
        <w:tblLayout w:type="fixed"/>
        <w:tblLook w:firstColumn="1" w:firstRow="1" w:lastColumn="0" w:lastRow="0" w:noHBand="0" w:noVBand="1" w:val="04A0"/>
      </w:tblPr>
      <w:tblGrid>
        <w:gridCol w:w="2160"/>
        <w:gridCol w:w="2160"/>
        <w:gridCol w:w="2160"/>
        <w:gridCol w:w="2160"/>
      </w:tblGrid>
      <w:tr>
        <w:tc>
          <w:tcPr>
            <w:tcW w:type="dxa" w:w="216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Boundary</w:t>
            </w:r>
          </w:p>
        </w:tc>
        <w:tc>
          <w:tcPr>
            <w:tcW w:type="dxa" w:w="216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From → To</w:t>
            </w:r>
          </w:p>
        </w:tc>
        <w:tc>
          <w:tcPr>
            <w:tcW w:type="dxa" w:w="216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Why trust changes</w:t>
            </w:r>
          </w:p>
        </w:tc>
        <w:tc>
          <w:tcPr>
            <w:tcW w:type="dxa" w:w="216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Primary security controls</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TB-1</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Internet/user → browser/application</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Requests originate outside the system and may be malicious or unauthenticated.</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HTTPS, authentication, authorization, input validation, rate limiting.</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TB-2</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Browser → Express `/api/*`</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Client-controlled parameters, headers, and bodies cross into server-side execution.</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Server-side validation, allowlists, authentication, authorization, safe error handling.</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TB-3</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Browser → Firebase Auth/Firestore</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The client interacts directly with cloud services and presents an authentication identity.</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Firebase Auth, Firestore Security Rules, least privilege, validation.</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TB-4</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Express → Firestore via Admin SDK</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The Admin SDK is highly trusted and can bypass client rules.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Secret management, server-side authorization, narrow Admin operations, audit logging.</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TB-5</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Express → Gemini/openFDA</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Application data leaves the system to external services.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Minimize data sent, server-side API keys, rate limiting, timeouts.</w:t>
            </w:r>
          </w:p>
        </w:tc>
      </w:tr>
      <w:tr>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TB-6</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Render runtime → environment/secrets</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Deployment environment contains credentials that must never become public application data.</w:t>
            </w:r>
          </w:p>
        </w:tc>
        <w:tc>
          <w:tcPr>
            <w:tcW w:type="dxa" w:w="216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Secret storage, restricted logs, secure runtime configuration.</w:t>
            </w:r>
          </w:p>
        </w:tc>
      </w:tr>
    </w:tbl>
    <w:p/>
    <w:p>
      <w:pPr>
        <w:pStyle w:val="Heading1"/>
      </w:pPr>
      <w:r>
        <w:t>Chapter 13. Threats</w:t>
      </w:r>
    </w:p>
    <w:tbl>
      <w:tblPr>
        <w:tblStyle w:val="TableGrid"/>
        <w:tblW w:type="auto" w:w="0"/>
        <w:jc w:val="center"/>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ID</w:t>
            </w:r>
          </w:p>
        </w:tc>
        <w:tc>
          <w:tcPr>
            <w:tcW w:type="dxa" w:w="1080"/>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Threat</w:t>
            </w:r>
          </w:p>
        </w:tc>
        <w:tc>
          <w:tcPr>
            <w:tcW w:type="dxa" w:w="1080"/>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Actor</w:t>
            </w:r>
          </w:p>
        </w:tc>
        <w:tc>
          <w:tcPr>
            <w:tcW w:type="dxa" w:w="1080"/>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Category</w:t>
            </w:r>
          </w:p>
        </w:tc>
        <w:tc>
          <w:tcPr>
            <w:tcW w:type="dxa" w:w="1080"/>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Likelihood</w:t>
            </w:r>
          </w:p>
        </w:tc>
        <w:tc>
          <w:tcPr>
            <w:tcW w:type="dxa" w:w="1080"/>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Impact</w:t>
            </w:r>
          </w:p>
        </w:tc>
        <w:tc>
          <w:tcPr>
            <w:tcW w:type="dxa" w:w="1080"/>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Risk</w:t>
            </w:r>
          </w:p>
        </w:tc>
        <w:tc>
          <w:tcPr>
            <w:tcW w:type="dxa" w:w="1080"/>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Basis</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T01</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Brute-force authentication</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External 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Authentication</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Repeated login attempts; username enumeration can make targeting easier.</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T02</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Username enumeration</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Anonymous / 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Authentication</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Medium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Different messages reveal whether a username exists.</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T03</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Forced browsing / missing endpoint authorization</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Anonymous / 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Authorization</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Some APIs, especially training/billing routes, do not establish authentication before processing requests.</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T04</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Excessive privilege within authenticated staff</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Authenticated staff</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Authorization</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Any signed-in staff member can CRUD patient records under current Firestore rules.</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T05</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Blind SQL injection</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 / tester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Input validation / data</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`/api/sql-blind` intentionally interprets injection-like conditions and returns a boolean oracle.</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T06</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Cross-site scripting</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 / authenticated user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Input validation / data</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Stored note content is intentionally stored unsanitized; training pages demonstrate XSS.</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T07</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Cross-site request forgery</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Session / authorization</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CSRF lab accepts requests without token or Origin/Referer validation and allows all origins.</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T08</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Local file inclusion / path traversal</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Input validation / confidentiality</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User-controlled file paths are passed to filesystem reads without a safe-base restriction.</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T09</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Command injection / RCE</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Input validation / server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User-controlled `host` is concatenated into `execSync` shell command.</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T10</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Unrestricted executable upload</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Input validation / server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Upload API does not validate extension/content and demonstrates executable uploads.</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T11</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Billing information disclosure / IDOR-like access</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Anonymous / 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Authorization / data</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Billing API returns full invoice records for known IDs without authentication.</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T12</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Sensitive error and implementation disclosure</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Information exposure</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Medium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Some vulnerable endpoints return detailed errors, paths, and training data.</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T13</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Overly permissive CORS</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 / malicious site</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Browser trust</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Several APIs set `Access-Control-Allow-Origin: *`.</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T14</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Session/client-state tampering</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 with browser access</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Session / authorization</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Client-side role/profile state can be manipulated; authorization must never rely only on browser state.</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T15</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Secret exposure / Admin SDK compromise</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 / insider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Credentials</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Service-account and API credentials are high-value assets.</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T16</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Dependency / runtime compromise</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Secure code environment</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Node.js dependencies, container image, and deployment configuration require patching and supply-chain controls.</w:t>
            </w:r>
          </w:p>
        </w:tc>
      </w:tr>
      <w:tr>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T17</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AI/API abuse</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Availability / data</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Medium</w:t>
            </w:r>
          </w:p>
        </w:tc>
        <w:tc>
          <w:tcPr>
            <w:tcW w:type="dxa" w:w="1080"/>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Chat has basic in-memory rate limiting but external API calls create cost and availability exposure.</w:t>
            </w:r>
          </w:p>
        </w:tc>
      </w:tr>
      <w:tr>
        <w:tc>
          <w:tcPr>
            <w:tcW w:type="dxa" w:w="1080"/>
            <w:vAlign w:val="center"/>
          </w:tcPr>
          <w:p>
            <w:pPr>
              <w:spacing w:line="240" w:lineRule="auto" w:before="20" w:after="20"/>
            </w:pPr>
            <w:r>
              <w:rPr>
                <w:rFonts w:ascii="Arial Narrow" w:hAnsi="Arial Narrow" w:cs="Arial Narrow" w:eastAsia="Arial Narrow"/>
                <w:sz w:val="20"/>
              </w:rPr>
              <w:t>T18</w:t>
            </w:r>
          </w:p>
        </w:tc>
        <w:tc>
          <w:tcPr>
            <w:tcW w:type="dxa" w:w="1080"/>
            <w:vAlign w:val="center"/>
          </w:tcPr>
          <w:p>
            <w:pPr>
              <w:spacing w:line="240" w:lineRule="auto" w:before="20" w:after="20"/>
            </w:pPr>
            <w:r>
              <w:rPr>
                <w:rFonts w:ascii="Arial Narrow" w:hAnsi="Arial Narrow" w:cs="Arial Narrow" w:eastAsia="Arial Narrow"/>
                <w:sz w:val="20"/>
              </w:rPr>
              <w:t>Unauthenticated password-reset link disclosure</w:t>
            </w:r>
          </w:p>
        </w:tc>
        <w:tc>
          <w:tcPr>
            <w:tcW w:type="dxa" w:w="1080"/>
            <w:vAlign w:val="center"/>
          </w:tcPr>
          <w:p>
            <w:pPr>
              <w:spacing w:line="240" w:lineRule="auto" w:before="20" w:after="20"/>
            </w:pPr>
            <w:r>
              <w:rPr>
                <w:rFonts w:ascii="Arial Narrow" w:hAnsi="Arial Narrow" w:cs="Arial Narrow" w:eastAsia="Arial Narrow"/>
                <w:sz w:val="20"/>
              </w:rPr>
              <w:t>Anonymous / attacker</w:t>
            </w:r>
          </w:p>
        </w:tc>
        <w:tc>
          <w:tcPr>
            <w:tcW w:type="dxa" w:w="1080"/>
            <w:vAlign w:val="center"/>
          </w:tcPr>
          <w:p>
            <w:pPr>
              <w:spacing w:line="240" w:lineRule="auto" w:before="20" w:after="20"/>
            </w:pPr>
            <w:r>
              <w:rPr>
                <w:rFonts w:ascii="Arial Narrow" w:hAnsi="Arial Narrow" w:cs="Arial Narrow" w:eastAsia="Arial Narrow"/>
                <w:sz w:val="20"/>
              </w:rPr>
              <w:t>Authentication / session management</w:t>
            </w:r>
          </w:p>
        </w:tc>
        <w:tc>
          <w:tcPr>
            <w:tcW w:type="dxa" w:w="1080"/>
            <w:vAlign w:val="center"/>
          </w:tcPr>
          <w:p>
            <w:pPr>
              <w:spacing w:line="240" w:lineRule="auto" w:before="20" w:after="20"/>
            </w:pPr>
            <w:r>
              <w:rPr>
                <w:rFonts w:ascii="Arial Narrow" w:hAnsi="Arial Narrow" w:cs="Arial Narrow" w:eastAsia="Arial Narrow"/>
                <w:sz w:val="20"/>
              </w:rPr>
              <w:t>H</w:t>
            </w:r>
          </w:p>
        </w:tc>
        <w:tc>
          <w:tcPr>
            <w:tcW w:type="dxa" w:w="1080"/>
            <w:vAlign w:val="center"/>
          </w:tcPr>
          <w:p>
            <w:pPr>
              <w:spacing w:line="240" w:lineRule="auto" w:before="20" w:after="20"/>
            </w:pPr>
            <w:r>
              <w:rPr>
                <w:rFonts w:ascii="Arial Narrow" w:hAnsi="Arial Narrow" w:cs="Arial Narrow" w:eastAsia="Arial Narrow"/>
                <w:sz w:val="20"/>
              </w:rPr>
              <w:t>Critical</w:t>
            </w:r>
          </w:p>
        </w:tc>
        <w:tc>
          <w:tcPr>
            <w:tcW w:type="dxa" w:w="1080"/>
            <w:vAlign w:val="center"/>
          </w:tcPr>
          <w:p>
            <w:pPr>
              <w:spacing w:line="240" w:lineRule="auto" w:before="20" w:after="20"/>
            </w:pPr>
            <w:r>
              <w:rPr>
                <w:rFonts w:ascii="Arial Narrow" w:hAnsi="Arial Narrow" w:cs="Arial Narrow" w:eastAsia="Arial Narrow"/>
                <w:sz w:val="20"/>
              </w:rPr>
              <w:t>Critical</w:t>
            </w:r>
          </w:p>
        </w:tc>
        <w:tc>
          <w:tcPr>
            <w:tcW w:type="dxa" w:w="1080"/>
            <w:vAlign w:val="center"/>
          </w:tcPr>
          <w:p>
            <w:pPr>
              <w:spacing w:line="240" w:lineRule="auto" w:before="20" w:after="20"/>
            </w:pPr>
            <w:r>
              <w:rPr>
                <w:rFonts w:ascii="Arial Narrow" w:hAnsi="Arial Narrow" w:cs="Arial Narrow" w:eastAsia="Arial Narrow"/>
                <w:sz w:val="20"/>
              </w:rPr>
              <w:t>/api/forgot-password requires no authentication and returns a working Firebase password-reset link for any named username, giving full account takeover.</w:t>
            </w:r>
          </w:p>
        </w:tc>
      </w:tr>
      <w:tr>
        <w:tc>
          <w:tcPr>
            <w:tcW w:type="dxa" w:w="1080"/>
            <w:vAlign w:val="center"/>
          </w:tcPr>
          <w:p>
            <w:pPr>
              <w:spacing w:line="240" w:lineRule="auto" w:before="20" w:after="20"/>
            </w:pPr>
            <w:r>
              <w:rPr>
                <w:rFonts w:ascii="Arial Narrow" w:hAnsi="Arial Narrow" w:cs="Arial Narrow" w:eastAsia="Arial Narrow"/>
                <w:sz w:val="20"/>
              </w:rPr>
              <w:t>T19</w:t>
            </w:r>
          </w:p>
        </w:tc>
        <w:tc>
          <w:tcPr>
            <w:tcW w:type="dxa" w:w="1080"/>
            <w:vAlign w:val="center"/>
          </w:tcPr>
          <w:p>
            <w:pPr>
              <w:spacing w:line="240" w:lineRule="auto" w:before="20" w:after="20"/>
            </w:pPr>
            <w:r>
              <w:rPr>
                <w:rFonts w:ascii="Arial Narrow" w:hAnsi="Arial Narrow" w:cs="Arial Narrow" w:eastAsia="Arial Narrow"/>
                <w:sz w:val="20"/>
              </w:rPr>
              <w:t>Plaintext credential disclosure in demo mode</w:t>
            </w:r>
          </w:p>
        </w:tc>
        <w:tc>
          <w:tcPr>
            <w:tcW w:type="dxa" w:w="1080"/>
            <w:vAlign w:val="center"/>
          </w:tcPr>
          <w:p>
            <w:pPr>
              <w:spacing w:line="240" w:lineRule="auto" w:before="20" w:after="20"/>
            </w:pPr>
            <w:r>
              <w:rPr>
                <w:rFonts w:ascii="Arial Narrow" w:hAnsi="Arial Narrow" w:cs="Arial Narrow" w:eastAsia="Arial Narrow"/>
                <w:sz w:val="20"/>
              </w:rPr>
              <w:t>Anonymous / attacker</w:t>
            </w:r>
          </w:p>
        </w:tc>
        <w:tc>
          <w:tcPr>
            <w:tcW w:type="dxa" w:w="1080"/>
            <w:vAlign w:val="center"/>
          </w:tcPr>
          <w:p>
            <w:pPr>
              <w:spacing w:line="240" w:lineRule="auto" w:before="20" w:after="20"/>
            </w:pPr>
            <w:r>
              <w:rPr>
                <w:rFonts w:ascii="Arial Narrow" w:hAnsi="Arial Narrow" w:cs="Arial Narrow" w:eastAsia="Arial Narrow"/>
                <w:sz w:val="20"/>
              </w:rPr>
              <w:t>Information exposure / credentials</w:t>
            </w:r>
          </w:p>
        </w:tc>
        <w:tc>
          <w:tcPr>
            <w:tcW w:type="dxa" w:w="1080"/>
            <w:vAlign w:val="center"/>
          </w:tcPr>
          <w:p>
            <w:pPr>
              <w:spacing w:line="240" w:lineRule="auto" w:before="20" w:after="20"/>
            </w:pPr>
            <w:r>
              <w:rPr>
                <w:rFonts w:ascii="Arial Narrow" w:hAnsi="Arial Narrow" w:cs="Arial Narrow" w:eastAsia="Arial Narrow"/>
                <w:sz w:val="20"/>
              </w:rPr>
              <w:t>H</w:t>
            </w:r>
          </w:p>
        </w:tc>
        <w:tc>
          <w:tcPr>
            <w:tcW w:type="dxa" w:w="1080"/>
            <w:vAlign w:val="center"/>
          </w:tcPr>
          <w:p>
            <w:pPr>
              <w:spacing w:line="240" w:lineRule="auto" w:before="20" w:after="20"/>
            </w:pPr>
            <w:r>
              <w:rPr>
                <w:rFonts w:ascii="Arial Narrow" w:hAnsi="Arial Narrow" w:cs="Arial Narrow" w:eastAsia="Arial Narrow"/>
                <w:sz w:val="20"/>
              </w:rPr>
              <w:t>High</w:t>
            </w:r>
          </w:p>
        </w:tc>
        <w:tc>
          <w:tcPr>
            <w:tcW w:type="dxa" w:w="1080"/>
            <w:vAlign w:val="center"/>
          </w:tcPr>
          <w:p>
            <w:pPr>
              <w:spacing w:line="240" w:lineRule="auto" w:before="20" w:after="20"/>
            </w:pPr>
            <w:r>
              <w:rPr>
                <w:rFonts w:ascii="Arial Narrow" w:hAnsi="Arial Narrow" w:cs="Arial Narrow" w:eastAsia="Arial Narrow"/>
                <w:sz w:val="20"/>
              </w:rPr>
              <w:t>High</w:t>
            </w:r>
          </w:p>
        </w:tc>
        <w:tc>
          <w:tcPr>
            <w:tcW w:type="dxa" w:w="1080"/>
            <w:vAlign w:val="center"/>
          </w:tcPr>
          <w:p>
            <w:pPr>
              <w:spacing w:line="240" w:lineRule="auto" w:before="20" w:after="20"/>
            </w:pPr>
            <w:r>
              <w:rPr>
                <w:rFonts w:ascii="Arial Narrow" w:hAnsi="Arial Narrow" w:cs="Arial Narrow" w:eastAsia="Arial Narrow"/>
                <w:sz w:val="20"/>
              </w:rPr>
              <w:t>When Firebase is unconfigured, /api/forgot-password returns demoEmail and demoPassword in plaintext for every seeded account.</w:t>
            </w:r>
          </w:p>
        </w:tc>
      </w:tr>
      <w:tr>
        <w:tc>
          <w:tcPr>
            <w:tcW w:type="dxa" w:w="1080"/>
            <w:vAlign w:val="center"/>
          </w:tcPr>
          <w:p>
            <w:pPr>
              <w:spacing w:line="240" w:lineRule="auto" w:before="20" w:after="20"/>
            </w:pPr>
            <w:r>
              <w:rPr>
                <w:rFonts w:ascii="Arial Narrow" w:hAnsi="Arial Narrow" w:cs="Arial Narrow" w:eastAsia="Arial Narrow"/>
                <w:sz w:val="20"/>
              </w:rPr>
              <w:t>T20</w:t>
            </w:r>
          </w:p>
        </w:tc>
        <w:tc>
          <w:tcPr>
            <w:tcW w:type="dxa" w:w="1080"/>
            <w:vAlign w:val="center"/>
          </w:tcPr>
          <w:p>
            <w:pPr>
              <w:spacing w:line="240" w:lineRule="auto" w:before="20" w:after="20"/>
            </w:pPr>
            <w:r>
              <w:rPr>
                <w:rFonts w:ascii="Arial Narrow" w:hAnsi="Arial Narrow" w:cs="Arial Narrow" w:eastAsia="Arial Narrow"/>
                <w:sz w:val="20"/>
              </w:rPr>
              <w:t>Uncontrolled Google account provisioning</w:t>
            </w:r>
          </w:p>
        </w:tc>
        <w:tc>
          <w:tcPr>
            <w:tcW w:type="dxa" w:w="1080"/>
            <w:vAlign w:val="center"/>
          </w:tcPr>
          <w:p>
            <w:pPr>
              <w:spacing w:line="240" w:lineRule="auto" w:before="20" w:after="20"/>
            </w:pPr>
            <w:r>
              <w:rPr>
                <w:rFonts w:ascii="Arial Narrow" w:hAnsi="Arial Narrow" w:cs="Arial Narrow" w:eastAsia="Arial Narrow"/>
                <w:sz w:val="20"/>
              </w:rPr>
              <w:t>Anyone with a Google account</w:t>
            </w:r>
          </w:p>
        </w:tc>
        <w:tc>
          <w:tcPr>
            <w:tcW w:type="dxa" w:w="1080"/>
            <w:vAlign w:val="center"/>
          </w:tcPr>
          <w:p>
            <w:pPr>
              <w:spacing w:line="240" w:lineRule="auto" w:before="20" w:after="20"/>
            </w:pPr>
            <w:r>
              <w:rPr>
                <w:rFonts w:ascii="Arial Narrow" w:hAnsi="Arial Narrow" w:cs="Arial Narrow" w:eastAsia="Arial Narrow"/>
                <w:sz w:val="20"/>
              </w:rPr>
              <w:t>Authorization / identity</w:t>
            </w:r>
          </w:p>
        </w:tc>
        <w:tc>
          <w:tcPr>
            <w:tcW w:type="dxa" w:w="1080"/>
            <w:vAlign w:val="center"/>
          </w:tcPr>
          <w:p>
            <w:pPr>
              <w:spacing w:line="240" w:lineRule="auto" w:before="20" w:after="20"/>
            </w:pPr>
            <w:r>
              <w:rPr>
                <w:rFonts w:ascii="Arial Narrow" w:hAnsi="Arial Narrow" w:cs="Arial Narrow" w:eastAsia="Arial Narrow"/>
                <w:sz w:val="20"/>
              </w:rPr>
              <w:t>M</w:t>
            </w:r>
          </w:p>
        </w:tc>
        <w:tc>
          <w:tcPr>
            <w:tcW w:type="dxa" w:w="1080"/>
            <w:vAlign w:val="center"/>
          </w:tcPr>
          <w:p>
            <w:pPr>
              <w:spacing w:line="240" w:lineRule="auto" w:before="20" w:after="20"/>
            </w:pPr>
            <w:r>
              <w:rPr>
                <w:rFonts w:ascii="Arial Narrow" w:hAnsi="Arial Narrow" w:cs="Arial Narrow" w:eastAsia="Arial Narrow"/>
                <w:sz w:val="20"/>
              </w:rPr>
              <w:t>H</w:t>
            </w:r>
          </w:p>
        </w:tc>
        <w:tc>
          <w:tcPr>
            <w:tcW w:type="dxa" w:w="1080"/>
            <w:vAlign w:val="center"/>
          </w:tcPr>
          <w:p>
            <w:pPr>
              <w:spacing w:line="240" w:lineRule="auto" w:before="20" w:after="20"/>
            </w:pPr>
            <w:r>
              <w:rPr>
                <w:rFonts w:ascii="Arial Narrow" w:hAnsi="Arial Narrow" w:cs="Arial Narrow" w:eastAsia="Arial Narrow"/>
                <w:sz w:val="20"/>
              </w:rPr>
              <w:t>High</w:t>
            </w:r>
          </w:p>
        </w:tc>
        <w:tc>
          <w:tcPr>
            <w:tcW w:type="dxa" w:w="1080"/>
            <w:vAlign w:val="center"/>
          </w:tcPr>
          <w:p>
            <w:pPr>
              <w:spacing w:line="240" w:lineRule="auto" w:before="20" w:after="20"/>
            </w:pPr>
            <w:r>
              <w:rPr>
                <w:rFonts w:ascii="Arial Narrow" w:hAnsi="Arial Narrow" w:cs="Arial Narrow" w:eastAsia="Arial Narrow"/>
                <w:sz w:val="20"/>
              </w:rPr>
              <w:t>/api/google-login auto-creates a staff profile with role Staff and active true for any unrecognised Google identity, with no allowlist or approval step.</w:t>
            </w:r>
          </w:p>
        </w:tc>
      </w:tr>
    </w:tbl>
    <w:p/>
    <w:p>
      <w:r>
        <w:t>Threats T05–T10 are intentional training weaknesses and therefore should not be removed from the lab without replacing them with equivalent isolated demonstrations. The mitigation plan instead describes how the same patterns would be secured in a production version.</w:t>
      </w:r>
    </w:p>
    <w:p>
      <w:pPr/>
      <w:r>
        <w:rPr/>
        <w:t>T18, T19 and T20 are not intentional lab weaknesses. They are genuine defects in the production-facing authentication and account-provisioning path, and they should be remediated regardless of the training scope.</w:t>
      </w:r>
    </w:p>
    <w:p>
      <w:pPr>
        <w:pStyle w:val="Heading1"/>
      </w:pPr>
      <w:r>
        <w:t>Chapter 14. Threat Trees and Abuse Cases</w:t>
      </w:r>
    </w:p>
    <w:p>
      <w:r>
        <w:drawing>
          <wp:inline xmlns:a="http://schemas.openxmlformats.org/drawingml/2006/main" xmlns:pic="http://schemas.openxmlformats.org/drawingml/2006/picture">
            <wp:extent cx="6217920" cy="3807112"/>
            <wp:docPr id="2" name="Picture 2"/>
            <wp:cNvGraphicFramePr>
              <a:graphicFrameLocks noChangeAspect="1"/>
            </wp:cNvGraphicFramePr>
            <a:graphic>
              <a:graphicData uri="http://schemas.openxmlformats.org/drawingml/2006/picture">
                <pic:pic>
                  <pic:nvPicPr>
                    <pic:cNvPr id="0" name="medicare_threat_tree.png"/>
                    <pic:cNvPicPr/>
                  </pic:nvPicPr>
                  <pic:blipFill>
                    <a:blip r:embed="rId12"/>
                    <a:stretch>
                      <a:fillRect/>
                    </a:stretch>
                  </pic:blipFill>
                  <pic:spPr>
                    <a:xfrm>
                      <a:off x="0" y="0"/>
                      <a:ext cx="6217920" cy="3807112"/>
                    </a:xfrm>
                    <a:prstGeom prst="rect"/>
                  </pic:spPr>
                </pic:pic>
              </a:graphicData>
            </a:graphic>
          </wp:inline>
        </w:drawing>
      </w:r>
    </w:p>
    <w:p>
      <w:pPr>
        <w:jc w:val="center"/>
      </w:pPr>
      <w:r>
        <w:t>Figure 2. Threat tree illustrating paths to staff-account or protected-resource compromise.</w:t>
      </w:r>
    </w:p>
    <w:p>
      <w:pPr>
        <w:pStyle w:val="Heading2"/>
      </w:pPr>
      <w:r>
        <w:t>14.1 Threat Tree A – Compromise a Staff Account</w:t>
      </w:r>
    </w:p>
    <w:p>
      <w:pPr>
        <w:pStyle w:val="ListBullet"/>
      </w:pPr>
      <w:r>
        <w:t>Goal: obtain an authenticated staff identity.</w:t>
      </w:r>
    </w:p>
    <w:p>
      <w:pPr>
        <w:pStyle w:val="ListBullet"/>
      </w:pPr>
      <w:r>
        <w:t>Branch 1: enumerate valid usernames through different authentication responses.</w:t>
      </w:r>
    </w:p>
    <w:p>
      <w:pPr>
        <w:pStyle w:val="ListBullet"/>
      </w:pPr>
      <w:r>
        <w:t>Branch 2: repeatedly submit credential guesses against the login function.</w:t>
      </w:r>
    </w:p>
    <w:p>
      <w:pPr>
        <w:pStyle w:val="ListBullet"/>
      </w:pPr>
      <w:r>
        <w:t>Branch 3: obtain or reuse a valid session/token.</w:t>
      </w:r>
    </w:p>
    <w:p>
      <w:pPr>
        <w:pStyle w:val="ListBullet"/>
      </w:pPr>
      <w:r>
        <w:t>Impact: attacker gains the permissions of the compromised staff account and may access patient or other protected information.</w:t>
      </w:r>
    </w:p>
    <w:p>
      <w:pPr>
        <w:pStyle w:val="Heading2"/>
      </w:pPr>
      <w:r>
        <w:t>14.2 Threat Tree B – Execute Unauthorized Server Commands</w:t>
      </w:r>
    </w:p>
    <w:p>
      <w:pPr>
        <w:pStyle w:val="ListBullet"/>
      </w:pPr>
      <w:r>
        <w:rPr/>
        <w:t>Branch 4: request a password-reset link for the target username and redeem the returned link without ever knowing the current password.</w:t>
      </w:r>
    </w:p>
    <w:p>
      <w:pPr>
        <w:pStyle w:val="ListBullet"/>
      </w:pPr>
      <w:r>
        <w:t>Goal: cause the application server to execute an attacker-controlled command.</w:t>
      </w:r>
    </w:p>
    <w:p>
      <w:pPr>
        <w:pStyle w:val="ListBullet"/>
      </w:pPr>
      <w:r>
        <w:t>Reach the command-execution endpoint.</w:t>
      </w:r>
    </w:p>
    <w:p>
      <w:pPr>
        <w:pStyle w:val="ListBullet"/>
      </w:pPr>
      <w:r>
        <w:t>Place shell control characters or an unexpected command expression in the user-controlled host parameter.</w:t>
      </w:r>
    </w:p>
    <w:p>
      <w:pPr>
        <w:pStyle w:val="ListBullet"/>
      </w:pPr>
      <w:r>
        <w:t>The server concatenates the value into a shell command and invokes `execSync`.</w:t>
      </w:r>
    </w:p>
    <w:p>
      <w:pPr>
        <w:pStyle w:val="ListBullet"/>
      </w:pPr>
      <w:r>
        <w:t>Impact: command execution can expose files, secrets, processes, or enable further compromise.</w:t>
      </w:r>
    </w:p>
    <w:p>
      <w:pPr>
        <w:pStyle w:val="Heading2"/>
      </w:pPr>
      <w:r>
        <w:t>14.3 Threat Tree C – Extract Data through Injection</w:t>
      </w:r>
    </w:p>
    <w:p>
      <w:pPr>
        <w:pStyle w:val="ListBullet"/>
      </w:pPr>
      <w:r>
        <w:t>Goal: obtain data that should not be disclosed.</w:t>
      </w:r>
    </w:p>
    <w:p>
      <w:pPr>
        <w:pStyle w:val="ListBullet"/>
      </w:pPr>
      <w:r>
        <w:t>Reach the blind SQL injection training endpoint.</w:t>
      </w:r>
    </w:p>
    <w:p>
      <w:pPr>
        <w:pStyle w:val="ListBullet"/>
      </w:pPr>
      <w:r>
        <w:t>Supply a condition that the vulnerable evaluator interprets as an injected expression.</w:t>
      </w:r>
    </w:p>
    <w:p>
      <w:pPr>
        <w:pStyle w:val="ListBullet"/>
      </w:pPr>
      <w:r>
        <w:t>Observe the boolean response and repeat queries to infer protected values.</w:t>
      </w:r>
    </w:p>
    <w:p>
      <w:pPr>
        <w:pStyle w:val="ListBullet"/>
      </w:pPr>
      <w:r>
        <w:t>Impact: unauthorized disclosure of credentials or database information in a real vulnerable implementation.</w:t>
      </w:r>
    </w:p>
    <w:p>
      <w:pPr>
        <w:pStyle w:val="Heading2"/>
      </w:pPr>
      <w:r>
        <w:t>14.4 Abuse Cases</w:t>
      </w:r>
    </w:p>
    <w:tbl>
      <w:tblPr>
        <w:tblStyle w:val="TableGrid"/>
        <w:tblW w:type="auto" w:w="0"/>
        <w:jc w:val="center"/>
        <w:tblLayout w:type="fixed"/>
        <w:tblLook w:firstColumn="1" w:firstRow="1" w:lastColumn="0" w:lastRow="0" w:noHBand="0" w:noVBand="1" w:val="04A0"/>
      </w:tblPr>
      <w:tblGrid>
        <w:gridCol w:w="1236"/>
        <w:gridCol w:w="1234"/>
        <w:gridCol w:w="1234"/>
        <w:gridCol w:w="1234"/>
        <w:gridCol w:w="1234"/>
        <w:gridCol w:w="1234"/>
        <w:gridCol w:w="1234"/>
      </w:tblGrid>
      <w:tr>
        <w:tc>
          <w:tcPr>
            <w:tcW w:type="dxa" w:w="1236"/>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ID</w:t>
            </w:r>
          </w:p>
        </w:tc>
        <w:tc>
          <w:tcPr>
            <w:tcW w:type="dxa" w:w="1234"/>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Abuse case</w:t>
            </w:r>
          </w:p>
        </w:tc>
        <w:tc>
          <w:tcPr>
            <w:tcW w:type="dxa" w:w="1234"/>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Actor</w:t>
            </w:r>
          </w:p>
        </w:tc>
        <w:tc>
          <w:tcPr>
            <w:tcW w:type="dxa" w:w="1234"/>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Precondition</w:t>
            </w:r>
          </w:p>
        </w:tc>
        <w:tc>
          <w:tcPr>
            <w:tcW w:type="dxa" w:w="1234"/>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Abuse flow</w:t>
            </w:r>
          </w:p>
        </w:tc>
        <w:tc>
          <w:tcPr>
            <w:tcW w:type="dxa" w:w="1234"/>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Impact</w:t>
            </w:r>
          </w:p>
        </w:tc>
        <w:tc>
          <w:tcPr>
            <w:tcW w:type="dxa" w:w="1234"/>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Threat → mitigation</w:t>
            </w:r>
          </w:p>
        </w:tc>
      </w:tr>
      <w:tr>
        <w:tc>
          <w:tcPr>
            <w:tcW w:type="dxa" w:w="1236"/>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AC-01</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Brute-force staff login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External attacker</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Login endpoint reachable; target username known or enumerable.</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Repeated credential attempts until a valid credential is found.</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Account takeover and staff access.</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T01/T02 → M01/M02</w:t>
            </w:r>
          </w:p>
        </w:tc>
      </w:tr>
      <w:tr>
        <w:tc>
          <w:tcPr>
            <w:tcW w:type="dxa" w:w="1236"/>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AC-02</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Force access to protected resource</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Anonymous attacker</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Endpoint does not consistently require authentication.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Request a sensitive API directly instead of using the UI.</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Unauthorized disclosure or modification.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T03/T11 → M03/M04</w:t>
            </w:r>
          </w:p>
        </w:tc>
      </w:tr>
      <w:tr>
        <w:tc>
          <w:tcPr>
            <w:tcW w:type="dxa" w:w="1236"/>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AC-03</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Abuse excessive staff privileges</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Authenticated low-privilege staff</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Valid staff account.</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Use patient CRUD capabilities beyond the person's job function.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Unauthorized patient-record modification/deletion.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T04 → M05</w:t>
            </w:r>
          </w:p>
        </w:tc>
      </w:tr>
      <w:tr>
        <w:tc>
          <w:tcPr>
            <w:tcW w:type="dxa" w:w="1236"/>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AC-04</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Blind SQL injection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Attacker/tester</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Vulnerable SQL-training endpoint available.</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Submit injection-like conditions and infer true/false results.</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Data disclosure in a real SQL backend.</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T05 → M06</w:t>
            </w:r>
          </w:p>
        </w:tc>
      </w:tr>
      <w:tr>
        <w:tc>
          <w:tcPr>
            <w:tcW w:type="dxa" w:w="1236"/>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AC-05</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Stored XSS</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Authenticated attacker/staff</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Note or feedback content accepted.</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Store script-bearing content and cause another user to view it.</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Session compromise or unauthorized actions in a real application.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T06 → M07</w:t>
            </w:r>
          </w:p>
        </w:tc>
      </w:tr>
      <w:tr>
        <w:tc>
          <w:tcPr>
            <w:tcW w:type="dxa" w:w="1236"/>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AC-06</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CSRF profile modification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Malicious external website</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Victim is authenticated and browser accepts the request.</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Forge a cross-site request to the profile-update endpoint.</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Unauthorized profile or password change.</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T07 → M08</w:t>
            </w:r>
          </w:p>
        </w:tc>
      </w:tr>
      <w:tr>
        <w:tc>
          <w:tcPr>
            <w:tcW w:type="dxa" w:w="1236"/>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AC-07</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File read / path traversal</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File endpoint accepts arbitrary path input.</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Request a sensitive path outside the intended reports directory.</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Disclosure of server files or secrets.</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T08 → M09</w:t>
            </w:r>
          </w:p>
        </w:tc>
      </w:tr>
      <w:tr>
        <w:tc>
          <w:tcPr>
            <w:tcW w:type="dxa" w:w="1236"/>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AC-08</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Command injection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Command endpoint is reachable.</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Inject shell syntax into the host parameter.</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Server-side command execution.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T09 → M10</w:t>
            </w:r>
          </w:p>
        </w:tc>
      </w:tr>
      <w:tr>
        <w:tc>
          <w:tcPr>
            <w:tcW w:type="dxa" w:w="1236"/>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AC-09</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Malicious file upload</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Attacker</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Upload endpoint accepts arbitrary filenames.</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Upload an executable or script-like file name.</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Potential code execution or malware hosting in a real deployment.</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T10 → M11</w:t>
            </w:r>
          </w:p>
        </w:tc>
      </w:tr>
      <w:tr>
        <w:tc>
          <w:tcPr>
            <w:tcW w:type="dxa" w:w="1236"/>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AC-10</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Billing record enumeration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Anonymous attacker</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Invoice lookup accepts an identifier without authentication.</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Guess or obtain invoice IDs and request them directly.</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Disclosure of financial and health-related billing data.</w:t>
            </w:r>
          </w:p>
        </w:tc>
        <w:tc>
          <w:tcPr>
            <w:tcW w:type="dxa" w:w="1234"/>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T11 → M03/M12</w:t>
            </w:r>
          </w:p>
        </w:tc>
      </w:tr>
      <w:tr>
        <w:tc>
          <w:tcPr>
            <w:tcW w:type="dxa" w:w="1236"/>
            <w:vAlign w:val="center"/>
          </w:tcPr>
          <w:p>
            <w:pPr>
              <w:spacing w:line="240" w:lineRule="auto" w:before="20" w:after="20"/>
            </w:pPr>
            <w:r>
              <w:rPr>
                <w:rFonts w:ascii="Arial Narrow" w:hAnsi="Arial Narrow" w:cs="Arial Narrow" w:eastAsia="Arial Narrow"/>
                <w:sz w:val="20"/>
              </w:rPr>
              <w:t>AC-11</w:t>
            </w:r>
          </w:p>
        </w:tc>
        <w:tc>
          <w:tcPr>
            <w:tcW w:type="dxa" w:w="1234"/>
            <w:vAlign w:val="center"/>
          </w:tcPr>
          <w:p>
            <w:pPr>
              <w:spacing w:line="240" w:lineRule="auto" w:before="20" w:after="20"/>
            </w:pPr>
            <w:r>
              <w:rPr>
                <w:rFonts w:ascii="Arial Narrow" w:hAnsi="Arial Narrow" w:cs="Arial Narrow" w:eastAsia="Arial Narrow"/>
                <w:sz w:val="20"/>
              </w:rPr>
              <w:t>Silent account takeover via password reset</w:t>
            </w:r>
          </w:p>
        </w:tc>
        <w:tc>
          <w:tcPr>
            <w:tcW w:type="dxa" w:w="1234"/>
            <w:vAlign w:val="center"/>
          </w:tcPr>
          <w:p>
            <w:pPr>
              <w:spacing w:line="240" w:lineRule="auto" w:before="20" w:after="20"/>
            </w:pPr>
            <w:r>
              <w:rPr>
                <w:rFonts w:ascii="Arial Narrow" w:hAnsi="Arial Narrow" w:cs="Arial Narrow" w:eastAsia="Arial Narrow"/>
                <w:sz w:val="20"/>
              </w:rPr>
              <w:t>Anonymous attacker</w:t>
            </w:r>
          </w:p>
        </w:tc>
        <w:tc>
          <w:tcPr>
            <w:tcW w:type="dxa" w:w="1234"/>
            <w:vAlign w:val="center"/>
          </w:tcPr>
          <w:p>
            <w:pPr>
              <w:spacing w:line="240" w:lineRule="auto" w:before="20" w:after="20"/>
            </w:pPr>
            <w:r>
              <w:rPr>
                <w:rFonts w:ascii="Arial Narrow" w:hAnsi="Arial Narrow" w:cs="Arial Narrow" w:eastAsia="Arial Narrow"/>
                <w:sz w:val="20"/>
              </w:rPr>
              <w:t>Login page or /api/forgot-password is reachable; target username is known or guessed.</w:t>
            </w:r>
          </w:p>
        </w:tc>
        <w:tc>
          <w:tcPr>
            <w:tcW w:type="dxa" w:w="1234"/>
            <w:vAlign w:val="center"/>
          </w:tcPr>
          <w:p>
            <w:pPr>
              <w:spacing w:line="240" w:lineRule="auto" w:before="20" w:after="20"/>
            </w:pPr>
            <w:r>
              <w:rPr>
                <w:rFonts w:ascii="Arial Narrow" w:hAnsi="Arial Narrow" w:cs="Arial Narrow" w:eastAsia="Arial Narrow"/>
                <w:sz w:val="20"/>
              </w:rPr>
              <w:t>POST the target username to /api/forgot-password, receive a working Firebase reset link in the response, then redeem it to set a new password.</w:t>
            </w:r>
          </w:p>
        </w:tc>
        <w:tc>
          <w:tcPr>
            <w:tcW w:type="dxa" w:w="1234"/>
            <w:vAlign w:val="center"/>
          </w:tcPr>
          <w:p>
            <w:pPr>
              <w:spacing w:line="240" w:lineRule="auto" w:before="20" w:after="20"/>
            </w:pPr>
            <w:r>
              <w:rPr>
                <w:rFonts w:ascii="Arial Narrow" w:hAnsi="Arial Narrow" w:cs="Arial Narrow" w:eastAsia="Arial Narrow"/>
                <w:sz w:val="20"/>
              </w:rPr>
              <w:t>Complete takeover of any staff account including Administrator, without the victim's password, email access, or interaction.</w:t>
            </w:r>
          </w:p>
        </w:tc>
        <w:tc>
          <w:tcPr>
            <w:tcW w:type="dxa" w:w="1234"/>
            <w:vAlign w:val="center"/>
          </w:tcPr>
          <w:p>
            <w:pPr>
              <w:spacing w:line="240" w:lineRule="auto" w:before="20" w:after="20"/>
            </w:pPr>
            <w:r>
              <w:rPr>
                <w:rFonts w:ascii="Arial Narrow" w:hAnsi="Arial Narrow" w:cs="Arial Narrow" w:eastAsia="Arial Narrow"/>
                <w:sz w:val="20"/>
              </w:rPr>
              <w:t>T18 -&gt; M21</w:t>
            </w:r>
          </w:p>
        </w:tc>
      </w:tr>
      <w:tr>
        <w:tc>
          <w:tcPr>
            <w:tcW w:type="dxa" w:w="1236"/>
            <w:vAlign w:val="center"/>
          </w:tcPr>
          <w:p>
            <w:pPr>
              <w:spacing w:line="240" w:lineRule="auto" w:before="20" w:after="20"/>
            </w:pPr>
            <w:r>
              <w:rPr>
                <w:rFonts w:ascii="Arial Narrow" w:hAnsi="Arial Narrow" w:cs="Arial Narrow" w:eastAsia="Arial Narrow"/>
                <w:sz w:val="20"/>
              </w:rPr>
              <w:t>AC-12</w:t>
            </w:r>
          </w:p>
        </w:tc>
        <w:tc>
          <w:tcPr>
            <w:tcW w:type="dxa" w:w="1234"/>
            <w:vAlign w:val="center"/>
          </w:tcPr>
          <w:p>
            <w:pPr>
              <w:spacing w:line="240" w:lineRule="auto" w:before="20" w:after="20"/>
            </w:pPr>
            <w:r>
              <w:rPr>
                <w:rFonts w:ascii="Arial Narrow" w:hAnsi="Arial Narrow" w:cs="Arial Narrow" w:eastAsia="Arial Narrow"/>
                <w:sz w:val="20"/>
              </w:rPr>
              <w:t>Harvest demo-mode credentials</w:t>
            </w:r>
          </w:p>
        </w:tc>
        <w:tc>
          <w:tcPr>
            <w:tcW w:type="dxa" w:w="1234"/>
            <w:vAlign w:val="center"/>
          </w:tcPr>
          <w:p>
            <w:pPr>
              <w:spacing w:line="240" w:lineRule="auto" w:before="20" w:after="20"/>
            </w:pPr>
            <w:r>
              <w:rPr>
                <w:rFonts w:ascii="Arial Narrow" w:hAnsi="Arial Narrow" w:cs="Arial Narrow" w:eastAsia="Arial Narrow"/>
                <w:sz w:val="20"/>
              </w:rPr>
              <w:t>Anonymous attacker</w:t>
            </w:r>
          </w:p>
        </w:tc>
        <w:tc>
          <w:tcPr>
            <w:tcW w:type="dxa" w:w="1234"/>
            <w:vAlign w:val="center"/>
          </w:tcPr>
          <w:p>
            <w:pPr>
              <w:spacing w:line="240" w:lineRule="auto" w:before="20" w:after="20"/>
            </w:pPr>
            <w:r>
              <w:rPr>
                <w:rFonts w:ascii="Arial Narrow" w:hAnsi="Arial Narrow" w:cs="Arial Narrow" w:eastAsia="Arial Narrow"/>
                <w:sz w:val="20"/>
              </w:rPr>
              <w:t>Firebase is not configured on the deployment (the default lab state).</w:t>
            </w:r>
          </w:p>
        </w:tc>
        <w:tc>
          <w:tcPr>
            <w:tcW w:type="dxa" w:w="1234"/>
            <w:vAlign w:val="center"/>
          </w:tcPr>
          <w:p>
            <w:pPr>
              <w:spacing w:line="240" w:lineRule="auto" w:before="20" w:after="20"/>
            </w:pPr>
            <w:r>
              <w:rPr>
                <w:rFonts w:ascii="Arial Narrow" w:hAnsi="Arial Narrow" w:cs="Arial Narrow" w:eastAsia="Arial Narrow"/>
                <w:sz w:val="20"/>
              </w:rPr>
              <w:t>Iterate known usernames through /api/forgot-password and read the demoPassword field returned for each account.</w:t>
            </w:r>
          </w:p>
        </w:tc>
        <w:tc>
          <w:tcPr>
            <w:tcW w:type="dxa" w:w="1234"/>
            <w:vAlign w:val="center"/>
          </w:tcPr>
          <w:p>
            <w:pPr>
              <w:spacing w:line="240" w:lineRule="auto" w:before="20" w:after="20"/>
            </w:pPr>
            <w:r>
              <w:rPr>
                <w:rFonts w:ascii="Arial Narrow" w:hAnsi="Arial Narrow" w:cs="Arial Narrow" w:eastAsia="Arial Narrow"/>
                <w:sz w:val="20"/>
              </w:rPr>
              <w:t>Disclosure of every seeded staff password, enabling direct login as any role.</w:t>
            </w:r>
          </w:p>
        </w:tc>
        <w:tc>
          <w:tcPr>
            <w:tcW w:type="dxa" w:w="1234"/>
            <w:vAlign w:val="center"/>
          </w:tcPr>
          <w:p>
            <w:pPr>
              <w:spacing w:line="240" w:lineRule="auto" w:before="20" w:after="20"/>
            </w:pPr>
            <w:r>
              <w:rPr>
                <w:rFonts w:ascii="Arial Narrow" w:hAnsi="Arial Narrow" w:cs="Arial Narrow" w:eastAsia="Arial Narrow"/>
                <w:sz w:val="20"/>
              </w:rPr>
              <w:t>T19 -&gt; M22</w:t>
            </w:r>
          </w:p>
        </w:tc>
      </w:tr>
      <w:tr>
        <w:tc>
          <w:tcPr>
            <w:tcW w:type="dxa" w:w="1236"/>
            <w:vAlign w:val="center"/>
          </w:tcPr>
          <w:p>
            <w:pPr>
              <w:spacing w:line="240" w:lineRule="auto" w:before="20" w:after="20"/>
            </w:pPr>
            <w:r>
              <w:rPr>
                <w:rFonts w:ascii="Arial Narrow" w:hAnsi="Arial Narrow" w:cs="Arial Narrow" w:eastAsia="Arial Narrow"/>
                <w:sz w:val="20"/>
              </w:rPr>
              <w:t>AC-13</w:t>
            </w:r>
          </w:p>
        </w:tc>
        <w:tc>
          <w:tcPr>
            <w:tcW w:type="dxa" w:w="1234"/>
            <w:vAlign w:val="center"/>
          </w:tcPr>
          <w:p>
            <w:pPr>
              <w:spacing w:line="240" w:lineRule="auto" w:before="20" w:after="20"/>
            </w:pPr>
            <w:r>
              <w:rPr>
                <w:rFonts w:ascii="Arial Narrow" w:hAnsi="Arial Narrow" w:cs="Arial Narrow" w:eastAsia="Arial Narrow"/>
                <w:sz w:val="20"/>
              </w:rPr>
              <w:t>Gain staff access through an unrelated Google identity</w:t>
            </w:r>
          </w:p>
        </w:tc>
        <w:tc>
          <w:tcPr>
            <w:tcW w:type="dxa" w:w="1234"/>
            <w:vAlign w:val="center"/>
          </w:tcPr>
          <w:p>
            <w:pPr>
              <w:spacing w:line="240" w:lineRule="auto" w:before="20" w:after="20"/>
            </w:pPr>
            <w:r>
              <w:rPr>
                <w:rFonts w:ascii="Arial Narrow" w:hAnsi="Arial Narrow" w:cs="Arial Narrow" w:eastAsia="Arial Narrow"/>
                <w:sz w:val="20"/>
              </w:rPr>
              <w:t>External individual / attacker</w:t>
            </w:r>
          </w:p>
        </w:tc>
        <w:tc>
          <w:tcPr>
            <w:tcW w:type="dxa" w:w="1234"/>
            <w:vAlign w:val="center"/>
          </w:tcPr>
          <w:p>
            <w:pPr>
              <w:spacing w:line="240" w:lineRule="auto" w:before="20" w:after="20"/>
            </w:pPr>
            <w:r>
              <w:rPr>
                <w:rFonts w:ascii="Arial Narrow" w:hAnsi="Arial Narrow" w:cs="Arial Narrow" w:eastAsia="Arial Narrow"/>
                <w:sz w:val="20"/>
              </w:rPr>
              <w:t>Deployment has Google Sign-In enabled and the attacker controls any Google account.</w:t>
            </w:r>
          </w:p>
        </w:tc>
        <w:tc>
          <w:tcPr>
            <w:tcW w:type="dxa" w:w="1234"/>
            <w:vAlign w:val="center"/>
          </w:tcPr>
          <w:p>
            <w:pPr>
              <w:spacing w:line="240" w:lineRule="auto" w:before="20" w:after="20"/>
            </w:pPr>
            <w:r>
              <w:rPr>
                <w:rFonts w:ascii="Arial Narrow" w:hAnsi="Arial Narrow" w:cs="Arial Narrow" w:eastAsia="Arial Narrow"/>
                <w:sz w:val="20"/>
              </w:rPr>
              <w:t>Sign in with a personal Google account; the server creates a staff profile with the default Staff role and no administrator approval.</w:t>
            </w:r>
          </w:p>
        </w:tc>
        <w:tc>
          <w:tcPr>
            <w:tcW w:type="dxa" w:w="1234"/>
            <w:vAlign w:val="center"/>
          </w:tcPr>
          <w:p>
            <w:pPr>
              <w:spacing w:line="240" w:lineRule="auto" w:before="20" w:after="20"/>
            </w:pPr>
            <w:r>
              <w:rPr>
                <w:rFonts w:ascii="Arial Narrow" w:hAnsi="Arial Narrow" w:cs="Arial Narrow" w:eastAsia="Arial Narrow"/>
                <w:sz w:val="20"/>
              </w:rPr>
              <w:t>Unauthorized access to every function granted to signed-in staff, including patient CRUD under the permissive Firestore rule.</w:t>
            </w:r>
          </w:p>
        </w:tc>
        <w:tc>
          <w:tcPr>
            <w:tcW w:type="dxa" w:w="1234"/>
            <w:vAlign w:val="center"/>
          </w:tcPr>
          <w:p>
            <w:pPr>
              <w:spacing w:line="240" w:lineRule="auto" w:before="20" w:after="20"/>
            </w:pPr>
            <w:r>
              <w:rPr>
                <w:rFonts w:ascii="Arial Narrow" w:hAnsi="Arial Narrow" w:cs="Arial Narrow" w:eastAsia="Arial Narrow"/>
                <w:sz w:val="20"/>
              </w:rPr>
              <w:t>T20 -&gt; M23</w:t>
            </w:r>
          </w:p>
        </w:tc>
      </w:tr>
    </w:tbl>
    <w:p/>
    <w:p>
      <w:r>
        <w:t>The threat trees and abuse cases describe attacker goals and paths at a level suitable for threat modeling. Detailed exploit execution should remain inside the authorized Kali/VirtualBox training environment.</w:t>
      </w:r>
    </w:p>
    <w:p>
      <w:pPr>
        <w:pStyle w:val="Heading1"/>
      </w:pPr>
      <w:r>
        <w:t>Chapter 15. Plan Your Mitigations</w:t>
      </w:r>
    </w:p>
    <w:p>
      <w:r>
        <w:t>The mitigation plan maps directly to the threats in Chapter 13 and the abuse cases in Chapter 14. Controls are grouped using the required categories from the course regulation: authentication, authorization, cookie management, data/input validation, error handling, logging/auditing, cryptography, secure code environment, and session management.</w:t>
      </w:r>
    </w:p>
    <w:tbl>
      <w:tblPr>
        <w:tblStyle w:val="TableGrid"/>
        <w:tblW w:type="auto" w:w="0"/>
        <w:jc w:val="center"/>
        <w:tblLayout w:type="fixed"/>
        <w:tblLook w:firstColumn="1" w:firstRow="1" w:lastColumn="0" w:lastRow="0" w:noHBand="0" w:noVBand="1" w:val="04A0"/>
      </w:tblPr>
      <w:tblGrid>
        <w:gridCol w:w="1728"/>
        <w:gridCol w:w="1728"/>
        <w:gridCol w:w="1728"/>
        <w:gridCol w:w="1728"/>
        <w:gridCol w:w="1728"/>
      </w:tblGrid>
      <w:tr>
        <w:tc>
          <w:tcPr>
            <w:tcW w:type="dxa" w:w="1728"/>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ID</w:t>
            </w:r>
          </w:p>
        </w:tc>
        <w:tc>
          <w:tcPr>
            <w:tcW w:type="dxa" w:w="1728"/>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Control category</w:t>
            </w:r>
          </w:p>
        </w:tc>
        <w:tc>
          <w:tcPr>
            <w:tcW w:type="dxa" w:w="1728"/>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Maps to</w:t>
            </w:r>
          </w:p>
        </w:tc>
        <w:tc>
          <w:tcPr>
            <w:tcW w:type="dxa" w:w="1728"/>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Mitigation</w:t>
            </w:r>
          </w:p>
        </w:tc>
        <w:tc>
          <w:tcPr>
            <w:tcW w:type="dxa" w:w="1728"/>
            <w:shd w:fill="D9EAF7" w:val="clear"/>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sz w:val="20"/>
              </w:rPr>
              <w:t>Priority</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M01</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Authentication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T01,T02 / AC-01</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Use generic authentication errors so username existence is not disclosed; enforce Firebase Authentication; add server-side rate limiting/lockout or progressive delays; monitor repeated failures.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M02</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Authentication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T01,T15</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Protect administrator identities with MFA, strong credential policies, and restricted recovery flows. Never keep production passwords in source code or demo fallback users in production.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M03</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Authorization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T03,T11 / AC-02,AC-10</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Require authentication and explicit authorization on every sensitive API. Billing must verify the caller and authorize the requested invoice.</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M04</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Authorization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T03,T04 / AC-02,AC-03</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Implement role-based access control for Administrator, Physician, Nurse, Radiologist, and Laboratory Technician at both API and Firestore layers.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M05</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Authorization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T04 / AC-03</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Replace broad `signedIn()` access for sensitive patient collections with role- and operation-specific rules. Separate read/create/update/delete privileges.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M06</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Data/Input Validation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T05 / AC-04</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Remove dynamic SQL construction and use parameterized queries or a safe ORM. Validate type, length, and allowed formats. Disable verbose SQL errors.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M07</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Data/Input Validation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T06 / AC-05</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Encode output by context, sanitize rich text when HTML is required, avoid `innerHTML` for untrusted data, and add a restrictive Content Security Policy.</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M08</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Cookie Management / CSRF</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T07 / AC-06</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Use CSRF tokens for state-changing cookie-authenticated requests; validate trusted origins; restrict CORS; use `SameSite`, `Secure`, and `HttpOnly` cookies for server sessions.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M09</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Data/Input Validation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T08 / AC-07</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Allow only server-defined file identifiers or a restricted reports directory. Resolve paths canonically and reject anything outside the approved base.</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M10</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Secure Code Environment</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T09 / AC-08</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Never concatenate user input into shell commands. Prefer a safe library/API and strict host validation. Run the service as a non-root user with minimal OS permissions.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M11</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Data/Input Validation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T10 / AC-09</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Allowlist file types, validate MIME type and file signature, enforce size limits, randomize stored names, store outside executable web root, and scan uploads.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M12</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Data Protection / Authorization</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T11 / AC-10</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Require authentication for billing, authorize invoice access, use non-guessable identifiers where appropriate, and minimize returned fields.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M13</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Error Handling</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T12</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Return generic client-facing errors. Log detailed technical errors only on the server. Remove stack traces, paths, secrets, and internal configuration from responses.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M14</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Cookie Management / CORS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T13</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Replace wildcard CORS on sensitive endpoints with a strict allowlist. Do not allow credentialed requests from arbitrary origins.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M15</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Session Management</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T14 / AC-01,AC-02</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Treat browser storage and UI role values as untrusted. Verify Firebase ID tokens/server sessions for sensitive operations. Use appropriate session lifetime and reauthentication for sensitive actions.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M16</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Cryptography / Secrets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T15</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Store service-account and Gemini credentials only in Render secret environment variables or a dedicated secret manager. Never commit or log them.</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M17</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Secure Code Environment</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T16</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Pin and update dependencies, scan dependencies, use supported Node.js/container images, run as non-root, minimize packages, and add security checks to CI/CD.</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M18</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Logging/Auditing</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T01,T03,T04,T07,T09,T10,T11</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Record authentication failures, privilege changes, sensitive access, administrative actions, and high-risk API events. Never log passwords or tokens.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High</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M19</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Availability / External API</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T17</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Keep the AI proxy server-side, enforce access controls if sensitive context is used, apply message/history limits, rate limiting, timeouts, quotas, and failure handling.</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Medium</w:t>
            </w:r>
          </w:p>
        </w:tc>
      </w:tr>
      <w:tr>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M20</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Secure Testing Environment</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All intentional lab threats / all abuse cases</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Keep vulnerable endpoints isolated from production functions and data. Use fictional records, dedicated test accounts, isolated credentials, documented scope, and retesting.</w:t>
            </w:r>
          </w:p>
        </w:tc>
        <w:tc>
          <w:tcPr>
            <w:tcW w:type="dxa" w:w="1728"/>
            <w:vAlign w:val="center"/>
          </w:tcPr>
          <w:p>
            <w:pPr>
              <w:spacing w:line="240" w:lineRule="auto" w:before="20" w:after="20"/>
            </w:pPr>
            <w:r>
              <w:rPr>
                <w:rFonts w:ascii="Arial Narrow" w:hAnsi="Arial Narrow" w:cs="Arial Narrow" w:eastAsia="Arial Narrow"/>
                <w:sz w:val="20"/>
              </w:rPr>
            </w:r>
            <w:r>
              <w:rPr>
                <w:rFonts w:ascii="Arial Narrow" w:hAnsi="Arial Narrow" w:cs="Arial Narrow" w:eastAsia="Arial Narrow"/>
                <w:b w:val="0"/>
                <w:sz w:val="20"/>
              </w:rPr>
              <w:t>Critical</w:t>
            </w:r>
          </w:p>
        </w:tc>
      </w:tr>
      <w:tr>
        <w:tc>
          <w:tcPr>
            <w:tcW w:type="dxa" w:w="1728"/>
            <w:vAlign w:val="center"/>
          </w:tcPr>
          <w:p>
            <w:pPr>
              <w:spacing w:line="240" w:lineRule="auto" w:before="20" w:after="20"/>
            </w:pPr>
            <w:r>
              <w:rPr>
                <w:rFonts w:ascii="Arial Narrow" w:hAnsi="Arial Narrow" w:cs="Arial Narrow" w:eastAsia="Arial Narrow"/>
                <w:sz w:val="20"/>
              </w:rPr>
              <w:t>M21</w:t>
            </w:r>
          </w:p>
        </w:tc>
        <w:tc>
          <w:tcPr>
            <w:tcW w:type="dxa" w:w="1728"/>
            <w:vAlign w:val="center"/>
          </w:tcPr>
          <w:p>
            <w:pPr>
              <w:spacing w:line="240" w:lineRule="auto" w:before="20" w:after="20"/>
            </w:pPr>
            <w:r>
              <w:rPr>
                <w:rFonts w:ascii="Arial Narrow" w:hAnsi="Arial Narrow" w:cs="Arial Narrow" w:eastAsia="Arial Narrow"/>
                <w:sz w:val="20"/>
              </w:rPr>
              <w:t>Authentication / Session Management</w:t>
            </w:r>
          </w:p>
        </w:tc>
        <w:tc>
          <w:tcPr>
            <w:tcW w:type="dxa" w:w="1728"/>
            <w:vAlign w:val="center"/>
          </w:tcPr>
          <w:p>
            <w:pPr>
              <w:spacing w:line="240" w:lineRule="auto" w:before="20" w:after="20"/>
            </w:pPr>
            <w:r>
              <w:rPr>
                <w:rFonts w:ascii="Arial Narrow" w:hAnsi="Arial Narrow" w:cs="Arial Narrow" w:eastAsia="Arial Narrow"/>
                <w:sz w:val="20"/>
              </w:rPr>
              <w:t>T18 / AC-11</w:t>
            </w:r>
          </w:p>
        </w:tc>
        <w:tc>
          <w:tcPr>
            <w:tcW w:type="dxa" w:w="1728"/>
            <w:vAlign w:val="center"/>
          </w:tcPr>
          <w:p>
            <w:pPr>
              <w:spacing w:line="240" w:lineRule="auto" w:before="20" w:after="20"/>
            </w:pPr>
            <w:r>
              <w:rPr>
                <w:rFonts w:ascii="Arial Narrow" w:hAnsi="Arial Narrow" w:cs="Arial Narrow" w:eastAsia="Arial Narrow"/>
                <w:sz w:val="20"/>
              </w:rPr>
              <w:t>Never return a password-reset link or token in the API response. Send it only to the registered email, require a single-use short-lived token, invalidate it after use, add rate limiting and lockout, and notify the account owner of reset requests.</w:t>
            </w:r>
          </w:p>
        </w:tc>
        <w:tc>
          <w:tcPr>
            <w:tcW w:type="dxa" w:w="1728"/>
            <w:vAlign w:val="center"/>
          </w:tcPr>
          <w:p>
            <w:pPr>
              <w:spacing w:line="240" w:lineRule="auto" w:before="20" w:after="20"/>
            </w:pPr>
            <w:r>
              <w:rPr>
                <w:rFonts w:ascii="Arial Narrow" w:hAnsi="Arial Narrow" w:cs="Arial Narrow" w:eastAsia="Arial Narrow"/>
                <w:sz w:val="20"/>
              </w:rPr>
              <w:t>Critical</w:t>
            </w:r>
          </w:p>
        </w:tc>
      </w:tr>
      <w:tr>
        <w:tc>
          <w:tcPr>
            <w:tcW w:type="dxa" w:w="1728"/>
            <w:vAlign w:val="center"/>
          </w:tcPr>
          <w:p>
            <w:pPr>
              <w:spacing w:line="240" w:lineRule="auto" w:before="20" w:after="20"/>
            </w:pPr>
            <w:r>
              <w:rPr>
                <w:rFonts w:ascii="Arial Narrow" w:hAnsi="Arial Narrow" w:cs="Arial Narrow" w:eastAsia="Arial Narrow"/>
                <w:sz w:val="20"/>
              </w:rPr>
              <w:t>M22</w:t>
            </w:r>
          </w:p>
        </w:tc>
        <w:tc>
          <w:tcPr>
            <w:tcW w:type="dxa" w:w="1728"/>
            <w:vAlign w:val="center"/>
          </w:tcPr>
          <w:p>
            <w:pPr>
              <w:spacing w:line="240" w:lineRule="auto" w:before="20" w:after="20"/>
            </w:pPr>
            <w:r>
              <w:rPr>
                <w:rFonts w:ascii="Arial Narrow" w:hAnsi="Arial Narrow" w:cs="Arial Narrow" w:eastAsia="Arial Narrow"/>
                <w:sz w:val="20"/>
              </w:rPr>
              <w:t>Data Protection / Error Handling</w:t>
            </w:r>
          </w:p>
        </w:tc>
        <w:tc>
          <w:tcPr>
            <w:tcW w:type="dxa" w:w="1728"/>
            <w:vAlign w:val="center"/>
          </w:tcPr>
          <w:p>
            <w:pPr>
              <w:spacing w:line="240" w:lineRule="auto" w:before="20" w:after="20"/>
            </w:pPr>
            <w:r>
              <w:rPr>
                <w:rFonts w:ascii="Arial Narrow" w:hAnsi="Arial Narrow" w:cs="Arial Narrow" w:eastAsia="Arial Narrow"/>
                <w:sz w:val="20"/>
              </w:rPr>
              <w:t>T19 / AC-12</w:t>
            </w:r>
          </w:p>
        </w:tc>
        <w:tc>
          <w:tcPr>
            <w:tcW w:type="dxa" w:w="1728"/>
            <w:vAlign w:val="center"/>
          </w:tcPr>
          <w:p>
            <w:pPr>
              <w:spacing w:line="240" w:lineRule="auto" w:before="20" w:after="20"/>
            </w:pPr>
            <w:r>
              <w:rPr>
                <w:rFonts w:ascii="Arial Narrow" w:hAnsi="Arial Narrow" w:cs="Arial Narrow" w:eastAsia="Arial Narrow"/>
                <w:sz w:val="20"/>
              </w:rPr>
              <w:t>Remove the demoEmail/demoPassword response. Return one generic message regardless of whether the account exists, and keep demo credentials out of any response body.</w:t>
            </w:r>
          </w:p>
        </w:tc>
        <w:tc>
          <w:tcPr>
            <w:tcW w:type="dxa" w:w="1728"/>
            <w:vAlign w:val="center"/>
          </w:tcPr>
          <w:p>
            <w:pPr>
              <w:spacing w:line="240" w:lineRule="auto" w:before="20" w:after="20"/>
            </w:pPr>
            <w:r>
              <w:rPr>
                <w:rFonts w:ascii="Arial Narrow" w:hAnsi="Arial Narrow" w:cs="Arial Narrow" w:eastAsia="Arial Narrow"/>
                <w:sz w:val="20"/>
              </w:rPr>
              <w:t>High</w:t>
            </w:r>
          </w:p>
        </w:tc>
      </w:tr>
      <w:tr>
        <w:tc>
          <w:tcPr>
            <w:tcW w:type="dxa" w:w="1728"/>
            <w:vAlign w:val="center"/>
          </w:tcPr>
          <w:p>
            <w:pPr>
              <w:spacing w:line="240" w:lineRule="auto" w:before="20" w:after="20"/>
            </w:pPr>
            <w:r>
              <w:rPr>
                <w:rFonts w:ascii="Arial Narrow" w:hAnsi="Arial Narrow" w:cs="Arial Narrow" w:eastAsia="Arial Narrow"/>
                <w:sz w:val="20"/>
              </w:rPr>
              <w:t>M23</w:t>
            </w:r>
          </w:p>
        </w:tc>
        <w:tc>
          <w:tcPr>
            <w:tcW w:type="dxa" w:w="1728"/>
            <w:vAlign w:val="center"/>
          </w:tcPr>
          <w:p>
            <w:pPr>
              <w:spacing w:line="240" w:lineRule="auto" w:before="20" w:after="20"/>
            </w:pPr>
            <w:r>
              <w:rPr>
                <w:rFonts w:ascii="Arial Narrow" w:hAnsi="Arial Narrow" w:cs="Arial Narrow" w:eastAsia="Arial Narrow"/>
                <w:sz w:val="20"/>
              </w:rPr>
              <w:t>Authorization / Identity</w:t>
            </w:r>
          </w:p>
        </w:tc>
        <w:tc>
          <w:tcPr>
            <w:tcW w:type="dxa" w:w="1728"/>
            <w:vAlign w:val="center"/>
          </w:tcPr>
          <w:p>
            <w:pPr>
              <w:spacing w:line="240" w:lineRule="auto" w:before="20" w:after="20"/>
            </w:pPr>
            <w:r>
              <w:rPr>
                <w:rFonts w:ascii="Arial Narrow" w:hAnsi="Arial Narrow" w:cs="Arial Narrow" w:eastAsia="Arial Narrow"/>
                <w:sz w:val="20"/>
              </w:rPr>
              <w:t>T20 / AC-13</w:t>
            </w:r>
          </w:p>
        </w:tc>
        <w:tc>
          <w:tcPr>
            <w:tcW w:type="dxa" w:w="1728"/>
            <w:vAlign w:val="center"/>
          </w:tcPr>
          <w:p>
            <w:pPr>
              <w:spacing w:line="240" w:lineRule="auto" w:before="20" w:after="20"/>
            </w:pPr>
            <w:r>
              <w:rPr>
                <w:rFonts w:ascii="Arial Narrow" w:hAnsi="Arial Narrow" w:cs="Arial Narrow" w:eastAsia="Arial Narrow"/>
                <w:sz w:val="20"/>
              </w:rPr>
              <w:t>Do not auto-provision staff accounts from arbitrary Google identities. Require an allowlist of approved domains or accounts, set new accounts to an inactive/pending state, and require administrator approval before any role is granted.</w:t>
            </w:r>
          </w:p>
        </w:tc>
        <w:tc>
          <w:tcPr>
            <w:tcW w:type="dxa" w:w="1728"/>
            <w:vAlign w:val="center"/>
          </w:tcPr>
          <w:p>
            <w:pPr>
              <w:spacing w:line="240" w:lineRule="auto" w:before="20" w:after="20"/>
            </w:pPr>
            <w:r>
              <w:rPr>
                <w:rFonts w:ascii="Arial Narrow" w:hAnsi="Arial Narrow" w:cs="Arial Narrow" w:eastAsia="Arial Narrow"/>
                <w:sz w:val="20"/>
              </w:rPr>
              <w:t>Critical</w:t>
            </w:r>
          </w:p>
        </w:tc>
      </w:tr>
    </w:tbl>
    <w:p/>
    <w:p>
      <w:pPr>
        <w:pStyle w:val="Heading2"/>
      </w:pPr>
      <w:r>
        <w:t>15.1 Mitigation-to-Threat Traceability</w:t>
      </w:r>
    </w:p>
    <w:tbl>
      <w:tblPr>
        <w:tblStyle w:val="TableGrid"/>
        <w:tblW w:type="auto" w:w="0"/>
        <w:jc w:val="center"/>
        <w:tblLayout w:type="fixed"/>
        <w:tblLook w:firstColumn="1" w:firstRow="1" w:lastColumn="0" w:lastRow="0" w:noHBand="0" w:noVBand="1" w:val="04A0"/>
      </w:tblPr>
      <w:tblGrid>
        <w:gridCol w:w="4320"/>
        <w:gridCol w:w="4320"/>
      </w:tblGrid>
      <w:tr>
        <w:tc>
          <w:tcPr>
            <w:tcW w:type="dxa" w:w="432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Threat ID</w:t>
            </w:r>
          </w:p>
        </w:tc>
        <w:tc>
          <w:tcPr>
            <w:tcW w:type="dxa" w:w="432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Direct mitigation controls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T01/T02</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M01, M02, M18</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T03</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M03, M04, M15, M18</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T04</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M04, M05, M18</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T05</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M06, M13, M20</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T06</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M07, M13, M20</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T07</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M08, M14, M15, M18</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T08</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M09, M13, M20</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T09</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M10, M13, M18, M20</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T10</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M11, M18, M20</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T11</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M03, M12, M13, M18</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T12</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M13</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T13</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M14</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T14</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M15</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T15</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M16, M18</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T16</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M17</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T17</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M19</w:t>
            </w:r>
          </w:p>
        </w:tc>
      </w:tr>
      <w:tr>
        <w:tc>
          <w:tcPr>
            <w:tcW w:type="dxa" w:w="4320"/>
            <w:vAlign w:val="center"/>
          </w:tcPr>
          <w:p>
            <w:pPr>
              <w:spacing w:line="240" w:lineRule="auto" w:before="20" w:after="20"/>
            </w:pPr>
            <w:r>
              <w:rPr>
                <w:rFonts w:ascii="Arial Narrow" w:hAnsi="Arial Narrow" w:cs="Arial Narrow" w:eastAsia="Arial Narrow"/>
                <w:sz w:val="24"/>
              </w:rPr>
              <w:t>T18</w:t>
            </w:r>
          </w:p>
        </w:tc>
        <w:tc>
          <w:tcPr>
            <w:tcW w:type="dxa" w:w="4320"/>
            <w:vAlign w:val="center"/>
          </w:tcPr>
          <w:p>
            <w:pPr>
              <w:spacing w:line="240" w:lineRule="auto" w:before="20" w:after="20"/>
            </w:pPr>
            <w:r>
              <w:rPr>
                <w:rFonts w:ascii="Arial Narrow" w:hAnsi="Arial Narrow" w:cs="Arial Narrow" w:eastAsia="Arial Narrow"/>
                <w:sz w:val="24"/>
              </w:rPr>
              <w:t>M21, M18</w:t>
            </w:r>
          </w:p>
        </w:tc>
      </w:tr>
      <w:tr>
        <w:tc>
          <w:tcPr>
            <w:tcW w:type="dxa" w:w="4320"/>
            <w:vAlign w:val="center"/>
          </w:tcPr>
          <w:p>
            <w:pPr>
              <w:spacing w:line="240" w:lineRule="auto" w:before="20" w:after="20"/>
            </w:pPr>
            <w:r>
              <w:rPr>
                <w:rFonts w:ascii="Arial Narrow" w:hAnsi="Arial Narrow" w:cs="Arial Narrow" w:eastAsia="Arial Narrow"/>
                <w:sz w:val="24"/>
              </w:rPr>
              <w:t>T19</w:t>
            </w:r>
          </w:p>
        </w:tc>
        <w:tc>
          <w:tcPr>
            <w:tcW w:type="dxa" w:w="4320"/>
            <w:vAlign w:val="center"/>
          </w:tcPr>
          <w:p>
            <w:pPr>
              <w:spacing w:line="240" w:lineRule="auto" w:before="20" w:after="20"/>
            </w:pPr>
            <w:r>
              <w:rPr>
                <w:rFonts w:ascii="Arial Narrow" w:hAnsi="Arial Narrow" w:cs="Arial Narrow" w:eastAsia="Arial Narrow"/>
                <w:sz w:val="24"/>
              </w:rPr>
              <w:t>M22, M13, M18</w:t>
            </w:r>
          </w:p>
        </w:tc>
      </w:tr>
      <w:tr>
        <w:tc>
          <w:tcPr>
            <w:tcW w:type="dxa" w:w="4320"/>
            <w:vAlign w:val="center"/>
          </w:tcPr>
          <w:p>
            <w:pPr>
              <w:spacing w:line="240" w:lineRule="auto" w:before="20" w:after="20"/>
            </w:pPr>
            <w:r>
              <w:rPr>
                <w:rFonts w:ascii="Arial Narrow" w:hAnsi="Arial Narrow" w:cs="Arial Narrow" w:eastAsia="Arial Narrow"/>
                <w:sz w:val="24"/>
              </w:rPr>
              <w:t>T20</w:t>
            </w:r>
          </w:p>
        </w:tc>
        <w:tc>
          <w:tcPr>
            <w:tcW w:type="dxa" w:w="4320"/>
            <w:vAlign w:val="center"/>
          </w:tcPr>
          <w:p>
            <w:pPr>
              <w:spacing w:line="240" w:lineRule="auto" w:before="20" w:after="20"/>
            </w:pPr>
            <w:r>
              <w:rPr>
                <w:rFonts w:ascii="Arial Narrow" w:hAnsi="Arial Narrow" w:cs="Arial Narrow" w:eastAsia="Arial Narrow"/>
                <w:sz w:val="24"/>
              </w:rPr>
              <w:t>M23, M04, M18</w:t>
            </w:r>
          </w:p>
        </w:tc>
      </w:tr>
    </w:tbl>
    <w:p/>
    <w:p>
      <w:pPr>
        <w:pStyle w:val="Heading2"/>
      </w:pPr>
      <w:r>
        <w:t>15.2 Abuse-Case Traceability</w:t>
      </w:r>
    </w:p>
    <w:tbl>
      <w:tblPr>
        <w:tblStyle w:val="TableGrid"/>
        <w:tblW w:type="auto" w:w="0"/>
        <w:jc w:val="center"/>
        <w:tblLayout w:type="fixed"/>
        <w:tblLook w:firstColumn="1" w:firstRow="1" w:lastColumn="0" w:lastRow="0" w:noHBand="0" w:noVBand="1" w:val="04A0"/>
      </w:tblPr>
      <w:tblGrid>
        <w:gridCol w:w="4320"/>
        <w:gridCol w:w="4320"/>
      </w:tblGrid>
      <w:tr>
        <w:tc>
          <w:tcPr>
            <w:tcW w:type="dxa" w:w="432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Abuse Case</w:t>
            </w:r>
          </w:p>
        </w:tc>
        <w:tc>
          <w:tcPr>
            <w:tcW w:type="dxa" w:w="4320"/>
            <w:shd w:fill="D9EAF7" w:val="clear"/>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sz w:val="24"/>
              </w:rPr>
              <w:t>Direct mitigation controls</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AC-01</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M01, M02, M15, M18</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AC-02</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M03, M04, M15, M18</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AC-03</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M04, M05, M18</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AC-04</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M06, M13, M20</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AC-05</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M07, M13, M20</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AC-06</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M08, M14, M15, M18</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AC-07</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M09, M13, M20</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AC-08</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M10, M13, M18, M20</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AC-09</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M11, M18, M20</w:t>
            </w:r>
          </w:p>
        </w:tc>
      </w:tr>
      <w:tr>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AC-10</w:t>
            </w:r>
          </w:p>
        </w:tc>
        <w:tc>
          <w:tcPr>
            <w:tcW w:type="dxa" w:w="4320"/>
            <w:vAlign w:val="center"/>
          </w:tcPr>
          <w:p>
            <w:pPr>
              <w:spacing w:line="240" w:lineRule="auto" w:before="20" w:after="20"/>
            </w:pPr>
            <w:r>
              <w:rPr>
                <w:rFonts w:ascii="Arial Narrow" w:hAnsi="Arial Narrow" w:cs="Arial Narrow" w:eastAsia="Arial Narrow"/>
                <w:sz w:val="24"/>
              </w:rPr>
            </w:r>
            <w:r>
              <w:rPr>
                <w:rFonts w:ascii="Arial Narrow" w:hAnsi="Arial Narrow" w:cs="Arial Narrow" w:eastAsia="Arial Narrow"/>
                <w:b w:val="0"/>
                <w:sz w:val="24"/>
              </w:rPr>
              <w:t>M03, M12, M13, M18</w:t>
            </w:r>
          </w:p>
        </w:tc>
      </w:tr>
      <w:tr>
        <w:tc>
          <w:tcPr>
            <w:tcW w:type="dxa" w:w="4320"/>
            <w:vAlign w:val="center"/>
          </w:tcPr>
          <w:p>
            <w:pPr>
              <w:spacing w:line="240" w:lineRule="auto" w:before="20" w:after="20"/>
            </w:pPr>
            <w:r>
              <w:rPr>
                <w:rFonts w:ascii="Arial Narrow" w:hAnsi="Arial Narrow" w:cs="Arial Narrow" w:eastAsia="Arial Narrow"/>
                <w:sz w:val="24"/>
              </w:rPr>
              <w:t>AC-11</w:t>
            </w:r>
          </w:p>
        </w:tc>
        <w:tc>
          <w:tcPr>
            <w:tcW w:type="dxa" w:w="4320"/>
            <w:vAlign w:val="center"/>
          </w:tcPr>
          <w:p>
            <w:pPr>
              <w:spacing w:line="240" w:lineRule="auto" w:before="20" w:after="20"/>
            </w:pPr>
            <w:r>
              <w:rPr>
                <w:rFonts w:ascii="Arial Narrow" w:hAnsi="Arial Narrow" w:cs="Arial Narrow" w:eastAsia="Arial Narrow"/>
                <w:sz w:val="24"/>
              </w:rPr>
              <w:t>M21, M02, M18</w:t>
            </w:r>
          </w:p>
        </w:tc>
      </w:tr>
      <w:tr>
        <w:tc>
          <w:tcPr>
            <w:tcW w:type="dxa" w:w="4320"/>
            <w:vAlign w:val="center"/>
          </w:tcPr>
          <w:p>
            <w:pPr>
              <w:spacing w:line="240" w:lineRule="auto" w:before="20" w:after="20"/>
            </w:pPr>
            <w:r>
              <w:rPr>
                <w:rFonts w:ascii="Arial Narrow" w:hAnsi="Arial Narrow" w:cs="Arial Narrow" w:eastAsia="Arial Narrow"/>
                <w:sz w:val="24"/>
              </w:rPr>
              <w:t>AC-12</w:t>
            </w:r>
          </w:p>
        </w:tc>
        <w:tc>
          <w:tcPr>
            <w:tcW w:type="dxa" w:w="4320"/>
            <w:vAlign w:val="center"/>
          </w:tcPr>
          <w:p>
            <w:pPr>
              <w:spacing w:line="240" w:lineRule="auto" w:before="20" w:after="20"/>
            </w:pPr>
            <w:r>
              <w:rPr>
                <w:rFonts w:ascii="Arial Narrow" w:hAnsi="Arial Narrow" w:cs="Arial Narrow" w:eastAsia="Arial Narrow"/>
                <w:sz w:val="24"/>
              </w:rPr>
              <w:t>M22, M13, M18</w:t>
            </w:r>
          </w:p>
        </w:tc>
      </w:tr>
      <w:tr>
        <w:tc>
          <w:tcPr>
            <w:tcW w:type="dxa" w:w="4320"/>
            <w:vAlign w:val="center"/>
          </w:tcPr>
          <w:p>
            <w:pPr>
              <w:spacing w:line="240" w:lineRule="auto" w:before="20" w:after="20"/>
            </w:pPr>
            <w:r>
              <w:rPr>
                <w:rFonts w:ascii="Arial Narrow" w:hAnsi="Arial Narrow" w:cs="Arial Narrow" w:eastAsia="Arial Narrow"/>
                <w:sz w:val="24"/>
              </w:rPr>
              <w:t>AC-13</w:t>
            </w:r>
          </w:p>
        </w:tc>
        <w:tc>
          <w:tcPr>
            <w:tcW w:type="dxa" w:w="4320"/>
            <w:vAlign w:val="center"/>
          </w:tcPr>
          <w:p>
            <w:pPr>
              <w:spacing w:line="240" w:lineRule="auto" w:before="20" w:after="20"/>
            </w:pPr>
            <w:r>
              <w:rPr>
                <w:rFonts w:ascii="Arial Narrow" w:hAnsi="Arial Narrow" w:cs="Arial Narrow" w:eastAsia="Arial Narrow"/>
                <w:sz w:val="24"/>
              </w:rPr>
              <w:t>M23, M04, M18</w:t>
            </w:r>
          </w:p>
        </w:tc>
      </w:tr>
    </w:tbl>
    <w:p/>
    <w:p>
      <w:pPr>
        <w:pStyle w:val="Heading2"/>
      </w:pPr>
      <w:r>
        <w:t>15.3 Priority Remediation Order</w:t>
      </w:r>
    </w:p>
    <w:p>
      <w:pPr>
        <w:pStyle w:val="ListNumber"/>
      </w:pPr>
      <w:r>
        <w:t>Implement authentication and authorization checks on every sensitive API, especially billing and any endpoint that can access or change protected information.</w:t>
      </w:r>
    </w:p>
    <w:p>
      <w:pPr>
        <w:pStyle w:val="ListNumber"/>
      </w:pPr>
      <w:r>
        <w:rPr/>
        <w:t>Close the password-reset disclosure (M21) and disable automatic Google account provisioning (M23); both grant access without any credential the attacker lacks.</w:t>
      </w:r>
    </w:p>
    <w:p>
      <w:pPr>
        <w:pStyle w:val="ListNumber"/>
      </w:pPr>
      <w:r>
        <w:t>Replace broad authenticated-user Firestore access with role-based, least-privilege rules.</w:t>
      </w:r>
    </w:p>
    <w:p>
      <w:pPr>
        <w:pStyle w:val="ListNumber"/>
      </w:pPr>
      <w:r>
        <w:t>Remove or isolate command execution, arbitrary file reads, unrestricted uploads, CSRF lab behavior, and intentionally vulnerable SQL logic from any production deployment.</w:t>
      </w:r>
    </w:p>
    <w:p>
      <w:pPr>
        <w:pStyle w:val="ListNumber"/>
      </w:pPr>
      <w:r>
        <w:t>Protect service-account and AI credentials using deployment secrets and verify that no secret appears in source control or logs.</w:t>
      </w:r>
    </w:p>
    <w:p>
      <w:pPr>
        <w:pStyle w:val="ListNumber"/>
      </w:pPr>
      <w:r>
        <w:t>Implement secure input/output handling, generic errors, strict CORS, secure session/cookie settings, and centralized security logging.</w:t>
      </w:r>
    </w:p>
    <w:p>
      <w:pPr>
        <w:pStyle w:val="ListNumber"/>
      </w:pPr>
      <w:r>
        <w:t>Patch dependencies and harden the Render/container runtime.</w:t>
      </w:r>
    </w:p>
    <w:p>
      <w:pPr>
        <w:pStyle w:val="ListNumber"/>
      </w:pPr>
      <w:r>
        <w:t>Retest each Chapter 13 threat and corresponding Chapter 14 abuse case after remediation.</w:t>
      </w:r>
    </w:p>
    <w:p>
      <w:pPr>
        <w:pStyle w:val="Heading2"/>
      </w:pPr>
      <w:r>
        <w:t>15.4 Effectiveness Criteria</w:t>
      </w:r>
    </w:p>
    <w:p>
      <w:pPr>
        <w:pStyle w:val="ListBullet"/>
      </w:pPr>
      <w:r>
        <w:t>Brute-force attempts are throttled or blocked, and login responses do not reveal whether a username exists.</w:t>
      </w:r>
    </w:p>
    <w:p>
      <w:pPr>
        <w:pStyle w:val="ListBullet"/>
      </w:pPr>
      <w:r>
        <w:rPr/>
        <w:t>An unrecognised Google identity cannot obtain a usable staff account without administrator approval.</w:t>
      </w:r>
    </w:p>
    <w:p>
      <w:pPr>
        <w:pStyle w:val="ListBullet"/>
      </w:pPr>
      <w:r>
        <w:rPr/>
        <w:t>A password-reset request never returns a link, token, or credential in the HTTP response, and reset links are single-use and expire.</w:t>
      </w:r>
    </w:p>
    <w:p>
      <w:pPr>
        <w:pStyle w:val="ListBullet"/>
      </w:pPr>
      <w:r>
        <w:t>Unauthenticated users cannot access protected data or sensitive API operations.</w:t>
      </w:r>
    </w:p>
    <w:p>
      <w:pPr>
        <w:pStyle w:val="ListBullet"/>
      </w:pPr>
      <w:r>
        <w:t>Staff roles cannot perform functions outside their authorized responsibilities.</w:t>
      </w:r>
    </w:p>
    <w:p>
      <w:pPr>
        <w:pStyle w:val="ListBullet"/>
      </w:pPr>
      <w:r>
        <w:t>SQL injection payloads are treated as data and cannot alter query logic.</w:t>
      </w:r>
    </w:p>
    <w:p>
      <w:pPr>
        <w:pStyle w:val="ListBullet"/>
      </w:pPr>
      <w:r>
        <w:t>Untrusted HTML/JavaScript does not execute when displayed in notes, feedback, or other user-controlled fields.</w:t>
      </w:r>
    </w:p>
    <w:p>
      <w:pPr>
        <w:pStyle w:val="ListBullet"/>
      </w:pPr>
      <w:r>
        <w:t>Cross-site state-changing requests fail without a valid CSRF control and trusted origin.</w:t>
      </w:r>
    </w:p>
    <w:p>
      <w:pPr>
        <w:pStyle w:val="ListBullet"/>
      </w:pPr>
      <w:r>
        <w:t>File paths cannot escape the approved directory and filesystem details are not disclosed.</w:t>
      </w:r>
    </w:p>
    <w:p>
      <w:pPr>
        <w:pStyle w:val="ListBullet"/>
      </w:pPr>
      <w:r>
        <w:t>User input cannot cause arbitrary OS command execution.</w:t>
      </w:r>
    </w:p>
    <w:p>
      <w:pPr>
        <w:pStyle w:val="ListBullet"/>
      </w:pPr>
      <w:r>
        <w:t>Uploads are validated, stored safely, and cannot execute as server-side code.</w:t>
      </w:r>
    </w:p>
    <w:p>
      <w:pPr>
        <w:pStyle w:val="ListBullet"/>
      </w:pPr>
      <w:r>
        <w:t>Billing records are returned only to authorized users for authorized records.</w:t>
      </w:r>
    </w:p>
    <w:p>
      <w:pPr>
        <w:pStyle w:val="ListBullet"/>
      </w:pPr>
      <w:r>
        <w:t>Secrets are absent from public source, responses, and logs.</w:t>
      </w:r>
    </w:p>
    <w:p>
      <w:pPr>
        <w:pStyle w:val="ListBullet"/>
      </w:pPr>
      <w:r>
        <w:t>Security events provide enough evidence for investigation without unnecessarily storing sensitive patient information.</w:t>
      </w:r>
    </w:p>
    <w:p>
      <w:pPr>
        <w:pStyle w:val="Heading2"/>
      </w:pPr>
      <w:r>
        <w:t>15.5 Scope and Safety Note</w:t>
      </w:r>
    </w:p>
    <w:p>
      <w:r>
        <w:t>MediCare Pro is a deliberately vulnerable training website. The presence of vulnerable functions is part of the academic exercise and should not be interpreted as an instruction to deploy the vulnerable configuration for real healthcare use. Penetration testing should be performed only against the authorized training deployment and fictional data.</w:t>
      </w:r>
    </w:p>
    <w:p>
      <w:pPr>
        <w:pStyle w:val="Heading2"/>
      </w:pPr>
      <w:r>
        <w:t>15.6 Source Basis</w:t>
      </w:r>
    </w:p>
    <w:p>
      <w:pPr>
        <w:pStyle w:val="ListBullet"/>
      </w:pPr>
      <w:r>
        <w:t>IT024 Final Project Regulation, including the required dummy website/database, brute-force and SQL-injection phases, role model, assets, trust boundaries, threats, threat trees/abuse cases, and mitigation categories.</w:t>
      </w:r>
    </w:p>
    <w:p>
      <w:pPr>
        <w:pStyle w:val="ListBullet"/>
      </w:pPr>
      <w:r>
        <w:t>Discussion 5.1 – DRAFT_Final Project Documentation.</w:t>
      </w:r>
    </w:p>
    <w:p>
      <w:pPr>
        <w:pStyle w:val="ListBullet"/>
      </w:pPr>
      <w:r>
        <w:t>Project repository: https://github.com/paooll/ias</w:t>
      </w:r>
    </w:p>
    <w:p>
      <w:pPr>
        <w:pStyle w:val="ListBullet"/>
      </w:pPr>
      <w:r>
        <w:t>Deployed training website: https://ias-6v7g.onrender.com/</w:t>
      </w:r>
    </w:p>
    <w:p>
      <w:pPr>
        <w:pStyle w:val="ListBullet"/>
      </w:pPr>
      <w:r>
        <w:t>Project README and source files, including server.js, firestore.rules, api/login.js, api/sql-blind.js, api/execute.js, api/file.js, api/upload.js, api/csrf-update.js, api/xss-stored.js, api/billing.js, api/chat.js, and api/drug-info.js.</w:t>
      </w:r>
    </w:p>
    <w:p>
      <w:pPr>
        <w:pStyle w:val="Heading2"/>
      </w:pPr>
      <w:r>
        <w:t>15.7 References</w:t>
      </w:r>
    </w:p>
    <w:p>
      <w:r>
        <w:t>IT024 Final Project Regulation. TIP-Quezon City, Cyber Threat Modeling course document.</w:t>
      </w:r>
    </w:p>
    <w:p>
      <w:r>
        <w:t>Discussion 5.1 – DRAFT_Final Project Documentation. MediCare Pro Hospital Management System Threat Model.</w:t>
      </w:r>
    </w:p>
    <w:p>
      <w:r>
        <w:t>paooll/ias. MediCare Pro Hospital Management System source repository. https://github.com/paooll/ias</w:t>
      </w:r>
    </w:p>
    <w:p>
      <w:r>
        <w:t>MediCare Pro deployed training environment. https://ias-6v7g.onrender.com/</w:t>
      </w:r>
    </w:p>
    <w:p>
      <w:r>
        <w:t>OWASP Foundation. OWASP Application Security Verification Standard and OWASP Top 10 guidance. https://owasp.org/</w:t>
      </w:r>
    </w:p>
    <w:p>
      <w:r>
        <w:t>Firebase Documentation. Authentication and Cloud Firestore Security Rules. https://firebase.google.com/docs</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8" w:space="1" w:color="000000"/>
      </w:pBdr>
      <w:tabs>
        <w:tab w:pos="8640" w:val="right"/>
      </w:tabs>
      <w:spacing w:line="240" w:lineRule="auto"/>
      <w:jc w:val="center"/>
    </w:pPr>
    <w:r>
      <w:rPr>
        <w:rFonts w:ascii="Arial Narrow" w:hAnsi="Arial Narrow" w:cs="Arial Narrow" w:eastAsia="Arial Narrow"/>
        <w:sz w:val="22"/>
      </w:rPr>
    </w:r>
    <w:r>
      <w:rPr>
        <w:rFonts w:ascii="Arial Narrow" w:hAnsi="Arial Narrow" w:cs="Arial Narrow" w:eastAsia="Arial Narrow"/>
        <w:sz w:val="22"/>
      </w:rPr>
      <w:t>MediCare Pro Hospital Management System</w:t>
      <w:tab/>
    </w:r>
    <w:r>
      <w:rPr>
        <w:rFonts w:ascii="Arial Narrow" w:hAnsi="Arial Narrow" w:cs="Arial Narrow" w:eastAsia="Arial Narrow"/>
        <w:sz w:val="22"/>
      </w:rPr>
      <w:fldChar w:fldCharType="begin"/>
    </w:r>
    <w:r>
      <w:rPr>
        <w:rFonts w:ascii="Arial Narrow" w:hAnsi="Arial Narrow" w:cs="Arial Narrow" w:eastAsia="Arial Narrow"/>
        <w:sz w:val="22"/>
      </w:rPr>
      <w:instrText xml:space="preserve"> PAGE </w:instrText>
    </w:r>
    <w:r>
      <w:rPr>
        <w:rFonts w:ascii="Arial Narrow" w:hAnsi="Arial Narrow" w:cs="Arial Narrow" w:eastAsia="Arial Narrow"/>
        <w:sz w:val="22"/>
      </w:rPr>
      <w:fldChar w:fldCharType="separate"/>
    </w:r>
    <w:r>
      <w:rPr>
        <w:rFonts w:ascii="Arial Narrow" w:hAnsi="Arial Narrow" w:cs="Arial Narrow" w:eastAsia="Arial Narrow"/>
        <w:sz w:val="22"/>
      </w:rPr>
      <w:t>1</w:t>
    </w:r>
    <w:r>
      <w:rPr>
        <w:rFonts w:ascii="Arial Narrow" w:hAnsi="Arial Narrow" w:cs="Arial Narrow" w:eastAsia="Arial Narrow"/>
        <w:sz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320" w:val="center"/>
        <w:tab w:pos="8640" w:val="right"/>
      </w:tabs>
      <w:spacing w:line="240" w:lineRule="auto"/>
      <w:jc w:val="right"/>
    </w:pPr>
    <w:r>
      <w:rPr>
        <w:rFonts w:ascii="Arial Narrow" w:hAnsi="Arial Narrow" w:cs="Arial Narrow" w:eastAsia="Arial Narrow"/>
        <w:sz w:val="22"/>
      </w:rPr>
    </w:r>
    <w:r>
      <w:rPr>
        <w:rFonts w:ascii="Arial Narrow" w:hAnsi="Arial Narrow" w:cs="Arial Narrow" w:eastAsia="Arial Narrow"/>
        <w:sz w:val="22"/>
      </w:rPr>
      <w:fldChar w:fldCharType="begin"/>
    </w:r>
    <w:r>
      <w:rPr>
        <w:rFonts w:ascii="Arial Narrow" w:hAnsi="Arial Narrow" w:cs="Arial Narrow" w:eastAsia="Arial Narrow"/>
        <w:sz w:val="22"/>
      </w:rPr>
      <w:instrText xml:space="preserve"> STYLEREF 1 \* MERGEFORMAT </w:instrText>
    </w:r>
    <w:r>
      <w:rPr>
        <w:rFonts w:ascii="Arial Narrow" w:hAnsi="Arial Narrow" w:cs="Arial Narrow" w:eastAsia="Arial Narrow"/>
        <w:sz w:val="22"/>
      </w:rPr>
      <w:fldChar w:fldCharType="separate"/>
    </w:r>
    <w:r>
      <w:rPr>
        <w:rFonts w:ascii="Arial Narrow" w:hAnsi="Arial Narrow" w:cs="Arial Narrow" w:eastAsia="Arial Narrow"/>
        <w:sz w:val="22"/>
      </w:rPr>
      <w:t>Chapter</w:t>
    </w:r>
    <w:r>
      <w:rPr>
        <w:rFonts w:ascii="Arial Narrow" w:hAnsi="Arial Narrow" w:cs="Arial Narrow" w:eastAsia="Arial Narrow"/>
        <w:sz w:val="22"/>
      </w:rPr>
      <w:fldChar w:fldCharType="end"/>
    </w:r>
    <w:r>
      <w:rPr>
        <w:rFonts w:ascii="Arial Narrow" w:hAnsi="Arial Narrow" w:cs="Arial Narrow" w:eastAsia="Arial Narrow"/>
        <w:sz w:val="22"/>
      </w:rPr>
      <w:tab/>
      <w:t>Cyber Threat Modeling (IT024)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Arial Narrow" w:hAnsi="Arial Narrow" w:cs="Arial Narrow" w:eastAsia="Arial Narrow"/>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Arial Narrow" w:hAnsi="Arial Narrow" w:cs="Arial Narrow" w:eastAsia="Arial Narrow"/>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ind w:left="720"/>
      <w:outlineLvl w:val="1"/>
    </w:pPr>
    <w:rPr>
      <w:rFonts w:asciiTheme="majorHAnsi" w:eastAsiaTheme="majorEastAsia" w:hAnsiTheme="majorHAnsi" w:cstheme="majorBidi" w:ascii="Arial Narrow" w:hAnsi="Arial Narrow" w:cs="Arial Narrow" w:eastAsia="Arial Narrow"/>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left="720"/>
      <w:outlineLvl w:val="2"/>
    </w:pPr>
    <w:rPr>
      <w:rFonts w:asciiTheme="majorHAnsi" w:eastAsiaTheme="majorEastAsia" w:hAnsiTheme="majorHAnsi" w:cstheme="majorBidi" w:ascii="Arial Narrow" w:hAnsi="Arial Narrow" w:cs="Arial Narrow" w:eastAsia="Arial Narrow"/>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480" w:lineRule="auto"/>
      <w:ind w:left="720"/>
      <w:contextualSpacing/>
    </w:pPr>
    <w:rPr>
      <w:rFonts w:ascii="Arial Narrow" w:hAnsi="Arial Narrow" w:cs="Arial Narrow" w:eastAsia="Arial Narrow"/>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contextualSpacing/>
    </w:pPr>
    <w:rPr>
      <w:rFonts w:ascii="Arial Narrow" w:hAnsi="Arial Narrow" w:cs="Arial Narrow" w:eastAsia="Arial Narrow"/>
      <w:sz w:val="24"/>
    </w:rPr>
  </w:style>
  <w:style w:type="paragraph" w:styleId="ListBullet2">
    <w:name w:val="List Bullet 2"/>
    <w:basedOn w:val="Normal"/>
    <w:uiPriority w:val="99"/>
    <w:unhideWhenUsed/>
    <w:rsid w:val="00326F90"/>
    <w:pPr>
      <w:numPr>
        <w:numId w:val="2"/>
      </w:numPr>
      <w:spacing w:line="480" w:lineRule="auto"/>
      <w:contextualSpacing/>
    </w:pPr>
    <w:rPr>
      <w:rFonts w:ascii="Arial Narrow" w:hAnsi="Arial Narrow" w:cs="Arial Narrow" w:eastAsia="Arial Narrow"/>
      <w:sz w:val="24"/>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480" w:lineRule="auto"/>
      <w:contextualSpacing/>
    </w:pPr>
    <w:rPr>
      <w:rFonts w:ascii="Arial Narrow" w:hAnsi="Arial Narrow" w:cs="Arial Narrow" w:eastAsia="Arial Narrow"/>
      <w:sz w:val="24"/>
    </w:rPr>
  </w:style>
  <w:style w:type="paragraph" w:styleId="ListNumber2">
    <w:name w:val="List Number 2"/>
    <w:basedOn w:val="Normal"/>
    <w:uiPriority w:val="99"/>
    <w:unhideWhenUsed/>
    <w:rsid w:val="0029639D"/>
    <w:pPr>
      <w:numPr>
        <w:numId w:val="6"/>
      </w:numPr>
      <w:spacing w:line="480" w:lineRule="auto"/>
      <w:contextualSpacing/>
    </w:pPr>
    <w:rPr>
      <w:rFonts w:ascii="Arial Narrow" w:hAnsi="Arial Narrow" w:cs="Arial Narrow" w:eastAsia="Arial Narrow"/>
      <w:sz w:val="24"/>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