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Poppins SemiBold" w:cs="Poppins SemiBold" w:eastAsia="Poppins SemiBold" w:hAnsi="Poppins SemiBold"/>
          <w:color w:val="434343"/>
          <w:sz w:val="28"/>
          <w:szCs w:val="28"/>
        </w:rPr>
      </w:pPr>
      <w:r w:rsidDel="00000000" w:rsidR="00000000" w:rsidRPr="00000000">
        <w:rPr>
          <w:rFonts w:ascii="Poppins SemiBold" w:cs="Poppins SemiBold" w:eastAsia="Poppins SemiBold" w:hAnsi="Poppins SemiBold"/>
          <w:color w:val="434343"/>
          <w:sz w:val="28"/>
          <w:szCs w:val="28"/>
          <w:rtl w:val="0"/>
        </w:rPr>
        <w:t xml:space="preserve">Diagrama de clases</w:t>
      </w:r>
    </w:p>
    <w:p w:rsidR="00000000" w:rsidDel="00000000" w:rsidP="00000000" w:rsidRDefault="00000000" w:rsidRPr="00000000" w14:paraId="00000002">
      <w:pPr>
        <w:jc w:val="both"/>
        <w:rPr>
          <w:rFonts w:ascii="Poppins ExtraLight" w:cs="Poppins ExtraLight" w:eastAsia="Poppins ExtraLight" w:hAnsi="Poppins ExtraLight"/>
          <w:color w:val="434343"/>
          <w:sz w:val="24"/>
          <w:szCs w:val="24"/>
        </w:rPr>
      </w:pPr>
      <w:r w:rsidDel="00000000" w:rsidR="00000000" w:rsidRPr="00000000">
        <w:rPr>
          <w:rFonts w:ascii="Poppins ExtraLight" w:cs="Poppins ExtraLight" w:eastAsia="Poppins ExtraLight" w:hAnsi="Poppins ExtraLight"/>
          <w:color w:val="434343"/>
          <w:sz w:val="24"/>
          <w:szCs w:val="24"/>
          <w:rtl w:val="0"/>
        </w:rPr>
        <w:t xml:space="preserve">arreglar diagrama de clases</w:t>
      </w:r>
    </w:p>
    <w:p w:rsidR="00000000" w:rsidDel="00000000" w:rsidP="00000000" w:rsidRDefault="00000000" w:rsidRPr="00000000" w14:paraId="00000003">
      <w:pPr>
        <w:jc w:val="center"/>
        <w:rPr>
          <w:rFonts w:ascii="Poppins SemiBold" w:cs="Poppins SemiBold" w:eastAsia="Poppins SemiBold" w:hAnsi="Poppins SemiBold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Poppins SemiBold" w:cs="Poppins SemiBold" w:eastAsia="Poppins SemiBold" w:hAnsi="Poppins SemiBold"/>
          <w:color w:val="434343"/>
          <w:sz w:val="28"/>
          <w:szCs w:val="28"/>
        </w:rPr>
      </w:pPr>
      <w:r w:rsidDel="00000000" w:rsidR="00000000" w:rsidRPr="00000000">
        <w:rPr>
          <w:rFonts w:ascii="Poppins SemiBold" w:cs="Poppins SemiBold" w:eastAsia="Poppins SemiBold" w:hAnsi="Poppins SemiBold"/>
          <w:color w:val="434343"/>
          <w:sz w:val="28"/>
          <w:szCs w:val="28"/>
          <w:rtl w:val="0"/>
        </w:rPr>
        <w:t xml:space="preserve">Diagrama de objetos 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Fonts w:ascii="Poppins ExtraLight" w:cs="Poppins ExtraLight" w:eastAsia="Poppins ExtraLight" w:hAnsi="Poppins ExtraLight"/>
          <w:color w:val="434343"/>
          <w:sz w:val="24"/>
          <w:szCs w:val="24"/>
          <w:rtl w:val="0"/>
        </w:rPr>
        <w:t xml:space="preserve">arreglar diagrama de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color w:val="434343"/>
        </w:rPr>
      </w:pPr>
      <w:r w:rsidDel="00000000" w:rsidR="00000000" w:rsidRPr="00000000">
        <w:rPr>
          <w:rFonts w:ascii="Poppins SemiBold" w:cs="Poppins SemiBold" w:eastAsia="Poppins SemiBold" w:hAnsi="Poppins SemiBold"/>
          <w:color w:val="434343"/>
          <w:sz w:val="28"/>
          <w:szCs w:val="28"/>
          <w:rtl w:val="0"/>
        </w:rPr>
        <w:t xml:space="preserve">Requerimientos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7980"/>
        <w:tblGridChange w:id="0">
          <w:tblGrid>
            <w:gridCol w:w="1380"/>
            <w:gridCol w:w="79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“Administrar cargas del barco”</w:t>
            </w:r>
          </w:p>
        </w:tc>
      </w:tr>
      <w:tr>
        <w:trPr>
          <w:trHeight w:val="9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Resumen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se debe poder llevar el registro del nombre del cliente, el número de registro mercantil, fecha de expedición del registro, tipo de cliente y cantidad de kilos transportador y valor total pagado</w:t>
            </w:r>
          </w:p>
        </w:tc>
      </w:tr>
      <w:tr>
        <w:trPr>
          <w:trHeight w:val="93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nombre del cliente, número de registro mercantil, fecha de expedición del registro, tipo de cliente y cantidad de kilos transportador y valor total pagado</w:t>
            </w:r>
          </w:p>
        </w:tc>
      </w:tr>
      <w:tr>
        <w:trPr>
          <w:trHeight w:val="66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“la información del cliente ha sido registrada satisfactoriamente”</w:t>
            </w:r>
          </w:p>
        </w:tc>
      </w:tr>
    </w:tbl>
    <w:p w:rsidR="00000000" w:rsidDel="00000000" w:rsidP="00000000" w:rsidRDefault="00000000" w:rsidRPr="00000000" w14:paraId="00000010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920"/>
        <w:tblGridChange w:id="0">
          <w:tblGrid>
            <w:gridCol w:w="1440"/>
            <w:gridCol w:w="7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“cargar barco”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Resumen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para poder cargar el barco, se debe verificar los tipo de carga, si es perecedera y peligrosa o si es mayor a 28.000 kilos no se puede transportar por reglas de sanidad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tipo de carga y cantidad de kilos a transportar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“se puede transportar o no se puede transportar ”</w:t>
            </w:r>
          </w:p>
        </w:tc>
      </w:tr>
    </w:tbl>
    <w:p w:rsidR="00000000" w:rsidDel="00000000" w:rsidP="00000000" w:rsidRDefault="00000000" w:rsidRPr="00000000" w14:paraId="0000001A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920"/>
        <w:tblGridChange w:id="0">
          <w:tblGrid>
            <w:gridCol w:w="1440"/>
            <w:gridCol w:w="7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“valor a pagar por transporte de caja”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Resumen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se debe informar a la empresa el valor total que tendrá que pagar por el transporte de la caja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cantidad de cajas a transportar, tipo de carga y tipo de cliente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“el valor total a pagar es:”</w:t>
            </w:r>
          </w:p>
        </w:tc>
      </w:tr>
    </w:tbl>
    <w:p w:rsidR="00000000" w:rsidDel="00000000" w:rsidP="00000000" w:rsidRDefault="00000000" w:rsidRPr="00000000" w14:paraId="00000024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920"/>
        <w:tblGridChange w:id="0">
          <w:tblGrid>
            <w:gridCol w:w="1440"/>
            <w:gridCol w:w="7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descargar barco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Resumen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se debe poder dar la opción para que el pirata descargue el barco e inicie una nueva carga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opción 2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color w:val="434343"/>
                <w:sz w:val="24"/>
                <w:szCs w:val="24"/>
                <w:rtl w:val="0"/>
              </w:rPr>
              <w:t xml:space="preserve">ingrese la información del cliente y la información de la caja a transportar</w:t>
            </w:r>
          </w:p>
        </w:tc>
      </w:tr>
    </w:tbl>
    <w:p w:rsidR="00000000" w:rsidDel="00000000" w:rsidP="00000000" w:rsidRDefault="00000000" w:rsidRPr="00000000" w14:paraId="00000031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Poppins" w:cs="Poppins" w:eastAsia="Poppins" w:hAnsi="Poppi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40"/>
        <w:gridCol w:w="7920"/>
        <w:tblGridChange w:id="0">
          <w:tblGrid>
            <w:gridCol w:w="1440"/>
            <w:gridCol w:w="79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Resumen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both"/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color w:val="434343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both"/>
              <w:rPr>
                <w:rFonts w:ascii="Poppins Light" w:cs="Poppins Light" w:eastAsia="Poppins Light" w:hAnsi="Poppins Light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Poppins SemiBold" w:cs="Poppins SemiBold" w:eastAsia="Poppins SemiBold" w:hAnsi="Poppins SemiBold"/>
          <w:color w:val="434343"/>
          <w:sz w:val="28"/>
          <w:szCs w:val="28"/>
        </w:rPr>
      </w:pPr>
      <w:r w:rsidDel="00000000" w:rsidR="00000000" w:rsidRPr="00000000">
        <w:rPr>
          <w:rFonts w:ascii="Poppins SemiBold" w:cs="Poppins SemiBold" w:eastAsia="Poppins SemiBold" w:hAnsi="Poppins SemiBold"/>
          <w:color w:val="434343"/>
          <w:sz w:val="28"/>
          <w:szCs w:val="28"/>
          <w:rtl w:val="0"/>
        </w:rPr>
        <w:t xml:space="preserve">Análisis de la solución del problema:</w:t>
      </w:r>
    </w:p>
    <w:sectPr>
      <w:pgSz w:h="15840" w:w="12240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oppi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SemiBold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Extra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ExtraLight-boldItalic.ttf"/><Relationship Id="rId11" Type="http://schemas.openxmlformats.org/officeDocument/2006/relationships/font" Target="fonts/PoppinsMedium-italic.ttf"/><Relationship Id="rId10" Type="http://schemas.openxmlformats.org/officeDocument/2006/relationships/font" Target="fonts/PoppinsMedium-bold.ttf"/><Relationship Id="rId13" Type="http://schemas.openxmlformats.org/officeDocument/2006/relationships/font" Target="fonts/PoppinsSemiBold-regular.ttf"/><Relationship Id="rId12" Type="http://schemas.openxmlformats.org/officeDocument/2006/relationships/font" Target="fonts/PoppinsMedium-bold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PoppinsMedium-regular.ttf"/><Relationship Id="rId15" Type="http://schemas.openxmlformats.org/officeDocument/2006/relationships/font" Target="fonts/PoppinsSemiBold-italic.ttf"/><Relationship Id="rId14" Type="http://schemas.openxmlformats.org/officeDocument/2006/relationships/font" Target="fonts/PoppinsSemiBold-bold.ttf"/><Relationship Id="rId17" Type="http://schemas.openxmlformats.org/officeDocument/2006/relationships/font" Target="fonts/PoppinsExtraLight-regular.ttf"/><Relationship Id="rId16" Type="http://schemas.openxmlformats.org/officeDocument/2006/relationships/font" Target="fonts/PoppinsSemiBold-boldItalic.ttf"/><Relationship Id="rId5" Type="http://schemas.openxmlformats.org/officeDocument/2006/relationships/font" Target="fonts/PoppinsLight-regular.ttf"/><Relationship Id="rId19" Type="http://schemas.openxmlformats.org/officeDocument/2006/relationships/font" Target="fonts/PoppinsExtraLight-italic.ttf"/><Relationship Id="rId6" Type="http://schemas.openxmlformats.org/officeDocument/2006/relationships/font" Target="fonts/PoppinsLight-bold.ttf"/><Relationship Id="rId18" Type="http://schemas.openxmlformats.org/officeDocument/2006/relationships/font" Target="fonts/PoppinsExtraLight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