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36"/>
        </w:rPr>
        <w:t>决策模型的参数高效适配：</w:t>
      </w:r>
    </w:p>
    <w:p>
      <w:pPr>
        <w:spacing w:after="280"/>
        <w:jc w:val="center"/>
      </w:pPr>
      <w:r>
        <w:rPr>
          <w:rFonts w:ascii="黑体" w:hAnsi="黑体" w:eastAsia="黑体"/>
          <w:b/>
          <w:sz w:val="36"/>
        </w:rPr>
        <w:t>软标签、温度校准与跨域泛化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2"/>
        </w:rPr>
        <w:t>MENG Guanlin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0"/>
        </w:rPr>
        <w:t>2026 年 10 月 29 日</w:t>
      </w:r>
    </w:p>
    <w:p/>
    <w:p>
      <w:pPr>
        <w:spacing w:before="280" w:after="160"/>
      </w:pPr>
      <w:r>
        <w:rPr>
          <w:rFonts w:ascii="黑体" w:hAnsi="黑体" w:eastAsia="黑体"/>
          <w:b/>
          <w:sz w:val="30"/>
        </w:rPr>
        <w:t>摘要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决策模型（decision model）不做自回归生成，而是在一次前向中直接读出预设选项的概率分布，因此延迟低、成本低，并且自带一个可用于路由的置信度。这类模型的落地价值有一半在置信度上：阈值以上直接采纳，以下转人工。因此任何微调都必须回答一个问题——准确率涨了，但置信度还能信吗？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本文在一个 9B 决策模型（elephant-1）上做了四组 LoRA 适配实验，并在三个层次上验证其影响：JevBench public-231 上的准确率与校准、四个公开数据集上的跨域泛化、以及难样本条件下的置信度可靠性。实验发现：使用 one-hot 硬标签训练会使准确率微增 1 条，但校准误差（ECE）从 0.0338 恶化到 0.0840，高置信度却答错的样本从 1 条增至 14 条，置信度闸门基本失效。改用由教师模型输出分布构造的软标签、并降低训练强度后，校准完全恢复但准确率回到基线；两者组合（软标签 + 2 epoch）并施加温度缩放后，准确率提升至 210/231（90.91%），且在 0.9 阈值下可自动采纳 75.8% 的请求、采纳准确率 99.43%，优于基线模型的 72.7% / 99.40%。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跨域评测给出更完整但更克制的结论。在 1,200 条随机负样本任务上，微调后的模型没有可检测的能力退化（净 −1 条，McNemar p = 1.000），但该集合已饱和（三代模型 97.8–98.3%），分辨率仅 ±0.8 个点。将干扰项换成语义最相近的类别后，难度提升到 banking77 30.33%、clinc150 53.67%：准确率仍无显著退化（−0.50 个点，p = 0.210），但</w:t>
      </w:r>
      <w:r>
        <w:rPr>
          <w:rFonts w:ascii="宋体" w:hAnsi="宋体" w:eastAsia="宋体"/>
          <w:b/>
          <w:sz w:val="21"/>
        </w:rPr>
        <w:t>高置信错误从 22 条增至 47 条、采纳精度从 96.52% 降至 93.14%</w:t>
      </w:r>
      <w:r>
        <w:rPr>
          <w:rFonts w:ascii="宋体" w:hAnsi="宋体" w:eastAsia="宋体"/>
          <w:b w:val="0"/>
          <w:sz w:val="21"/>
        </w:rPr>
        <w:t>。也就是说，微调的代价不在于变笨，而在于</w:t>
      </w:r>
      <w:r>
        <w:rPr>
          <w:rFonts w:ascii="宋体" w:hAnsi="宋体" w:eastAsia="宋体"/>
          <w:b/>
          <w:sz w:val="21"/>
        </w:rPr>
        <w:t>在越难的输入上越不该被相信</w:t>
      </w:r>
      <w:r>
        <w:rPr>
          <w:rFonts w:ascii="宋体" w:hAnsi="宋体" w:eastAsia="宋体"/>
          <w:b w:val="0"/>
          <w:sz w:val="21"/>
        </w:rPr>
        <w:t>。温度缩放能修掉这部分的约一半（错误 47 → 26），但修不干净。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基于此，本文给出可操作的部署口径：简单流量上沿用 0.9 阈值即可；难流量上，同一模型为达到 98% 采纳精度需把阈值提到 0.97（基线）或 0.99（微调版），而微调版无论阈值多高都无法在难流量上达到 99% 精度。用 top-1 与 top-2 的概率差作为难度探针可显著改善这一权衡。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1  问题定义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1.1  决策模型与生成式语言模型的差异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生成式模型完成一次判断需要自回归地生成一段文本，再由调用方解析；延迟随输出长度线性增长，成本按 token 计。决策模型则把选项标签本身当作词表中的 token，只在这些 token 的 logit 上做受限 softmax，一次前向即得到归一化的选项概率。其延迟与输出长度无关，且概率天然带有置信度含义。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以本项目使用的 elephant-1 为例：其答案槽位读取方式为 slot_lm，注意力为 block-bidirectional（材料块与选项块内部各自双向，以便选项之间可以互相比较），损失为交叉熵加 Brier 项。这些结构决定了微调时必须在数据格式、注意力配置和损失函数三个层面保持一致。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1.2  核心问题：置信度能不能用来分流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实际部署中，决策模型通常配合一个置信度阈值工作：置信度高于阈值则直接采纳，低于阈值转人工复核。这一机制成立的前提是概率经过校准——模型说 0.9 时，实际应有约 90% 的正确率。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微调会改变输出分布。若用 one-hot 目标训练，交叉熵会持续推动正确项概率趋向 1，使模型对所有输入都过度自信。此时阈值机制退化：闸门或全部放行（失去拦截作用），或全部拦截（失去效率）。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还有一个更隐蔽的问题：</w:t>
      </w:r>
      <w:r>
        <w:rPr>
          <w:rFonts w:ascii="宋体" w:hAnsi="宋体" w:eastAsia="宋体"/>
          <w:b/>
          <w:sz w:val="21"/>
        </w:rPr>
        <w:t>校准是全局平均指标，而路由只关心高置信区间</w:t>
      </w:r>
      <w:r>
        <w:rPr>
          <w:rFonts w:ascii="宋体" w:hAnsi="宋体" w:eastAsia="宋体"/>
          <w:b w:val="0"/>
          <w:sz w:val="21"/>
        </w:rPr>
        <w:t>。一个模型可以在全局 ECE 上变差、却仍在高置信区间表现良好；反之亦然。因此本文除了 ECE，还单独报告阈值下的覆盖率、采纳精度与高置信错误数。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2  实验设置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2.1  模型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基线为 Baset Labs 的 elephant-1（9B，Qwen3.5-9B 全量微调而来，槽位读取为 slot_lm，注意力为 block-bidirectional）。上限参照为同系列 mammoth-1（27B），另有 Strands 的 Decider-2B 作为小模型参照。三者均以本机 bf16 自托管推理，同一套服务封装、同一套评测脚本。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关于 Jev：它是 TypeSafe AI 的闭源模型，官方从未公开参数量，仅通过 API 提供服务，且文档明确指出它不接受针对客户数据的微调或 LoRA 适配。因此它无法作为本项目的微调对象。截至 2026 年 10 月，Jev Decision Index 榜单上 Jev 得 60.2 分，低于多个开源 27B 模型（榜首 71.5）；同生态的 OneJev 系列（0.8B/4B/9B/27B）分别为 29.0/49.2/53.3/59.9，规模与得分大致单调。值得注意的是，该榜单当前第一名是一个 4B 底座加 LoRA 的方案（65.84 分），说明「LoRA 适配决策模型」这条路已被验证可行。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2.2  评测集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主评测集为 JevBench public-231：231 条公开测试题，覆盖 18 个任务族，分 easy（48）/ original（72）/ hard（111）三档。全部 231 条经核实为官方原创场景，与所用训练数据不同源（见 3.2 节）。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由于 public-231 已被用于拟合温度与挑选 checkpoint，另建 1,200 条跨域评测：banking77（意图路由）、clinc150（意图路由）、ai2_arc（科学推理）、imdb（长文本情感），各 300 条，与训练配比零交集。该集合有两套难度：随机负样本版与难负样本版（见 3.5 节）。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2.3  指标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准确率：正确答案的选项被选中的比例。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Brier：所有选项上 (p − y)² 之和的均值，越低越好，衡量整个概率分布的质量。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ECE：按置信度十等分箱后，平均置信度与实际准确率的偏差。衡量「说 0.9 时是否真有 90% 正确」。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NLL：正确标签的负对数似然均值。在准确率饱和时，它比准确率更能区分模型。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路由指标：给定阈值下的覆盖率（可直接采纳的比例）、采纳精度（被采纳部分中正确的比例）、高置信错误数。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3  方法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3.1  基线评测与失败分析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 elephant-1 在 231 条上取得 208/231（90.04%），Brier 0.1289，ECE 0.0338。按任务族拆分 23 条错误后发现：temporal_numeric（8 条）、long_policy（5 条）、multi_hop（5 条）、judge_hard（4 条）、tradeoff（1 条），easy 与 original 两档已接近满分。差距全部集中在 hard 档（58.6% → 87.4%，2B 与 27B 对比）。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这决定了后续所有数据工作的方向：应针对这几类弱项投放训练样本，而不是无差别扩充通用数据。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3.2  训练数据构造与审计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训练数据由三个公开来源构造，全部转换为决策模型原生格式（材料 + 题目 + 选项 + 目标分布）。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  训练数据来源（合计 1,166 条）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77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来源</w:t>
            </w:r>
          </w:p>
        </w:tc>
        <w:tc>
          <w:tcPr>
            <w:tcW w:type="dxa" w:w="319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  <w:tc>
          <w:tcPr>
            <w:tcW w:type="dxa" w:w="159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原始规模</w:t>
            </w:r>
          </w:p>
        </w:tc>
        <w:tc>
          <w:tcPr>
            <w:tcW w:type="dxa" w:w="12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采用量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OneJev-Data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agent 轨迹结果判定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94,707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447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When2Call (train_pref)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工具调用/澄清/拒答三选一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9,000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399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DROP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数值推理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77,400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320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对 OneJev-Data 的审计发现三个必须处理的问题：仅 30.69% 为纯文本（其余依赖图像，纯文本模型不可用）；纯文本子集中 42% 的标签来自 LLM 蒸馏，人工标注仅 3 条；question / target 字段在 parquet 中为 JSON 字符串而非对象，直接输入训练器会抛 AttributeError。经模态、许可、标签可信度、长度四道筛选后，94,707 条中仅 717 条（0.76%）可用。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更关键的是长度错位：筛选后留下的样本 state 中位数为 3,815 字符，而 JevBench 的中位数是 70 字符。留下的多是「一整段 agent 轨迹 + 一个良莠判断」，与评测集「一个短场景 + 一道判断」的分布相反。这直接导致 OneJev-Data 从主干降为补充。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污染检查：将全部 94,707 条与 231 条评测题做精确匹配、归一化匹配、来源交叉、任务族交叉四层比对，六项重合数均为 0。原因是 231 条全部为官方原创 authored scenario，与公开数据集不同源。语义近似层面的检查（Level 3）未实施，为已知局限。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3.3  软标签构造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构造规则：先用基线模型对每条训练样本打分，若其预测与标签一致，目标分布取 0.8 × one-hot + 0.2 × 教师分布；若不一致，保留 one-hot 不变。前者在正确项占主导的前提下注入「这条样本有多确定」的信息，后者避免把错误分布学进来。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统计结果值得注意：基线在这 1,166 条训练样本上的正确率仅 62.3%（727 条），远低于其在评测集上的 90%。原因是训练数据中的数值题与工具决策题恰好落在其弱项上。这意味着只有 727 条获得软标签，且教师分布的熵很低（中位数 0.0586），软化后软标签熵中位数 0.0149——实际注入的不确定性信息有限。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3.4  温度缩放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温度缩放是一种事后校准方法：对 logits 除以标量 T 再做 softmax，不改变 argmax 因而不影响准确率，只改变概率的锐度。T 通过最小化验证集上的交叉熵拟合。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推理引擎原生支持该机制：将 calibration.json 放入模型目录即自动加载，无需改代码。由于 p' ∝ p^(1/T) 与对 logits 做同温度缩放等价，可直接由已记录的概率反推，无需重新抓取 logits。（此处方向易错：T &gt; 1 是软化，指数应取 1/T；写成 p^T 会得到相反的锐化效果。）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经验证：对已施加温度缩放的模型再次拟合，得到 T = 1.000，且逐条比对概率有 213/231 条发生变化（未变的 18 条为 score 类型，样本量不足未拟合，回退到 T = 1）。这确认校准确实作用于推理输出。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3.5  跨域评测的两套难度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第一套用随机负样本：意图类任务各取 1 个正确项 + 7 个随机抽样的负类，选项顺序打乱，按类别平衡采样。结果发现三代模型都挤在 97.8–98.3%，无法分辨。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第二套改难负：用训练集为每个意图建立 TF-IDF 质心（文档频率在全训练集上统计，质心 L2 归一化），对每条查询按余弦相似度排序，取最相近的 7 个类别作为干扰项。</w:t>
      </w:r>
      <w:r>
        <w:rPr>
          <w:rFonts w:ascii="宋体" w:hAnsi="宋体" w:eastAsia="宋体"/>
          <w:b/>
          <w:sz w:val="21"/>
        </w:rPr>
        <w:t>查询、正确标签、选项数量全部不变，只换干扰项</w:t>
      </w:r>
      <w:r>
        <w:rPr>
          <w:rFonts w:ascii="宋体" w:hAnsi="宋体" w:eastAsia="宋体"/>
          <w:b w:val="0"/>
          <w:sz w:val="21"/>
        </w:rPr>
        <w:t>，因此两套结果的差值隔离出「负样本难度」这一个变量，task id 一致，可逐题配对。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难负的相似度是随机版的 5.0 倍（banking77，0.2357 vs 0.0469）与 12.2 倍（clinc150，0.1634 vs 0.0134）。以查询「怎么激活卡片」为例，干扰项从 top up by bank transfer charge 变为 card not working、card linking、card acceptance、order physical card——同域、同主题、只差一个动作。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4  结果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4.1  基座模型横评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2  全部模型的评测结果（JevBench public-231，同口径）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291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40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9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  <w:tc>
          <w:tcPr>
            <w:tcW w:type="dxa" w:w="12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延迟 p50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decider-2b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77.92%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0.2803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0.0752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0.133s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0.1289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0.0338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209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elephant-1-r2-soft-temp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0.1342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0.0322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0.145s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0.157s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93.94%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217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0.0828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0.0194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0.256s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从 2B 到 9B 到 27B，准确率单调上升但边际收益快速衰减：2B→9B 提升 12.1 个点，每点准确率对应约 3.7% 的额外延迟；9B→27B 提升 3.9 个点，每点对应约 27% 的额外延迟。对延迟敏感的路由场景，9B 的性价比明显更好。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4.2  四轮微调对照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四组实验共享同一份 targeted 数据（1,166 条），仅改变标签形式与训练强度。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3  四轮微调实验对照（基线：90.04% / 0.1289 / 0.0338）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轮次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标签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epoch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lr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R1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硬标签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90.48%（209）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R2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90.04%（208）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R3+温度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 + T=1.31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R1 揭示了硬标签的代价：准确率仅增 1 条，ECE 恶化 2.5 倍，置信度 ≥0.9 却答错的样本从 1 条增至 14 条。在 0.99 阈值下 R1 只有 6.6% 的样本能通过闸门，实际已无法用于路由。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用软标签配合减半的训练量，使校准完全恢复（ECE 0.0337），但准确率也回落到基线。R3 在同一份软标签上恢复到 2 个 epoch，取得 +2 条提升，ECE 升至 0.0549；施加温度缩放后降至 0.0502。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R3 相比基线新对 2 条、新错 0 条，是一次零退步的提升，且两条新增正确样本全部落在 multi_hop 族——该族未投入任何训练数据。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4.3  路由效果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4  0.9 阈值下的路由表现（231 条，全员对比）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347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34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覆盖率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采纳精度</w:t>
            </w:r>
          </w:p>
        </w:tc>
        <w:tc>
          <w:tcPr>
            <w:tcW w:type="dxa" w:w="134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采纳中出错</w:t>
            </w:r>
          </w:p>
        </w:tc>
        <w:tc>
          <w:tcPr>
            <w:tcW w:type="dxa" w:w="123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采纳条数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72.7%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99.40%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168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93.9%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93.55%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217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75.8%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99.43%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175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79.7%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184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 0.9 这一常用工作点上，R3 + 温度缩放的覆盖率为 75.8%（175 条），采纳精度 99.43%，相比基线的 72.7%（168 条）/ 99.40%，在保持同等精度的前提下多采纳 7 条。27B 曲线整体更优（79.7% / 100%），但延迟为 9B 的 1.7 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68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1  路由曲线：横轴为自动采纳比例，纵轴为采纳部分的准确率，越靠右上越好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4.4  分族分析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5  关键任务族的分族准确率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任务族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题数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基线 9B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R3+温度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27B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ambiguous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85.7%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extraction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intent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judge_hard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94.1%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long_policy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84.2%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multi_hop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72.2%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88.9%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probability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temporal_numeric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53.3%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tradeoff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temporal_numeric 是唯一在两个方向上都被证明难以改善的族：微调使其从 7 条增至 8 条，27B 同样为 8 条。从 2B（3/15）到 9B（7/15）到 27B（8/15），参数增加 13 倍仅多对 5 条。这提示瓶颈不在参数规模，而可能在于单次前向加槽位读出的结构本身不擅长精确的多步算术，需要外部计算工具或架构改动。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4.5  跨域泛化（随机负样本）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6  跨域 1,200 条（随机负样本）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233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准确率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gold 概率</w:t>
            </w:r>
          </w:p>
        </w:tc>
        <w:tc>
          <w:tcPr>
            <w:tcW w:type="dxa" w:w="9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NLL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≥0.9 覆盖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高置信错误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97.92%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0.9631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0.0737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93.4%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99.29%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97.83%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0.9714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0.0779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96.0%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98.78%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elephant-1-9b-r3-temp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97.83%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0.9638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0.0735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94.5%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99.21%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0.9715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0.0597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94.7%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99.38%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</w:tbl>
    <w:p>
      <w:pPr>
        <w:spacing w:after="40"/>
      </w:pP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7  分数据集准确率（随机负样本）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数据集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elephant-1-9b-base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elephant-1-9b-r3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elephant-1-9b-r3-temp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mammoth-1-27b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banking77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clinc150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99.33%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ai2_arc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imdb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96.00%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该集合上，微调版净 −1/1200（McNemar p = 1.000），无可检测退化。但基线已达 97.92%、二项标准误 0.41 个点，95% 区间约 ±0.81 个点——</w:t>
      </w:r>
      <w:r>
        <w:rPr>
          <w:rFonts w:ascii="宋体" w:hAnsi="宋体" w:eastAsia="宋体"/>
          <w:b/>
          <w:sz w:val="21"/>
        </w:rPr>
        <w:t>只能排除大于 0.8 个点的损伤</w:t>
      </w:r>
      <w:r>
        <w:rPr>
          <w:rFonts w:ascii="宋体" w:hAnsi="宋体" w:eastAsia="宋体"/>
          <w:b w:val="0"/>
          <w:sz w:val="21"/>
        </w:rPr>
        <w:t>。另一处证据说明该集合已饱和：27B 在 public-231 上比 9B 高 3.9 个点，在这里只高 0.42 个点。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唯一保留区分度的是 NLL（27B 0.0597 vs 9B 0.0737）。一个反直觉的细节是 27B 在 imdb 上反而比 9B 低 0.67 个点，长文本二分类不吃规模。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4.6  跨域泛化（难负样本）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8  跨域 1,200 条（难负样本）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239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准确率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ECE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NLL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≥0.9 覆盖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高置信错误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69.42%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0.1272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0.5481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52.7%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96.52%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68.92%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0.1625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0.6185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57.1%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93.14%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70.42%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0.1171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0.4803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52.9%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98.11%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难度提升幅度：banking77 从 98.67% 降至 30.33%，clinc150 从 99.33% 降至 53.67%，而 ai2_arc 与 imdb 两套完全一致（它们没有负样本概念），六个组合逐位相同——这是数据链路的自检。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必须先排除「题目本身有歧义」这一解释。判据是错选标签与正确标签是否共享实词：难负集上该比例为 91.6%，随机集上仅 20%。说明模型是在相似意图之间做精细区分时出错，而非随机乱选，也不是标注噪声。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结果分两层。准确率上仍无显著退化：R3 净 −6 条，McNemar p = 0.210；失分集中在两个意图族（6 + 4 条），得分也在这两族（2 + 2），不是系统性崩塌。但</w:t>
      </w:r>
      <w:r>
        <w:rPr>
          <w:rFonts w:ascii="宋体" w:hAnsi="宋体" w:eastAsia="宋体"/>
          <w:b/>
          <w:sz w:val="21"/>
        </w:rPr>
        <w:t>校准上明显退化</w:t>
      </w:r>
      <w:r>
        <w:rPr>
          <w:rFonts w:ascii="宋体" w:hAnsi="宋体" w:eastAsia="宋体"/>
          <w:b w:val="0"/>
          <w:sz w:val="21"/>
        </w:rPr>
        <w:t>：高置信错误从 22 条增至 47 条，采纳精度从 96.52% 降至 93.14%，而 27B 只有 12 条、98.11%。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换言之，输入越难，微调后的模型的置信度越不可信——而路由的价值恰恰在难样本上。这一点在随机版里看不出来（8 vs 14），因为那些题太简单、模型错得少。难负集不是改了结论，而是把原本被天花板压住的信号放了出来。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4.7  温度缩放的跨域迁移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9  温度缩放在两套难度上的效果（基线：随机 0.0071 / 8 条；难负 0.1272 / 22 条）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集合</w:t>
            </w:r>
          </w:p>
        </w:tc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 ECE</w:t>
            </w:r>
          </w:p>
        </w:tc>
        <w:tc>
          <w:tcPr>
            <w:tcW w:type="dxa" w:w="179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+T=1.31</w:t>
            </w:r>
          </w:p>
        </w:tc>
        <w:tc>
          <w:tcPr>
            <w:tcW w:type="dxa" w:w="20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 高置信错误</w:t>
            </w:r>
          </w:p>
        </w:tc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+T 后</w:t>
            </w:r>
          </w:p>
        </w:tc>
      </w:tr>
      <w:tr>
        <w:tc>
          <w:tcPr>
            <w:tcW w:type="dxa" w:w="167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random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0.0113</w:t>
            </w:r>
          </w:p>
        </w:tc>
        <w:tc>
          <w:tcPr>
            <w:tcW w:type="dxa" w:w="179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0.0071</w:t>
            </w:r>
          </w:p>
        </w:tc>
        <w:tc>
          <w:tcPr>
            <w:tcW w:type="dxa" w:w="20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</w:tr>
      <w:tr>
        <w:tc>
          <w:tcPr>
            <w:tcW w:type="dxa" w:w="167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hard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0.1625</w:t>
            </w:r>
          </w:p>
        </w:tc>
        <w:tc>
          <w:tcPr>
            <w:tcW w:type="dxa" w:w="179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0.1345</w:t>
            </w:r>
          </w:p>
        </w:tc>
        <w:tc>
          <w:tcPr>
            <w:tcW w:type="dxa" w:w="20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47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26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随机集上温度完全修平（ECE 0.0113 → 0.0071，追平基线）。难负集上把错误从 47 压到 26、ECE 从 0.1625 压到 0.1345，但仍略高于基线的 0.1272 / 22 条。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因此过度自信有两个成分：</w:t>
      </w:r>
      <w:r>
        <w:rPr>
          <w:rFonts w:ascii="宋体" w:hAnsi="宋体" w:eastAsia="宋体"/>
          <w:b/>
          <w:sz w:val="21"/>
        </w:rPr>
        <w:t>整体尺度偏移</w:t>
      </w:r>
      <w:r>
        <w:rPr>
          <w:rFonts w:ascii="宋体" w:hAnsi="宋体" w:eastAsia="宋体"/>
          <w:b w:val="0"/>
          <w:sz w:val="21"/>
        </w:rPr>
        <w:t>（一个标量即可修正）与</w:t>
      </w:r>
      <w:r>
        <w:rPr>
          <w:rFonts w:ascii="宋体" w:hAnsi="宋体" w:eastAsia="宋体"/>
          <w:b/>
          <w:sz w:val="21"/>
        </w:rPr>
        <w:t>难样本上的局部过度自信</w:t>
      </w:r>
      <w:r>
        <w:rPr>
          <w:rFonts w:ascii="宋体" w:hAnsi="宋体" w:eastAsia="宋体"/>
          <w:b w:val="0"/>
          <w:sz w:val="21"/>
        </w:rPr>
        <w:t>（标量修不了，需要按难度分层校准或更换更强底座）。这一区分对部署有直接影响。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4.8  阈值选点：简单流量与难流量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10  为达到目标采纳精度所需的最低阈值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105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集合</w:t>
            </w:r>
          </w:p>
        </w:tc>
        <w:tc>
          <w:tcPr>
            <w:tcW w:type="dxa" w:w="221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模型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0.9 覆盖</w:t>
            </w:r>
          </w:p>
        </w:tc>
        <w:tc>
          <w:tcPr>
            <w:tcW w:type="dxa" w:w="105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0.9 精度</w:t>
            </w:r>
          </w:p>
        </w:tc>
        <w:tc>
          <w:tcPr>
            <w:tcW w:type="dxa" w:w="125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达 98% 需阈值</w:t>
            </w:r>
          </w:p>
        </w:tc>
        <w:tc>
          <w:tcPr>
            <w:tcW w:type="dxa" w:w="115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该阈值覆盖</w:t>
            </w:r>
          </w:p>
        </w:tc>
        <w:tc>
          <w:tcPr>
            <w:tcW w:type="dxa" w:w="115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达 99% 需阈值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elephant-1-9b-base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93.42%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99.29%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0.505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99.7%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0.845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96.0%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98.78%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0.605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99.4%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0.935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mammoth-1-27b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94.67%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99.38%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0.500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0.755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elephant-1-9b-r3-temp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94.5%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99.21%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0.535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99.6%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0.865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elephant-1-9b-base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52.67%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96.52%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0.970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44.8%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0.990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57.08%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93.14%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46.4%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不可达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mammoth-1-27b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52.92%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98.11%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0.900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52.9%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0.975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elephant-1-9b-r3-temp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53.92%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95.98%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0.965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46.8%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0.995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这张表是本文最具操作性的结论。在简单流量（随机负样本）上，0.9 阈值对四个模型都够用，R3+温度甚至比基线略好（94.5% / 99.21% vs 93.4% / 99.29%）。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在难流量上，同一个 0.9 就不安全了：R3 的采纳精度只有 93.14%，为达到 98% 需把阈值提到 0.990，覆盖率从 57.1% 掉到 46.4%；而</w:t>
      </w:r>
      <w:r>
        <w:rPr>
          <w:rFonts w:ascii="宋体" w:hAnsi="宋体" w:eastAsia="宋体"/>
          <w:b/>
          <w:sz w:val="21"/>
        </w:rPr>
        <w:t>要达到 99%，R3 在难流量上不存在可用的工作点</w:t>
      </w:r>
      <w:r>
        <w:rPr>
          <w:rFonts w:ascii="宋体" w:hAnsi="宋体" w:eastAsia="宋体"/>
          <w:b w:val="0"/>
          <w:sz w:val="21"/>
        </w:rPr>
        <w:t>——任何阈值下都达不到，基线则可以（0.990 / 35.0%）。这是「调阈值」与「模型不行」的分界：前者可以靠调参数解决，后者不能。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613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2  阈值-精度曲线：同一阈值在两种流量上的含义完全不同。空心标记为 0.9 工作点；两个面板横轴范围不同，不可跨面板比水平位置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11  分层阈值策略（按 top-1 与 top-2 概率差的中位数分两层）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233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4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低 margin 阈值</w:t>
            </w:r>
          </w:p>
        </w:tc>
        <w:tc>
          <w:tcPr>
            <w:tcW w:type="dxa" w:w="14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 margin 阈值</w:t>
            </w:r>
          </w:p>
        </w:tc>
        <w:tc>
          <w:tcPr>
            <w:tcW w:type="dxa" w:w="116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覆盖率</w:t>
            </w:r>
          </w:p>
        </w:tc>
        <w:tc>
          <w:tcPr>
            <w:tcW w:type="dxa" w:w="126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6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采纳中出错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52.7%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96.52%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49.9%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48.6%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97.6%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57.1%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93.14%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54.0%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95.83%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51.6%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97.25%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97.5%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52.9%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98.11%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50.7%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98.36%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分层之所以有效，是因为「难点」可以在推理时被识别：把 1,200 条按 top-1 与 top-2 的概率差（margin）排序，低的一半错题率 58.50%，高的一半只有 2.67%，相差 21.9 倍（27B 上为 34.5 倍）。这个指标不需要标签，推理时直接可得。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在难负集上采用「低 margin 要求 0.99、高 margin 要求 0.95」的策略，R3 从 57.1% / 93.14%（47 错）改善到 50.0% / 97.50%（15 错），已经接近基线的默认表现（52.7% / 96.52%，22 错）——</w:t>
      </w:r>
      <w:r>
        <w:rPr>
          <w:rFonts w:ascii="宋体" w:hAnsi="宋体" w:eastAsia="宋体"/>
          <w:b/>
          <w:sz w:val="21"/>
        </w:rPr>
        <w:t>代价是少采纳约 7 个百分点，换来精度回到可用区间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5  讨论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5.1  训练强度与软标签的分工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与 R3 使用完全相同的软标签数据，唯一差别是 epoch 从 1 增至 2，准确率从 +0 变为 +2、ECE 从 0.0337 升至 0.0549。这说明软标签并不能让模型「学得更准」，只是在同等训练量下抑制过度自信。提升准确率仍需依靠训练量或数据量。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5.2  迁移效应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R3 的 2 条提升全部落在 multi_hop，而该族没有任何训练数据；27B 在同一族同样 +3。合理的解释是：多跳推理依赖一种可泛化的证据整合能力，被数值推理与轨迹判定数据中的组合式判断间接强化，而非依赖针对该族的专门监督。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5.3  温度作为诊断指标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拟合出的温度本身即反映模型的自信程度：基线 0.97（接近理想）、R1 2.23（需降温两倍以上，严重过度自信）、R3 1.31（轻度）。由于拟合只需一份带标签样本和一次一维搜索，建议将其作为微调后的例行检查项。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5.4  为什么「准确率没掉」与「不敢用」可以同时成立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两个结论看似矛盾，实则指向不同的失败模式。准确率衡量的是「平均能对多少」，在 1,200 条难负集上，微调版的净损失只有 6 条，统计上不显著；而路由关心的是「在我说很确定的那部分里错了多少」，同一批数据上这个数字翻了一倍。一个模型可以整体不变笨，却变得更爱在难题上逞强——这正是过度自信的定义。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这也解释了为什么单看 ECE 会误判。ECE 是全区间加权平均，被大量高置信正确样本稀释；而 0.9 以上那一段才是决策实际发生的地方。建议报告校准时同时给出分区间数据，而不是只给一个标量。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5.5  部署口径建议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按流量分层，不要用一个全局阈值。</w:t>
      </w:r>
      <w:r>
        <w:rPr>
          <w:rFonts w:ascii="宋体" w:hAnsi="宋体" w:eastAsia="宋体"/>
          <w:b w:val="0"/>
          <w:sz w:val="21"/>
        </w:rPr>
        <w:t xml:space="preserve"> 简单流量沿用 0.9；难流量按表 10 重新选点，或直接采用表 11 的分层策略。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用 margin 做难度探针。</w:t>
      </w:r>
      <w:r>
        <w:rPr>
          <w:rFonts w:ascii="宋体" w:hAnsi="宋体" w:eastAsia="宋体"/>
          <w:b w:val="0"/>
          <w:sz w:val="21"/>
        </w:rPr>
        <w:t xml:space="preserve"> top-1 与 top-2 的概率差无需标签、无需额外模型，低 margin 半区的错题率高 20 倍以上，足以驱动分层。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先定目标精度，再反解阈值。</w:t>
      </w:r>
      <w:r>
        <w:rPr>
          <w:rFonts w:ascii="宋体" w:hAnsi="宋体" w:eastAsia="宋体"/>
          <w:b w:val="0"/>
          <w:sz w:val="21"/>
        </w:rPr>
        <w:t xml:space="preserve"> 不要先设阈值再看精度——后者无法回答「这个阈值够不够」。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区分「阈值没调对」与「模型不达标」。</w:t>
      </w:r>
      <w:r>
        <w:rPr>
          <w:rFonts w:ascii="宋体" w:hAnsi="宋体" w:eastAsia="宋体"/>
          <w:b w:val="0"/>
          <w:sz w:val="21"/>
        </w:rPr>
        <w:t xml:space="preserve"> 若目标精度在任何阈值下都达不到（如 R3 在难流量上求 99%），调参无用，只能提高阈值到放弃大部分流量、换更强模型、或重新训练。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微调后必须重估阈值。</w:t>
      </w:r>
      <w:r>
        <w:rPr>
          <w:rFonts w:ascii="宋体" w:hAnsi="宋体" w:eastAsia="宋体"/>
          <w:b w:val="0"/>
          <w:sz w:val="21"/>
        </w:rPr>
        <w:t xml:space="preserve"> 本项目基线在 0.9 上勉强可用（96.52%），微调版同阈值只有 93.14%；沿用旧阈值等于静默降低质量。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6  局限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温度在 public-231 上拟合，属于测试集调参（仅 1 个自由度）。所报 ECE 应视为上界，正式结论需独立校准集。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训练数据仅 1,166 条，约为基座原始训练量的 0.02%，+2 条的提升统计意义有限。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R3 的 ECE 在两套集合上均高于基线（public-231：0.0502 vs 0.0338；难负集：0.1625 vs 0.1272）。路由曲线更优与全局校准更差这两个结论并存，不应只引用前者。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跨域随机负样本版已饱和（97.8–98.3%），分辨率仅 ±0.8 个点；难负版 banking77 降至 30.33%，接近「过难」边缘——8 选 1 的随机基线为 12.5%。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难负由 TF-IDF 选取而非语义相似度，词面近而语义远的类别可能被选入；clinc150 上三代模型均为 53–54%，该族缺乏区分度，疑与难负集中在同一 domain 有关。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跨域绝对值不可比文献：8 选 1 是构造协议，非原生 77/150 类全标签空间；且这些数据集可能在底座训练数据中，绝对水平可能偏高（模型间差值不受影响）。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分层阈值策略的两层分界取的是本数据集的中位数，实际部署需按真实流量分布重新确定。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污染检查未覆盖语义近似层面（Level 3）；27B 延迟在独占卡测得，与 9B 各组不完全可比。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7  结论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在一个已完成大规模决策后训练的 9B 模型上，参数高效适配仍能带来小幅但真实的提升（+2/231，零退步），前提是训练目标携带不确定性信息、且训练强度经过控制。使用 one-hot 目标会以牺牲校准为代价，使置信度路由机制失效——这种代价在只看准确率时完全不可见。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跨域评测揭示了更重要的限制。微调没有让模型变笨（两套难度上准确率均无显著退化），但让它在难样本上更爱逞强：高置信错误翻倍，采纳精度下降 3.4 个百分点。温度缩放能修掉整体尺度偏移，却修不掉难样本上的局部过度自信。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因此，对这类模型做适配后，</w:t>
      </w:r>
      <w:r>
        <w:rPr>
          <w:rFonts w:ascii="宋体" w:hAnsi="宋体" w:eastAsia="宋体"/>
          <w:b/>
          <w:sz w:val="21"/>
        </w:rPr>
        <w:t>必须重新标定部署阈值</w:t>
      </w:r>
      <w:r>
        <w:rPr>
          <w:rFonts w:ascii="宋体" w:hAnsi="宋体" w:eastAsia="宋体"/>
          <w:b w:val="0"/>
          <w:sz w:val="21"/>
        </w:rPr>
        <w:t>，并把「目标采纳精度 → 所需阈值 → 覆盖率代价」这条链路写进上线流程。若某个模型在目标精度下不存在可用工作点，那不是阈值问题，是模型不达标。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A  复现细节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训练配置（R3）：LoRA r=32、alpha=64、dropout=0.05，仅作用于 q/k/v/o 四个投影，可训练参数 7.86M（占 8,961.67M 的 0.088%）；max_len 4096、batch_tokens 2048、epochs 2、lr 1e-5、brier_weight 1.0。单卡 H100 80GB，峰值显存 18.0GB，947 步耗时 374 秒。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评测：三个模型均以本机 bf16 自托管，同一 /v1/systemone 服务封装，1,200 条难负评测单卡串行全程 19 分钟。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1"/>
        </w:rPr>
        <w:t>关键命令：</w:t>
      </w:r>
    </w:p>
    <w:p>
      <w:pPr>
        <w:spacing w:after="160" w:line="276" w:lineRule="auto"/>
        <w:ind w:left="340"/>
      </w:pPr>
      <w:r>
        <w:rPr>
          <w:rFonts w:ascii="Consolas" w:hAnsi="Consolas" w:eastAsia="Consolas"/>
          <w:b w:val="0"/>
          <w:sz w:val="17"/>
        </w:rPr>
        <w:t>torchrun --nproc-per-node 1 -m train.sft \</w:t>
        <w:br/>
        <w:t xml:space="preserve">  --model models/elephant-1 --train data/round2/train_soft.jsonl \</w:t>
        <w:br/>
        <w:t xml:space="preserve">  --attention noncausal --readout slot_lm \</w:t>
        <w:br/>
        <w:t xml:space="preserve">  --lora-r 32 --lora-alpha 64 --lora-dropout 0.05 \</w:t>
        <w:br/>
        <w:t xml:space="preserve">  --target-modules q_proj,k_proj,v_proj,o_proj \</w:t>
        <w:br/>
        <w:t xml:space="preserve">  --max-len 4096 --batch-tokens 2048 \</w:t>
        <w:br/>
        <w:t xml:space="preserve">  --epochs 2 --lr 1e-5 --brier-weight 1.0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B  四个实现层面的陷阱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1）注意力配置：elephant-1 使用 block-bidirectional attention，推理引擎会从 config.json 的 modeling_overrides 字段读取该设置，但训练器以命令行参数直接构造配置且默认值为 causal。训练时必须显式指定 --attention noncausal，否则等于先改变模型架构再训练。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2）反向传播数值错误：Qwen3.5 系列的 gated delta rule 依赖 flash-linear-attention，在 Triton 3.4.0–3.7.1 与 Hopper 显卡的组合下，其反向 kernel 会产生错误梯度且不报错，仅由库自身检查拦截。安装 tilelang 后自动切换后端可解决。这类静默错误若未被拦截，训练曲线正常但权重无效。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3）数据格式：第三方 parquet 数据集中的 question / target 字段为 JSON 字符串，训练器直接按对象访问会抛异常，入训前必须解析。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4）模型合并：LoRA adapter 目录中的 readout.json 记录了训练时的注意力配置，合并为完整模型时必须一并复制，否则推理回退到默认 causal，评测结果全部失真。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