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r>
        <w:t xml:space="preserve">[-@fig:002]</w:t>
      </w:r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r>
        <w:t xml:space="preserve">[-@fig:003]</w:t>
      </w:r>
      <w:r>
        <w:t xml:space="preserve">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r>
        <w:t xml:space="preserve">[-@fig:004]</w:t>
      </w:r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[-@fig:005]</w:t>
      </w:r>
      <w:r>
        <w:t xml:space="preserve"> </w:t>
      </w:r>
      <w:r>
        <w:t xml:space="preserve">и</w:t>
      </w:r>
      <w:r>
        <w:t xml:space="preserve"> </w:t>
      </w:r>
      <w:r>
        <w:t xml:space="preserve">[-@fig:006]</w:t>
      </w:r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Поступление и обработка заявок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Герра Гарсия Паола Валентина</dc:creator>
  <cp:keywords/>
  <dcterms:created xsi:type="dcterms:W3CDTF">2025-06-16T04:39:15Z</dcterms:created>
  <dcterms:modified xsi:type="dcterms:W3CDTF">2025-06-16T04:39:15Z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M|M|1|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