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1"/>
      <w:bookmarkEnd w:id="1"/>
      <w:r w:rsidDel="00000000" w:rsidR="00000000" w:rsidRPr="00000000">
        <w:rPr>
          <w:rtl w:val="0"/>
        </w:rPr>
        <w:t xml:space="preserve">Cambio de dataset para laboratorio 1</w:t>
      </w: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Estadísticas descriptivas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Realizar un análisis descriptivo a partir del dato año en el que se produjo el hecho, diferenciando los distintos gobiernos. Luego realizar por provincia ese mismo análisis. Hay alguna provincia que los gráficos sean visiblemente distintos a la tendencia nacional?</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Con las edades de las víctimas realizar un análisis de las medidas de localización central. Realizar un análisis de outliers. Brindar un breve análisis del resultado obtenido.</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Calcular la correlación entre cantidad de víctimas en  regiones de nuestro país (noreste, noroeste, centro, cuyo y patagonia) y mostrarla con un gráfico conjunto.</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2"/>
    <w:bookmarkEnd w:id="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Uno de los primeros casos resonantes de femicidio fue el de Wanda Taddei. Su caso fue conocido porque el asesino era un famoso baterista, realizar un análisis de la forma que considere adecuada para comparar las víctimas quemadas antes y después del hecho. Realizar un análisis con dichos datos si la exposición mediática y los detalles del homicidio en profundidad de ese caso influyó en los siguientes con características similares.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