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onsolas" w:cs="Consolas" w:eastAsia="Consolas" w:hAnsi="Consolas"/>
          <w:color w:val="6B6760"/>
          <w:spacing w:val="60"/>
          <w:sz w:val="18"/>
          <w:szCs w:val="18"/>
        </w:rPr>
        <w:t xml:space="preserve">ESSAY · DATA HISTORY · MAY 2026</w:t>
      </w:r>
    </w:p>
    <w:p>
      <w:pPr>
        <w:pBdr>
          <w:bottom w:val="single" w:color="141414" w:sz="12" w:space="8"/>
        </w:pBdr>
        <w:spacing w:after="60" w:before="80"/>
      </w:pPr>
      <w:r>
        <w:rPr>
          <w:rFonts w:ascii="Georgia" w:cs="Georgia" w:eastAsia="Georgia" w:hAnsi="Georgia"/>
          <w:b/>
          <w:bCs/>
          <w:color w:val="141414"/>
          <w:sz w:val="52"/>
          <w:szCs w:val="52"/>
        </w:rPr>
        <w:t xml:space="preserve">AI / VR — Eight Decades of Cycles</w:t>
      </w:r>
    </w:p>
    <w:p>
      <w:pPr>
        <w:spacing w:after="0" w:before="100"/>
      </w:pPr>
      <w:r>
        <w:rPr>
          <w:rFonts w:ascii="Georgia" w:cs="Georgia" w:eastAsia="Georgia" w:hAnsi="Georgia"/>
          <w:i/>
          <w:iCs/>
          <w:color w:val="3A3833"/>
          <w:sz w:val="24"/>
          <w:szCs w:val="24"/>
        </w:rPr>
        <w:t xml:space="preserve">Eighty-three years of summers, winters, and the long quiet rebrands — 1943 to 2026.</w:t>
      </w:r>
    </w:p>
    <w:p>
      <w:pPr>
        <w:spacing w:after="240" w:before="80"/>
      </w:pPr>
      <w:r>
        <w:rPr>
          <w:rFonts w:ascii="Consolas" w:cs="Consolas" w:eastAsia="Consolas" w:hAnsi="Consolas"/>
          <w:color w:val="B8341A"/>
          <w:spacing w:val="40"/>
          <w:sz w:val="18"/>
          <w:szCs w:val="18"/>
        </w:rPr>
        <w:t xml:space="preserve">Dr. George Papagiannakis  ·  ORamaVR  ·  FORTH-ICS  ·  University of Crete</w:t>
      </w:r>
    </w:p>
    <w:p>
      <w:pPr>
        <w:spacing w:after="160" w:before="0" w:line="280"/>
        <w:jc w:val="left"/>
      </w:pPr>
      <w:r>
        <w:rPr>
          <w:rFonts w:ascii="Georgia" w:cs="Georgia" w:eastAsia="Georgia" w:hAnsi="Georgia"/>
          <w:b/>
          <w:bCs/>
          <w:i w:val="false"/>
          <w:iCs w:val="false"/>
          <w:sz w:val="22"/>
          <w:szCs w:val="22"/>
        </w:rPr>
        <w:t xml:space="preserve">Two technologies, one shared century. </w:t>
      </w:r>
      <w:r>
        <w:rPr>
          <w:rFonts w:ascii="Georgia" w:cs="Georgia" w:eastAsia="Georgia" w:hAnsi="Georgia"/>
          <w:b w:val="false"/>
          <w:bCs w:val="false"/>
          <w:i w:val="false"/>
          <w:iCs w:val="false"/>
          <w:sz w:val="22"/>
          <w:szCs w:val="22"/>
        </w:rPr>
        <w:t xml:space="preserve">Artificial intelligence and virtual reality have each gone through repeating cycles of hype, breakthrough, disillusionment, and quiet progress — but the cycles are driven by different physics. AI cycles are funding-and-credibility cycles around algorithmic claims. VR cycles are hardware-and-adoption cycles around displays, optics, and silicon. The two fields have synchronised twice (the shared winter of the 1990s, the shared ignition of 2012) and anti-correlated once decisively (the 2022–24 AI eclipse of the metaverse).</w:t>
      </w:r>
    </w:p>
    <w:p>
      <w:pPr>
        <w:spacing w:after="60" w:before="0" w:line="280"/>
        <w:jc w:val="left"/>
      </w:pPr>
      <w:r>
        <w:rPr>
          <w:rFonts w:ascii="Georgia" w:cs="Georgia" w:eastAsia="Georgia" w:hAnsi="Georgia"/>
          <w:b w:val="false"/>
          <w:bCs w:val="false"/>
          <w:i w:val="false"/>
          <w:iCs w:val="false"/>
          <w:sz w:val="20"/>
          <w:szCs w:val="20"/>
        </w:rPr>
        <w:t xml:space="preserve">Each timeline below reads left-to-right. Marker dots above the centre line are events that pushed the field toward a summer; markers below indicate winter pressure. Coloured period-boundary years appear along the bottom axis: gold for foundations, rust orange for summer, slate blue for winter, grey for quiet years. An appendix at the end of this document gives the full data table of all forty-two timeline events, each with the explanation that appears in the interactive HTML version.</w:t>
      </w:r>
    </w:p>
    <w:p>
      <w:r>
        <w:br w:type="page"/>
      </w:r>
    </w:p>
    <w:p>
      <w:pPr>
        <w:spacing w:after="0" w:before="0"/>
      </w:pPr>
      <w:r>
        <w:rPr>
          <w:rFonts w:ascii="Consolas" w:cs="Consolas" w:eastAsia="Consolas" w:hAnsi="Consolas"/>
          <w:color w:val="6B6760"/>
          <w:spacing w:val="30"/>
          <w:sz w:val="16"/>
          <w:szCs w:val="16"/>
        </w:rPr>
        <w:t xml:space="preserve">CHAPTER I · ARTIFICIAL INTELLIGENCE</w:t>
      </w:r>
    </w:p>
    <w:p>
      <w:pPr>
        <w:spacing w:after="60" w:before="60"/>
      </w:pPr>
      <w:r>
        <w:rPr>
          <w:rFonts w:ascii="Georgia" w:cs="Georgia" w:eastAsia="Georgia" w:hAnsi="Georgia"/>
          <w:b/>
          <w:bCs/>
          <w:color w:val="141414"/>
          <w:sz w:val="32"/>
          <w:szCs w:val="32"/>
        </w:rPr>
        <w:t xml:space="preserve">One foundation period, three summers, two winters, and a long quiet rebrand.</w:t>
      </w:r>
    </w:p>
    <w:p>
      <w:pPr>
        <w:spacing w:after="80" w:before="20"/>
      </w:pPr>
      <w:r>
        <w:rPr>
          <w:rFonts w:ascii="Georgia" w:cs="Georgia" w:eastAsia="Georgia" w:hAnsi="Georgia"/>
          <w:i/>
          <w:iCs/>
          <w:color w:val="3A3833"/>
          <w:sz w:val="22"/>
          <w:szCs w:val="22"/>
        </w:rPr>
        <w:t xml:space="preserve">From McCulloch &amp; Pitts (1943) to ChatGPT (2022): the funding cycles, breakthroughs, and books that ended eras.</w:t>
      </w:r>
    </w:p>
    <w:p>
      <w:pPr>
        <w:spacing w:after="40" w:before="40"/>
        <w:jc w:val="center"/>
      </w:pPr>
      <w:r>
        <w:drawing>
          <wp:inline distT="0" distB="0" distL="0" distR="0">
            <wp:extent cx="82296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229600" cy="1971675"/>
                    </a:xfrm>
                    <a:prstGeom prst="rect">
                      <a:avLst/>
                    </a:prstGeom>
                  </pic:spPr>
                </pic:pic>
              </a:graphicData>
            </a:graphic>
          </wp:inline>
        </w:drawing>
      </w:r>
    </w:p>
    <w:p>
      <w:pPr>
        <w:spacing w:after="140" w:before="0"/>
        <w:jc w:val="center"/>
      </w:pPr>
      <w:r>
        <w:rPr>
          <w:rFonts w:ascii="Georgia" w:cs="Georgia" w:eastAsia="Georgia" w:hAnsi="Georgia"/>
          <w:i/>
          <w:iCs/>
          <w:color w:val="6B6760"/>
          <w:sz w:val="17"/>
          <w:szCs w:val="17"/>
        </w:rPr>
        <w:t xml:space="preserve">Figure 1 — AI cycles 1943–2026. Foundations (gold) · Summer I 1956–1974 · Winter I 1974–1980 · Summer II 1980–1987 · Winter II 1987–1993 · Quiet rebrand 1993–2012 · Summer III 2012–present.</w:t>
      </w:r>
    </w:p>
    <w:p>
      <w:pPr>
        <w:spacing w:after="60" w:before="0" w:line="280"/>
        <w:jc w:val="left"/>
      </w:pPr>
      <w:r>
        <w:rPr>
          <w:rFonts w:ascii="Georgia" w:cs="Georgia" w:eastAsia="Georgia" w:hAnsi="Georgia"/>
          <w:b/>
          <w:bCs/>
          <w:i w:val="false"/>
          <w:iCs w:val="false"/>
          <w:sz w:val="20"/>
          <w:szCs w:val="20"/>
        </w:rPr>
        <w:t xml:space="preserve">Before AI had a name, it had a mathematics.</w:t>
      </w:r>
      <w:r>
        <w:rPr>
          <w:rFonts w:ascii="Georgia" w:cs="Georgia" w:eastAsia="Georgia" w:hAnsi="Georgia"/>
          <w:b w:val="false"/>
          <w:bCs w:val="false"/>
          <w:i w:val="false"/>
          <w:iCs w:val="false"/>
          <w:sz w:val="20"/>
          <w:szCs w:val="20"/>
        </w:rPr>
        <w:t xml:space="preserve"> McCulloch &amp; Pitts (1943) proved that networks of binary threshold neurons could in principle compute any logical function — the seed of every later neural model from Rosenblatt's Perceptron through AlexNet to Transformers. Hebb (1949) supplied the first credible learning rule. Turing (1950) framed the inheritance question. By the time McCarthy convened Dartmouth in 1956, the conceptual scaffolding already existed; what Dartmouth added was a name, a programme, and an organised funding pitch.</w:t>
      </w:r>
    </w:p>
    <w:p>
      <w:pPr>
        <w:spacing w:after="60" w:before="0" w:line="280"/>
        <w:jc w:val="left"/>
      </w:pPr>
      <w:r>
        <w:rPr>
          <w:rFonts w:ascii="Georgia" w:cs="Georgia" w:eastAsia="Georgia" w:hAnsi="Georgia"/>
          <w:b/>
          <w:bCs/>
          <w:i w:val="false"/>
          <w:iCs w:val="false"/>
          <w:sz w:val="20"/>
          <w:szCs w:val="20"/>
        </w:rPr>
        <w:t xml:space="preserve">Three summers, two real winters.</w:t>
      </w:r>
      <w:r>
        <w:rPr>
          <w:rFonts w:ascii="Georgia" w:cs="Georgia" w:eastAsia="Georgia" w:hAnsi="Georgia"/>
          <w:b w:val="false"/>
          <w:bCs w:val="false"/>
          <w:i w:val="false"/>
          <w:iCs w:val="false"/>
          <w:sz w:val="20"/>
          <w:szCs w:val="20"/>
        </w:rPr>
        <w:t xml:space="preserve"> The first AI summer was a funding-and-promise bubble around symbolic reasoning that collapsed under combinatorial explosion and overpromising — Lighthill in 1973 and DARPA cutting speech-understanding in 1974 closed the era. The second was an industrial bubble around expert systems and Japan's Fifth-Generation programme, killed when LISP-machine vendors were obsoleted by general-purpose Sun and Macintosh workstations after 1987.</w:t>
      </w:r>
    </w:p>
    <w:p>
      <w:pPr>
        <w:spacing w:after="60" w:before="0" w:line="280"/>
        <w:jc w:val="left"/>
      </w:pPr>
      <w:r>
        <w:rPr>
          <w:rFonts w:ascii="Georgia" w:cs="Georgia" w:eastAsia="Georgia" w:hAnsi="Georgia"/>
          <w:b/>
          <w:bCs/>
          <w:i w:val="false"/>
          <w:iCs w:val="false"/>
          <w:sz w:val="20"/>
          <w:szCs w:val="20"/>
        </w:rPr>
        <w:t xml:space="preserve">The interregnum mattered.</w:t>
      </w:r>
      <w:r>
        <w:rPr>
          <w:rFonts w:ascii="Georgia" w:cs="Georgia" w:eastAsia="Georgia" w:hAnsi="Georgia"/>
          <w:b w:val="false"/>
          <w:bCs w:val="false"/>
          <w:i w:val="false"/>
          <w:iCs w:val="false"/>
          <w:sz w:val="20"/>
          <w:szCs w:val="20"/>
        </w:rPr>
        <w:t xml:space="preserve"> The 1993–2011 “quiet” years are sometimes mis-remembered as a winter, but capability advanced steadily under disguised names — machine learning, statistical methods, kernel methods, data mining. Hinton's 2006 deep-belief-network paper rebranded neural nets as “deep learning,” and ImageNet (2009) gave the field a benchmark to chase. AlexNet (2012) was the ignition event; ChatGPT (2022) the public arrival.</w:t>
      </w:r>
    </w:p>
    <w:p>
      <w:r>
        <w:br w:type="page"/>
      </w:r>
    </w:p>
    <w:p>
      <w:pPr>
        <w:spacing w:after="0" w:before="0"/>
      </w:pPr>
      <w:r>
        <w:rPr>
          <w:rFonts w:ascii="Consolas" w:cs="Consolas" w:eastAsia="Consolas" w:hAnsi="Consolas"/>
          <w:color w:val="6B6760"/>
          <w:spacing w:val="30"/>
          <w:sz w:val="16"/>
          <w:szCs w:val="16"/>
        </w:rPr>
        <w:t xml:space="preserve">CHAPTER II · VIRTUAL REALITY · METAVERSE</w:t>
      </w:r>
    </w:p>
    <w:p>
      <w:pPr>
        <w:spacing w:after="60" w:before="60"/>
      </w:pPr>
      <w:r>
        <w:rPr>
          <w:rFonts w:ascii="Georgia" w:cs="Georgia" w:eastAsia="Georgia" w:hAnsi="Georgia"/>
          <w:b/>
          <w:bCs/>
          <w:color w:val="141414"/>
          <w:sz w:val="32"/>
          <w:szCs w:val="32"/>
        </w:rPr>
        <w:t xml:space="preserve">Three waves, two failures of the silicon to deliver what the marketing promised.</w:t>
      </w:r>
    </w:p>
    <w:p>
      <w:pPr>
        <w:spacing w:after="80" w:before="20"/>
      </w:pPr>
      <w:r>
        <w:rPr>
          <w:rFonts w:ascii="Georgia" w:cs="Georgia" w:eastAsia="Georgia" w:hAnsi="Georgia"/>
          <w:i/>
          <w:iCs/>
          <w:color w:val="3A3833"/>
          <w:sz w:val="22"/>
          <w:szCs w:val="22"/>
        </w:rPr>
        <w:t xml:space="preserve">From Heilig's Sensorama (1962) to Apple Vision Pro (2024): hardware cycles bounded by Moore's Law and display physics.</w:t>
      </w:r>
    </w:p>
    <w:p>
      <w:pPr>
        <w:spacing w:after="40" w:before="40"/>
        <w:jc w:val="center"/>
      </w:pPr>
      <w:r>
        <w:drawing>
          <wp:inline distT="0" distB="0" distL="0" distR="0">
            <wp:extent cx="82296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229600" cy="2124075"/>
                    </a:xfrm>
                    <a:prstGeom prst="rect">
                      <a:avLst/>
                    </a:prstGeom>
                  </pic:spPr>
                </pic:pic>
              </a:graphicData>
            </a:graphic>
          </wp:inline>
        </w:drawing>
      </w:r>
    </w:p>
    <w:p>
      <w:pPr>
        <w:spacing w:after="140" w:before="0"/>
        <w:jc w:val="center"/>
      </w:pPr>
      <w:r>
        <w:rPr>
          <w:rFonts w:ascii="Georgia" w:cs="Georgia" w:eastAsia="Georgia" w:hAnsi="Georgia"/>
          <w:i/>
          <w:iCs/>
          <w:color w:val="6B6760"/>
          <w:sz w:val="17"/>
          <w:szCs w:val="17"/>
        </w:rPr>
        <w:t xml:space="preserve">Figure 2 — VR / metaverse cycles 1962–2026. Pre-history (grey) · Summer I 1985–1996 · Winter I 1996–2012 · Summer II Oculus 2012–2018 · Trough 2018–2020 · Metaverse summer 2020–2022 · Metaverse winter 2022–2024 · Spatial computing 2024–present.</w:t>
      </w:r>
    </w:p>
    <w:p>
      <w:pPr>
        <w:spacing w:after="60" w:before="0" w:line="280"/>
        <w:jc w:val="left"/>
      </w:pPr>
      <w:r>
        <w:rPr>
          <w:rFonts w:ascii="Georgia" w:cs="Georgia" w:eastAsia="Georgia" w:hAnsi="Georgia"/>
          <w:b/>
          <w:bCs/>
          <w:i w:val="false"/>
          <w:iCs w:val="false"/>
          <w:sz w:val="20"/>
          <w:szCs w:val="20"/>
        </w:rPr>
        <w:t xml:space="preserve">VR's cycles run on hardware physics, not algorithms.</w:t>
      </w:r>
      <w:r>
        <w:rPr>
          <w:rFonts w:ascii="Georgia" w:cs="Georgia" w:eastAsia="Georgia" w:hAnsi="Georgia"/>
          <w:b w:val="false"/>
          <w:bCs w:val="false"/>
          <w:i w:val="false"/>
          <w:iCs w:val="false"/>
          <w:sz w:val="20"/>
          <w:szCs w:val="20"/>
        </w:rPr>
        <w:t xml:space="preserve"> The 1985–95 summer collapsed because the silicon could not deliver what the marketing promised — the Virtual Boy is the canonical artefact, but the deeper failure was that PC graphics in 1995 simply could not render an immersive scene at sufficient resolution and framerate without inducing nausea. Sixteen years of Moore's Law had to pass before Oculus could reasonably try again.</w:t>
      </w:r>
    </w:p>
    <w:p>
      <w:pPr>
        <w:spacing w:after="60" w:before="0" w:line="280"/>
        <w:jc w:val="left"/>
      </w:pPr>
      <w:r>
        <w:rPr>
          <w:rFonts w:ascii="Georgia" w:cs="Georgia" w:eastAsia="Georgia" w:hAnsi="Georgia"/>
          <w:b/>
          <w:bCs/>
          <w:i w:val="false"/>
          <w:iCs w:val="false"/>
          <w:sz w:val="20"/>
          <w:szCs w:val="20"/>
        </w:rPr>
        <w:t xml:space="preserve">The 2014 Facebook acquisition was a 7-year head fake.</w:t>
      </w:r>
      <w:r>
        <w:rPr>
          <w:rFonts w:ascii="Georgia" w:cs="Georgia" w:eastAsia="Georgia" w:hAnsi="Georgia"/>
          <w:b w:val="false"/>
          <w:bCs w:val="false"/>
          <w:i w:val="false"/>
          <w:iCs w:val="false"/>
          <w:sz w:val="20"/>
          <w:szCs w:val="20"/>
        </w:rPr>
        <w:t xml:space="preserve"> Zuckerberg's $2 B Oculus bet bought the company a generation of capital, but consumer VR underperformed every analyst forecast between 2016 and 2019. Quest (2019) and Quest 2 (2020) finally cracked the price-and-comfort curve. Then COVID, idle attention, and crypto-fuelled liquidity converged into the metaverse hype peak of late 2021.</w:t>
      </w:r>
    </w:p>
    <w:p>
      <w:pPr>
        <w:spacing w:after="60" w:before="0" w:line="280"/>
        <w:jc w:val="left"/>
      </w:pPr>
      <w:r>
        <w:rPr>
          <w:rFonts w:ascii="Georgia" w:cs="Georgia" w:eastAsia="Georgia" w:hAnsi="Georgia"/>
          <w:b/>
          <w:bCs/>
          <w:i w:val="false"/>
          <w:iCs w:val="false"/>
          <w:sz w:val="20"/>
          <w:szCs w:val="20"/>
        </w:rPr>
        <w:t xml:space="preserve">The metaverse winter was largely an AI eclipse.</w:t>
      </w:r>
      <w:r>
        <w:rPr>
          <w:rFonts w:ascii="Georgia" w:cs="Georgia" w:eastAsia="Georgia" w:hAnsi="Georgia"/>
          <w:b w:val="false"/>
          <w:bCs w:val="false"/>
          <w:i w:val="false"/>
          <w:iCs w:val="false"/>
          <w:sz w:val="20"/>
          <w:szCs w:val="20"/>
        </w:rPr>
        <w:t xml:space="preserve"> Cumulative Reality Labs losses crossed $46 B by 2023. ChatGPT (Nov 2022) didn't just compete for headlines — it competed for engineering talent, capital allocation, and executive attention at every large tech company. Apple's “spatial computing” rebrand in 2024 is the same hardware story under a new label; Vision Pro production was cut back by 2025. </w:t>
      </w:r>
      <w:r>
        <w:rPr>
          <w:rFonts w:ascii="Georgia" w:cs="Georgia" w:eastAsia="Georgia" w:hAnsi="Georgia"/>
          <w:b w:val="false"/>
          <w:bCs w:val="false"/>
          <w:i/>
          <w:iCs/>
          <w:color w:val="6B6760"/>
          <w:sz w:val="20"/>
          <w:szCs w:val="20"/>
        </w:rPr>
        <w:t xml:space="preserve">Confidence: high on numbers, moderate on causal weighting of the AI eclipse.</w:t>
      </w:r>
    </w:p>
    <w:p>
      <w:r>
        <w:br w:type="page"/>
      </w:r>
    </w:p>
    <w:p>
      <w:pPr>
        <w:spacing w:after="0" w:before="0"/>
      </w:pPr>
      <w:r>
        <w:rPr>
          <w:rFonts w:ascii="Consolas" w:cs="Consolas" w:eastAsia="Consolas" w:hAnsi="Consolas"/>
          <w:color w:val="6B6760"/>
          <w:spacing w:val="30"/>
          <w:sz w:val="16"/>
          <w:szCs w:val="16"/>
        </w:rPr>
        <w:t xml:space="preserve">CHAPTER III · THE COMBINED PICTURE</w:t>
      </w:r>
    </w:p>
    <w:p>
      <w:pPr>
        <w:spacing w:after="60" w:before="60"/>
      </w:pPr>
      <w:r>
        <w:rPr>
          <w:rFonts w:ascii="Georgia" w:cs="Georgia" w:eastAsia="Georgia" w:hAnsi="Georgia"/>
          <w:b/>
          <w:bCs/>
          <w:color w:val="141414"/>
          <w:sz w:val="32"/>
          <w:szCs w:val="32"/>
        </w:rPr>
        <w:t xml:space="preserve">Where the cycles correlate, anti-correlate, and where one ate the other.</w:t>
      </w:r>
    </w:p>
    <w:p>
      <w:pPr>
        <w:spacing w:after="80" w:before="20"/>
      </w:pPr>
      <w:r>
        <w:rPr>
          <w:rFonts w:ascii="Georgia" w:cs="Georgia" w:eastAsia="Georgia" w:hAnsi="Georgia"/>
          <w:i/>
          <w:iCs/>
          <w:color w:val="3A3833"/>
          <w:sz w:val="22"/>
          <w:szCs w:val="22"/>
        </w:rPr>
        <w:t xml:space="preserve">Two lanes on one axis — read vertically to see what coincided. Period boundaries colour-coded by lane along the bottom.</w:t>
      </w:r>
    </w:p>
    <w:p>
      <w:pPr>
        <w:spacing w:after="40" w:before="40"/>
        <w:jc w:val="center"/>
      </w:pPr>
      <w:r>
        <w:drawing>
          <wp:inline distT="0" distB="0" distL="0" distR="0">
            <wp:extent cx="82296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229600" cy="2390775"/>
                    </a:xfrm>
                    <a:prstGeom prst="rect">
                      <a:avLst/>
                    </a:prstGeom>
                  </pic:spPr>
                </pic:pic>
              </a:graphicData>
            </a:graphic>
          </wp:inline>
        </w:drawing>
      </w:r>
    </w:p>
    <w:p>
      <w:pPr>
        <w:spacing w:after="140" w:before="0"/>
        <w:jc w:val="center"/>
      </w:pPr>
      <w:r>
        <w:rPr>
          <w:rFonts w:ascii="Georgia" w:cs="Georgia" w:eastAsia="Georgia" w:hAnsi="Georgia"/>
          <w:i/>
          <w:iCs/>
          <w:color w:val="6B6760"/>
          <w:sz w:val="17"/>
          <w:szCs w:val="17"/>
        </w:rPr>
        <w:t xml:space="preserve">Figure 3 — AI lane and VR lane on a shared 1943–2026 axis. Bottom rows: AI then VR period boundaries in their season colours.</w:t>
      </w:r>
    </w:p>
    <w:p>
      <w:pPr>
        <w:spacing w:after="60" w:before="0" w:line="280"/>
        <w:jc w:val="left"/>
      </w:pPr>
      <w:r>
        <w:rPr>
          <w:rFonts w:ascii="Georgia" w:cs="Georgia" w:eastAsia="Georgia" w:hAnsi="Georgia"/>
          <w:b/>
          <w:bCs/>
          <w:i w:val="false"/>
          <w:iCs w:val="false"/>
          <w:sz w:val="20"/>
          <w:szCs w:val="20"/>
        </w:rPr>
        <w:t xml:space="preserve">AI has a twenty-five-year head start.</w:t>
      </w:r>
      <w:r>
        <w:rPr>
          <w:rFonts w:ascii="Georgia" w:cs="Georgia" w:eastAsia="Georgia" w:hAnsi="Georgia"/>
          <w:b w:val="false"/>
          <w:bCs w:val="false"/>
          <w:i w:val="false"/>
          <w:iCs w:val="false"/>
          <w:sz w:val="20"/>
          <w:szCs w:val="20"/>
        </w:rPr>
        <w:t xml:space="preserve"> McCulloch &amp; Pitts published the first computational neuron the same year ENIAC was being built, while VR's lane is empty until Sutherland's HMD in 1968 and only populates from 1984. AI is fundamentally an older field with a deeper bench of theoretical results.</w:t>
      </w:r>
    </w:p>
    <w:p>
      <w:pPr>
        <w:spacing w:after="60" w:before="0" w:line="280"/>
        <w:jc w:val="left"/>
      </w:pPr>
      <w:r>
        <w:rPr>
          <w:rFonts w:ascii="Georgia" w:cs="Georgia" w:eastAsia="Georgia" w:hAnsi="Georgia"/>
          <w:b/>
          <w:bCs/>
          <w:i w:val="false"/>
          <w:iCs w:val="false"/>
          <w:sz w:val="20"/>
          <w:szCs w:val="20"/>
        </w:rPr>
        <w:t xml:space="preserve">Read vertically.</w:t>
      </w:r>
      <w:r>
        <w:rPr>
          <w:rFonts w:ascii="Georgia" w:cs="Georgia" w:eastAsia="Georgia" w:hAnsi="Georgia"/>
          <w:b w:val="false"/>
          <w:bCs w:val="false"/>
          <w:i w:val="false"/>
          <w:iCs w:val="false"/>
          <w:sz w:val="20"/>
          <w:szCs w:val="20"/>
        </w:rPr>
        <w:t xml:space="preserve"> The 1990s are the only true </w:t>
      </w:r>
      <w:r>
        <w:rPr>
          <w:rFonts w:ascii="Georgia" w:cs="Georgia" w:eastAsia="Georgia" w:hAnsi="Georgia"/>
          <w:b w:val="false"/>
          <w:bCs w:val="false"/>
          <w:i/>
          <w:iCs/>
          <w:sz w:val="20"/>
          <w:szCs w:val="20"/>
        </w:rPr>
        <w:t xml:space="preserve">shared</w:t>
      </w:r>
      <w:r>
        <w:rPr>
          <w:rFonts w:ascii="Georgia" w:cs="Georgia" w:eastAsia="Georgia" w:hAnsi="Georgia"/>
          <w:b w:val="false"/>
          <w:bCs w:val="false"/>
          <w:i w:val="false"/>
          <w:iCs w:val="false"/>
          <w:sz w:val="20"/>
          <w:szCs w:val="20"/>
        </w:rPr>
        <w:t xml:space="preserve"> winter — expert systems collapsed and Virtual Boy flopped within two years. Both fields then disappeared from headlines for ~15 years while underlying tech improved. </w:t>
      </w:r>
      <w:r>
        <w:rPr>
          <w:rFonts w:ascii="Georgia" w:cs="Georgia" w:eastAsia="Georgia" w:hAnsi="Georgia"/>
          <w:b/>
          <w:bCs/>
          <w:i w:val="false"/>
          <w:iCs w:val="false"/>
          <w:sz w:val="20"/>
          <w:szCs w:val="20"/>
        </w:rPr>
        <w:t xml:space="preserve">2012 was the shared ignition year:</w:t>
      </w:r>
      <w:r>
        <w:rPr>
          <w:rFonts w:ascii="Georgia" w:cs="Georgia" w:eastAsia="Georgia" w:hAnsi="Georgia"/>
          <w:b w:val="false"/>
          <w:bCs w:val="false"/>
          <w:i w:val="false"/>
          <w:iCs w:val="false"/>
          <w:sz w:val="20"/>
          <w:szCs w:val="20"/>
        </w:rPr>
        <w:t xml:space="preserve"> AlexNet and the Oculus Kickstarter are within months of each other, both depending on commodity GPUs.</w:t>
      </w:r>
    </w:p>
    <w:p>
      <w:pPr>
        <w:spacing w:after="60" w:before="0" w:line="280"/>
        <w:jc w:val="left"/>
      </w:pPr>
      <w:r>
        <w:rPr>
          <w:rFonts w:ascii="Georgia" w:cs="Georgia" w:eastAsia="Georgia" w:hAnsi="Georgia"/>
          <w:b/>
          <w:bCs/>
          <w:i w:val="false"/>
          <w:iCs w:val="false"/>
          <w:sz w:val="20"/>
          <w:szCs w:val="20"/>
        </w:rPr>
        <w:t xml:space="preserve">The 2022–24 anti-correlation is the most consequential dynamic of the decade.</w:t>
      </w:r>
      <w:r>
        <w:rPr>
          <w:rFonts w:ascii="Georgia" w:cs="Georgia" w:eastAsia="Georgia" w:hAnsi="Georgia"/>
          <w:b w:val="false"/>
          <w:bCs w:val="false"/>
          <w:i w:val="false"/>
          <w:iCs w:val="false"/>
          <w:sz w:val="20"/>
          <w:szCs w:val="20"/>
        </w:rPr>
        <w:t xml:space="preserve"> ChatGPT arriving thirteen months after Facebook's Meta rebrand redirected almost every relevant capital pool — venture, talent, executive attention, GPU allocation — toward LLMs and away from headsets. The metaverse winter is real but only partially endogenous; a large component is exogenous. </w:t>
      </w:r>
      <w:r>
        <w:rPr>
          <w:rFonts w:ascii="Georgia" w:cs="Georgia" w:eastAsia="Georgia" w:hAnsi="Georgia"/>
          <w:b w:val="false"/>
          <w:bCs w:val="false"/>
          <w:i/>
          <w:iCs/>
          <w:color w:val="6B6760"/>
          <w:sz w:val="20"/>
          <w:szCs w:val="20"/>
        </w:rPr>
        <w:t xml:space="preserve">Confidence: high on the timing, moderate on the causal magnitude.</w:t>
      </w:r>
    </w:p>
    <w:p>
      <w:r>
        <w:br w:type="page"/>
      </w:r>
    </w:p>
    <w:p>
      <w:pPr>
        <w:spacing w:after="0" w:before="0"/>
      </w:pPr>
      <w:r>
        <w:rPr>
          <w:rFonts w:ascii="Consolas" w:cs="Consolas" w:eastAsia="Consolas" w:hAnsi="Consolas"/>
          <w:color w:val="6B6760"/>
          <w:spacing w:val="30"/>
          <w:sz w:val="16"/>
          <w:szCs w:val="16"/>
        </w:rPr>
        <w:t xml:space="preserve">TAKEAWAYS</w:t>
      </w:r>
    </w:p>
    <w:p>
      <w:pPr>
        <w:spacing w:after="60" w:before="60"/>
      </w:pPr>
      <w:r>
        <w:rPr>
          <w:rFonts w:ascii="Georgia" w:cs="Georgia" w:eastAsia="Georgia" w:hAnsi="Georgia"/>
          <w:b/>
          <w:bCs/>
          <w:color w:val="141414"/>
          <w:sz w:val="32"/>
          <w:szCs w:val="32"/>
        </w:rPr>
        <w:t xml:space="preserve">Three lessons from the chart.</w:t>
      </w:r>
    </w:p>
    <w:p>
      <w:pPr>
        <w:spacing w:after="60" w:before="120"/>
      </w:pPr>
      <w:r>
        <w:rPr>
          <w:rFonts w:ascii="Georgia" w:cs="Georgia" w:eastAsia="Georgia" w:hAnsi="Georgia"/>
          <w:b/>
          <w:bCs/>
          <w:color w:val="B8341A"/>
          <w:sz w:val="26"/>
          <w:szCs w:val="26"/>
        </w:rPr>
        <w:t xml:space="preserve">I · Different physics</w:t>
      </w:r>
    </w:p>
    <w:p>
      <w:pPr>
        <w:spacing w:after="60" w:before="0" w:line="280"/>
        <w:jc w:val="left"/>
      </w:pPr>
      <w:r>
        <w:rPr>
          <w:rFonts w:ascii="Georgia" w:cs="Georgia" w:eastAsia="Georgia" w:hAnsi="Georgia"/>
          <w:b w:val="false"/>
          <w:bCs w:val="false"/>
          <w:i w:val="false"/>
          <w:iCs w:val="false"/>
          <w:sz w:val="20"/>
          <w:szCs w:val="20"/>
        </w:rPr>
        <w:t xml:space="preserve">AI cycles are funding-and-credibility cycles around algorithmic claims. VR cycles are hardware-and-adoption cycles around display, optics, and silicon. Treating them as the same kind of bubble is an analytical error.</w:t>
      </w:r>
    </w:p>
    <w:p>
      <w:pPr>
        <w:spacing w:after="60" w:before="120"/>
      </w:pPr>
      <w:r>
        <w:rPr>
          <w:rFonts w:ascii="Georgia" w:cs="Georgia" w:eastAsia="Georgia" w:hAnsi="Georgia"/>
          <w:b/>
          <w:bCs/>
          <w:color w:val="D97A2C"/>
          <w:sz w:val="26"/>
          <w:szCs w:val="26"/>
        </w:rPr>
        <w:t xml:space="preserve">II · 2012 was not coincidence</w:t>
      </w:r>
    </w:p>
    <w:p>
      <w:pPr>
        <w:spacing w:after="60" w:before="0" w:line="280"/>
        <w:jc w:val="left"/>
      </w:pPr>
      <w:r>
        <w:rPr>
          <w:rFonts w:ascii="Georgia" w:cs="Georgia" w:eastAsia="Georgia" w:hAnsi="Georgia"/>
          <w:b w:val="false"/>
          <w:bCs w:val="false"/>
          <w:i w:val="false"/>
          <w:iCs w:val="false"/>
          <w:sz w:val="20"/>
          <w:szCs w:val="20"/>
        </w:rPr>
        <w:t xml:space="preserve">Both fields ignited within months of each other because both had been waiting for the same enabling technology: commodity GPUs cheap and powerful enough to use outside specialised contexts. The same firms — Facebook, Google — made parallel bets within two years. When the underlying technology base shifts, multiple fields move in lock-step.</w:t>
      </w:r>
    </w:p>
    <w:p>
      <w:pPr>
        <w:spacing w:after="60" w:before="120"/>
      </w:pPr>
      <w:r>
        <w:rPr>
          <w:rFonts w:ascii="Georgia" w:cs="Georgia" w:eastAsia="Georgia" w:hAnsi="Georgia"/>
          <w:b/>
          <w:bCs/>
          <w:color w:val="0D6E7D"/>
          <w:sz w:val="26"/>
          <w:szCs w:val="26"/>
        </w:rPr>
        <w:t xml:space="preserve">III · The eclipse</w:t>
      </w:r>
    </w:p>
    <w:p>
      <w:pPr>
        <w:spacing w:after="60" w:before="0" w:line="280"/>
        <w:jc w:val="left"/>
      </w:pPr>
      <w:r>
        <w:rPr>
          <w:rFonts w:ascii="Georgia" w:cs="Georgia" w:eastAsia="Georgia" w:hAnsi="Georgia"/>
          <w:b w:val="false"/>
          <w:bCs w:val="false"/>
          <w:i w:val="false"/>
          <w:iCs w:val="false"/>
          <w:sz w:val="20"/>
          <w:szCs w:val="20"/>
        </w:rPr>
        <w:t xml:space="preserve">Hype is a near-zero-sum resource. When ChatGPT arrived in late 2022, it didn't merely outshine the metaverse — it cannibalised the capital, GPUs, and engineering attention that the metaverse pitch had just claimed. Spatial computing's 2024 rebrand is in part an attempt to escape that gravity well.</w:t>
      </w:r>
    </w:p>
    <w:p>
      <w:pPr>
        <w:pBdr>
          <w:top w:val="single" w:color="141414" w:sz="8" w:space="10"/>
        </w:pBdr>
        <w:spacing w:after="0" w:before="320"/>
      </w:pPr>
      <w:r>
        <w:rPr>
          <w:rFonts w:ascii="Georgia" w:cs="Georgia" w:eastAsia="Georgia" w:hAnsi="Georgia"/>
          <w:b/>
          <w:bCs/>
          <w:color w:val="B8341A"/>
          <w:sz w:val="26"/>
          <w:szCs w:val="26"/>
        </w:rPr>
        <w:t xml:space="preserve">Dr. George Papagiannakis</w:t>
      </w:r>
    </w:p>
    <w:p>
      <w:pPr>
        <w:spacing w:after="0" w:before="40"/>
      </w:pPr>
      <w:r>
        <w:rPr>
          <w:rFonts w:ascii="Georgia" w:cs="Georgia" w:eastAsia="Georgia" w:hAnsi="Georgia"/>
          <w:i/>
          <w:iCs/>
          <w:color w:val="3A3833"/>
          <w:sz w:val="20"/>
          <w:szCs w:val="20"/>
        </w:rPr>
        <w:t xml:space="preserve">Founder &amp; CEO, ORamaVR  ·  Principal Researcher, FORTH-ICS  ·  Professor, University of Crete</w:t>
      </w:r>
    </w:p>
    <w:p>
      <w:pPr>
        <w:pBdr>
          <w:top w:val="single" w:color="6B6760" w:sz="4" w:space="8"/>
        </w:pBdr>
        <w:spacing w:after="0" w:before="200"/>
      </w:pPr>
      <w:r>
        <w:rPr>
          <w:rFonts w:ascii="Georgia" w:cs="Georgia" w:eastAsia="Georgia" w:hAnsi="Georgia"/>
          <w:i/>
          <w:iCs/>
          <w:color w:val="6B6760"/>
          <w:sz w:val="17"/>
          <w:szCs w:val="17"/>
        </w:rPr>
        <w:t xml:space="preserve">Compiled May 2026 · sourced from primary records where verifiable · confidence flagged inline · prose interprets, charts report</w:t>
      </w:r>
    </w:p>
    <w:p>
      <w:r>
        <w:br w:type="page"/>
      </w:r>
    </w:p>
    <w:p>
      <w:pPr>
        <w:spacing w:after="0" w:before="0"/>
      </w:pPr>
      <w:r>
        <w:rPr>
          <w:rFonts w:ascii="Consolas" w:cs="Consolas" w:eastAsia="Consolas" w:hAnsi="Consolas"/>
          <w:color w:val="6B6760"/>
          <w:spacing w:val="30"/>
          <w:sz w:val="16"/>
          <w:szCs w:val="16"/>
        </w:rPr>
        <w:t xml:space="preserve">APPENDIX · TIMELINE EVENT TABLE</w:t>
      </w:r>
    </w:p>
    <w:p>
      <w:pPr>
        <w:spacing w:after="60" w:before="60"/>
      </w:pPr>
      <w:r>
        <w:rPr>
          <w:rFonts w:ascii="Georgia" w:cs="Georgia" w:eastAsia="Georgia" w:hAnsi="Georgia"/>
          <w:b/>
          <w:bCs/>
          <w:color w:val="141414"/>
          <w:sz w:val="32"/>
          <w:szCs w:val="32"/>
        </w:rPr>
        <w:t xml:space="preserve">All forty-two events plotted on the AI and VR timelines.</w:t>
      </w:r>
    </w:p>
    <w:p>
      <w:pPr>
        <w:spacing w:after="80" w:before="20"/>
      </w:pPr>
      <w:r>
        <w:rPr>
          <w:rFonts w:ascii="Georgia" w:cs="Georgia" w:eastAsia="Georgia" w:hAnsi="Georgia"/>
          <w:i/>
          <w:iCs/>
          <w:color w:val="3A3833"/>
          <w:sz w:val="22"/>
          <w:szCs w:val="22"/>
        </w:rPr>
        <w:t xml:space="preserve">The same data that appears as hover-tooltips in the interactive HTML version. AI events first (twenty-six), then VR / metaverse events (sixteen). Each row: lane, year or date, event title, and the explanation.</w:t>
      </w:r>
    </w:p>
    <w:tbl>
      <w:tblPr>
        <w:tblW w:type="dxa" w:w="12960"/>
        <w:tblBorders>
          <w:top w:val="single" w:color="141414" w:sz="4"/>
          <w:left w:val="single" w:color="141414" w:sz="4"/>
          <w:bottom w:val="single" w:color="141414" w:sz="4"/>
          <w:right w:val="single" w:color="141414" w:sz="4"/>
          <w:insideH w:val="single" w:color="C0BFB8" w:sz="2"/>
          <w:insideV w:val="single" w:color="C0BFB8" w:sz="2"/>
        </w:tblBorders>
      </w:tblPr>
      <w:tblGrid>
        <w:gridCol w:w="100"/>
        <w:gridCol w:w="100"/>
        <w:gridCol w:w="100"/>
        <w:gridCol w:w="100"/>
      </w:tblGrid>
      <w:tr>
        <w:trPr>
          <w:tblHeader/>
        </w:trPr>
        <w:tc>
          <w:tcPr>
            <w:tcW w:type="dxa" w:w="720"/>
            <w:shd w:fill="ECE5D2" w:val="clear"/>
            <w:tcMar>
              <w:top w:type="dxa" w:w="80"/>
              <w:left w:type="dxa" w:w="100"/>
              <w:bottom w:type="dxa" w:w="80"/>
              <w:right w:type="dxa" w:w="100"/>
            </w:tcMar>
            <w:vAlign w:val="center"/>
          </w:tcPr>
          <w:p>
            <w:pPr>
              <w:spacing w:after="20" w:before="20"/>
              <w:jc w:val="left"/>
            </w:pPr>
            <w:r>
              <w:rPr>
                <w:rFonts w:ascii="Consolas" w:cs="Consolas" w:eastAsia="Consolas" w:hAnsi="Consolas"/>
                <w:b/>
                <w:bCs/>
                <w:color w:val="141414"/>
                <w:spacing w:val="30"/>
                <w:sz w:val="17"/>
                <w:szCs w:val="17"/>
              </w:rPr>
              <w:t xml:space="preserve">LANE</w:t>
            </w:r>
          </w:p>
        </w:tc>
        <w:tc>
          <w:tcPr>
            <w:tcW w:type="dxa" w:w="1440"/>
            <w:shd w:fill="ECE5D2" w:val="clear"/>
            <w:tcMar>
              <w:top w:type="dxa" w:w="80"/>
              <w:left w:type="dxa" w:w="100"/>
              <w:bottom w:type="dxa" w:w="80"/>
              <w:right w:type="dxa" w:w="100"/>
            </w:tcMar>
            <w:vAlign w:val="center"/>
          </w:tcPr>
          <w:p>
            <w:pPr>
              <w:spacing w:after="20" w:before="20"/>
              <w:jc w:val="left"/>
            </w:pPr>
            <w:r>
              <w:rPr>
                <w:rFonts w:ascii="Consolas" w:cs="Consolas" w:eastAsia="Consolas" w:hAnsi="Consolas"/>
                <w:b/>
                <w:bCs/>
                <w:color w:val="141414"/>
                <w:spacing w:val="30"/>
                <w:sz w:val="17"/>
                <w:szCs w:val="17"/>
              </w:rPr>
              <w:t xml:space="preserve">YEAR / DATE</w:t>
            </w:r>
          </w:p>
        </w:tc>
        <w:tc>
          <w:tcPr>
            <w:tcW w:type="dxa" w:w="3240"/>
            <w:shd w:fill="ECE5D2" w:val="clear"/>
            <w:tcMar>
              <w:top w:type="dxa" w:w="80"/>
              <w:left w:type="dxa" w:w="100"/>
              <w:bottom w:type="dxa" w:w="80"/>
              <w:right w:type="dxa" w:w="100"/>
            </w:tcMar>
            <w:vAlign w:val="center"/>
          </w:tcPr>
          <w:p>
            <w:pPr>
              <w:spacing w:after="20" w:before="20"/>
              <w:jc w:val="left"/>
            </w:pPr>
            <w:r>
              <w:rPr>
                <w:rFonts w:ascii="Consolas" w:cs="Consolas" w:eastAsia="Consolas" w:hAnsi="Consolas"/>
                <w:b/>
                <w:bCs/>
                <w:color w:val="141414"/>
                <w:spacing w:val="30"/>
                <w:sz w:val="17"/>
                <w:szCs w:val="17"/>
              </w:rPr>
              <w:t xml:space="preserve">EVENT</w:t>
            </w:r>
          </w:p>
        </w:tc>
        <w:tc>
          <w:tcPr>
            <w:tcW w:type="dxa" w:w="7560"/>
            <w:shd w:fill="ECE5D2" w:val="clear"/>
            <w:tcMar>
              <w:top w:type="dxa" w:w="80"/>
              <w:left w:type="dxa" w:w="100"/>
              <w:bottom w:type="dxa" w:w="80"/>
              <w:right w:type="dxa" w:w="100"/>
            </w:tcMar>
            <w:vAlign w:val="center"/>
          </w:tcPr>
          <w:p>
            <w:pPr>
              <w:spacing w:after="20" w:before="20"/>
              <w:jc w:val="left"/>
            </w:pPr>
            <w:r>
              <w:rPr>
                <w:rFonts w:ascii="Consolas" w:cs="Consolas" w:eastAsia="Consolas" w:hAnsi="Consolas"/>
                <w:b/>
                <w:bCs/>
                <w:color w:val="141414"/>
                <w:spacing w:val="30"/>
                <w:sz w:val="17"/>
                <w:szCs w:val="17"/>
              </w:rPr>
              <w:t xml:space="preserve">WHAT IT WAS &amp; WHY IT MATTERED</w:t>
            </w:r>
          </w:p>
        </w:tc>
      </w:tr>
      <w:tr>
        <w:tc>
          <w:tcPr>
            <w:tcW w:type="dxa" w:w="12960"/>
            <w:gridSpan w:val="4"/>
            <w:shd w:fill="B8341A" w:val="clear"/>
            <w:tcMar>
              <w:top w:type="dxa" w:w="60"/>
              <w:left w:type="dxa" w:w="150"/>
              <w:bottom w:type="dxa" w:w="60"/>
              <w:right w:type="dxa" w:w="150"/>
            </w:tcMar>
          </w:tcPr>
          <w:p>
            <w:r>
              <w:rPr>
                <w:rFonts w:ascii="Consolas" w:cs="Consolas" w:eastAsia="Consolas" w:hAnsi="Consolas"/>
                <w:b/>
                <w:bCs/>
                <w:color w:val="FFFFFF"/>
                <w:spacing w:val="40"/>
                <w:sz w:val="20"/>
                <w:szCs w:val="20"/>
              </w:rPr>
              <w:t xml:space="preserve">ARTIFICIAL INTELLIGENCE — 1943 to 2026</w:t>
            </w:r>
          </w:p>
        </w:tc>
      </w:tr>
      <w:tr>
        <w:tc>
          <w:tcPr>
            <w:tcW w:type="dxa" w:w="720"/>
            <w:shd w:fill="FBEBE7" w:val="clear"/>
            <w:tcMar>
              <w:top w:type="dxa" w:w="100"/>
              <w:left w:type="dxa" w:w="100"/>
              <w:bottom w:type="dxa" w:w="100"/>
              <w:right w:type="dxa" w:w="100"/>
            </w:tcMar>
            <w:vAlign w:val="top"/>
          </w:tcPr>
          <w:p>
            <w:pPr>
              <w:spacing w:after="30" w:before="30" w:line="240"/>
              <w:jc w:val="left"/>
            </w:pPr>
            <w:r>
              <w:rPr>
                <w:rFonts w:ascii="Consolas" w:cs="Consolas" w:eastAsia="Consolas" w:hAnsi="Consolas"/>
                <w:b/>
                <w:bCs/>
                <w:i w:val="false"/>
                <w:iCs w:val="false"/>
                <w:color w:val="B8341A"/>
                <w:sz w:val="16"/>
                <w:szCs w:val="16"/>
              </w:rPr>
              <w:t xml:space="preserve">AI</w:t>
            </w:r>
          </w:p>
        </w:tc>
        <w:tc>
          <w:tcPr>
            <w:tcW w:type="dxa" w:w="1440"/>
            <w:tcMar>
              <w:top w:type="dxa" w:w="100"/>
              <w:left w:type="dxa" w:w="100"/>
              <w:bottom w:type="dxa" w:w="100"/>
              <w:right w:type="dxa" w:w="100"/>
            </w:tcMar>
            <w:vAlign w:val="top"/>
          </w:tcPr>
          <w:p>
            <w:pPr>
              <w:spacing w:after="30" w:before="30" w:line="240"/>
              <w:jc w:val="left"/>
            </w:pPr>
            <w:r>
              <w:rPr>
                <w:rFonts w:ascii="Consolas" w:cs="Consolas" w:eastAsia="Consolas" w:hAnsi="Consolas"/>
                <w:b w:val="false"/>
                <w:bCs w:val="false"/>
                <w:i w:val="false"/>
                <w:iCs w:val="false"/>
                <w:color w:val="141414"/>
                <w:sz w:val="17"/>
                <w:szCs w:val="17"/>
              </w:rPr>
              <w:t xml:space="preserve">1943</w:t>
            </w:r>
          </w:p>
        </w:tc>
        <w:tc>
          <w:tcPr>
            <w:tcW w:type="dxa" w:w="3240"/>
            <w:tcMar>
              <w:top w:type="dxa" w:w="100"/>
              <w:left w:type="dxa" w:w="100"/>
              <w:bottom w:type="dxa" w:w="100"/>
              <w:right w:type="dxa" w:w="100"/>
            </w:tcMar>
            <w:vAlign w:val="top"/>
          </w:tcPr>
          <w:p>
            <w:pPr>
              <w:spacing w:after="30" w:before="30" w:line="240"/>
              <w:jc w:val="left"/>
            </w:pPr>
            <w:r>
              <w:rPr>
                <w:rFonts w:ascii="Georgia" w:cs="Georgia" w:eastAsia="Georgia" w:hAnsi="Georgia"/>
                <w:b/>
                <w:bCs/>
                <w:i w:val="false"/>
                <w:iCs w:val="false"/>
                <w:color w:val="141414"/>
                <w:sz w:val="18"/>
                <w:szCs w:val="18"/>
              </w:rPr>
              <w:t xml:space="preserve">McCulloch &amp; Pitts</w:t>
            </w:r>
          </w:p>
        </w:tc>
        <w:tc>
          <w:tcPr>
            <w:tcW w:type="dxa" w:w="7560"/>
            <w:tcMar>
              <w:top w:type="dxa" w:w="100"/>
              <w:left w:type="dxa" w:w="100"/>
              <w:bottom w:type="dxa" w:w="100"/>
              <w:right w:type="dxa" w:w="100"/>
            </w:tcMar>
            <w:vAlign w:val="top"/>
          </w:tcPr>
          <w:p>
            <w:pPr>
              <w:spacing w:after="30" w:before="30" w:line="240"/>
              <w:jc w:val="left"/>
            </w:pPr>
            <w:r>
              <w:rPr>
                <w:rFonts w:ascii="Georgia" w:cs="Georgia" w:eastAsia="Georgia" w:hAnsi="Georgia"/>
                <w:b w:val="false"/>
                <w:bCs w:val="false"/>
                <w:i w:val="false"/>
                <w:iCs w:val="false"/>
                <w:color w:val="141414"/>
                <w:sz w:val="17"/>
                <w:szCs w:val="17"/>
              </w:rPr>
              <w:t xml:space="preserve">First mathematical model of neural computation. Proved that networks of binary threshold neurons can compute any logical function — the seed of every later neural model from the Perceptron through AlexNet to Transformers. Published the same year ENIAC was being built.</w:t>
            </w:r>
          </w:p>
        </w:tc>
      </w:tr>
      <w:tr>
        <w:tc>
          <w:tcPr>
            <w:tcW w:type="dxa" w:w="720"/>
            <w:shd w:fill="FBEBE7" w:val="clear"/>
            <w:tcMar>
              <w:top w:type="dxa" w:w="100"/>
              <w:left w:type="dxa" w:w="100"/>
              <w:bottom w:type="dxa" w:w="100"/>
              <w:right w:type="dxa" w:w="100"/>
            </w:tcMar>
            <w:vAlign w:val="top"/>
          </w:tcPr>
          <w:p>
            <w:pPr>
              <w:spacing w:after="30" w:before="30" w:line="240"/>
              <w:jc w:val="left"/>
            </w:pPr>
            <w:r>
              <w:rPr>
                <w:rFonts w:ascii="Consolas" w:cs="Consolas" w:eastAsia="Consolas" w:hAnsi="Consolas"/>
                <w:b/>
                <w:bCs/>
                <w:i w:val="false"/>
                <w:iCs w:val="false"/>
                <w:color w:val="B8341A"/>
                <w:sz w:val="16"/>
                <w:szCs w:val="16"/>
              </w:rPr>
              <w:t xml:space="preserve">AI</w:t>
            </w:r>
          </w:p>
        </w:tc>
        <w:tc>
          <w:tcPr>
            <w:tcW w:type="dxa" w:w="1440"/>
            <w:tcMar>
              <w:top w:type="dxa" w:w="100"/>
              <w:left w:type="dxa" w:w="100"/>
              <w:bottom w:type="dxa" w:w="100"/>
              <w:right w:type="dxa" w:w="100"/>
            </w:tcMar>
            <w:vAlign w:val="top"/>
          </w:tcPr>
          <w:p>
            <w:pPr>
              <w:spacing w:after="30" w:before="30" w:line="240"/>
              <w:jc w:val="left"/>
            </w:pPr>
            <w:r>
              <w:rPr>
                <w:rFonts w:ascii="Consolas" w:cs="Consolas" w:eastAsia="Consolas" w:hAnsi="Consolas"/>
                <w:b w:val="false"/>
                <w:bCs w:val="false"/>
                <w:i w:val="false"/>
                <w:iCs w:val="false"/>
                <w:color w:val="141414"/>
                <w:sz w:val="17"/>
                <w:szCs w:val="17"/>
              </w:rPr>
              <w:t xml:space="preserve">1949</w:t>
            </w:r>
          </w:p>
        </w:tc>
        <w:tc>
          <w:tcPr>
            <w:tcW w:type="dxa" w:w="3240"/>
            <w:tcMar>
              <w:top w:type="dxa" w:w="100"/>
              <w:left w:type="dxa" w:w="100"/>
              <w:bottom w:type="dxa" w:w="100"/>
              <w:right w:type="dxa" w:w="100"/>
            </w:tcMar>
            <w:vAlign w:val="top"/>
          </w:tcPr>
          <w:p>
            <w:pPr>
              <w:spacing w:after="30" w:before="30" w:line="240"/>
              <w:jc w:val="left"/>
            </w:pPr>
            <w:r>
              <w:rPr>
                <w:rFonts w:ascii="Georgia" w:cs="Georgia" w:eastAsia="Georgia" w:hAnsi="Georgia"/>
                <w:b/>
                <w:bCs/>
                <w:i w:val="false"/>
                <w:iCs w:val="false"/>
                <w:color w:val="141414"/>
                <w:sz w:val="18"/>
                <w:szCs w:val="18"/>
              </w:rPr>
              <w:t xml:space="preserve">Hebb's learning rule</w:t>
            </w:r>
          </w:p>
        </w:tc>
        <w:tc>
          <w:tcPr>
            <w:tcW w:type="dxa" w:w="7560"/>
            <w:tcMar>
              <w:top w:type="dxa" w:w="100"/>
              <w:left w:type="dxa" w:w="100"/>
              <w:bottom w:type="dxa" w:w="100"/>
              <w:right w:type="dxa" w:w="100"/>
            </w:tcMar>
            <w:vAlign w:val="top"/>
          </w:tcPr>
          <w:p>
            <w:pPr>
              <w:spacing w:after="30" w:before="30" w:line="240"/>
              <w:jc w:val="left"/>
            </w:pPr>
            <w:r>
              <w:rPr>
                <w:rFonts w:ascii="Georgia" w:cs="Georgia" w:eastAsia="Georgia" w:hAnsi="Georgia"/>
                <w:b w:val="false"/>
                <w:bCs w:val="false"/>
                <w:i w:val="false"/>
                <w:iCs w:val="false"/>
                <w:color w:val="141414"/>
                <w:sz w:val="17"/>
                <w:szCs w:val="17"/>
              </w:rPr>
              <w:t xml:space="preserve">Donald Hebb proposed that synaptic strength increases when neurons fire together. The first credible biological learning rule — directly inspires modern neural network learning algorithms decades later.</w:t>
            </w:r>
          </w:p>
        </w:tc>
      </w:tr>
      <w:tr>
        <w:tc>
          <w:tcPr>
            <w:tcW w:type="dxa" w:w="720"/>
            <w:shd w:fill="FBEBE7" w:val="clear"/>
            <w:tcMar>
              <w:top w:type="dxa" w:w="100"/>
              <w:left w:type="dxa" w:w="100"/>
              <w:bottom w:type="dxa" w:w="100"/>
              <w:right w:type="dxa" w:w="100"/>
            </w:tcMar>
            <w:vAlign w:val="top"/>
          </w:tcPr>
          <w:p>
            <w:pPr>
              <w:spacing w:after="30" w:before="30" w:line="240"/>
              <w:jc w:val="left"/>
            </w:pPr>
            <w:r>
              <w:rPr>
                <w:rFonts w:ascii="Consolas" w:cs="Consolas" w:eastAsia="Consolas" w:hAnsi="Consolas"/>
                <w:b/>
                <w:bCs/>
                <w:i w:val="false"/>
                <w:iCs w:val="false"/>
                <w:color w:val="B8341A"/>
                <w:sz w:val="16"/>
                <w:szCs w:val="16"/>
              </w:rPr>
              <w:t xml:space="preserve">AI</w:t>
            </w:r>
          </w:p>
        </w:tc>
        <w:tc>
          <w:tcPr>
            <w:tcW w:type="dxa" w:w="1440"/>
            <w:tcMar>
              <w:top w:type="dxa" w:w="100"/>
              <w:left w:type="dxa" w:w="100"/>
              <w:bottom w:type="dxa" w:w="100"/>
              <w:right w:type="dxa" w:w="100"/>
            </w:tcMar>
            <w:vAlign w:val="top"/>
          </w:tcPr>
          <w:p>
            <w:pPr>
              <w:spacing w:after="30" w:before="30" w:line="240"/>
              <w:jc w:val="left"/>
            </w:pPr>
            <w:r>
              <w:rPr>
                <w:rFonts w:ascii="Consolas" w:cs="Consolas" w:eastAsia="Consolas" w:hAnsi="Consolas"/>
                <w:b w:val="false"/>
                <w:bCs w:val="false"/>
                <w:i w:val="false"/>
                <w:iCs w:val="false"/>
                <w:color w:val="141414"/>
                <w:sz w:val="17"/>
                <w:szCs w:val="17"/>
              </w:rPr>
              <w:t xml:space="preserve">1950</w:t>
            </w:r>
          </w:p>
        </w:tc>
        <w:tc>
          <w:tcPr>
            <w:tcW w:type="dxa" w:w="3240"/>
            <w:tcMar>
              <w:top w:type="dxa" w:w="100"/>
              <w:left w:type="dxa" w:w="100"/>
              <w:bottom w:type="dxa" w:w="100"/>
              <w:right w:type="dxa" w:w="100"/>
            </w:tcMar>
            <w:vAlign w:val="top"/>
          </w:tcPr>
          <w:p>
            <w:pPr>
              <w:spacing w:after="30" w:before="30" w:line="240"/>
              <w:jc w:val="left"/>
            </w:pPr>
            <w:r>
              <w:rPr>
                <w:rFonts w:ascii="Georgia" w:cs="Georgia" w:eastAsia="Georgia" w:hAnsi="Georgia"/>
                <w:b/>
                <w:bCs/>
                <w:i w:val="false"/>
                <w:iCs w:val="false"/>
                <w:color w:val="141414"/>
                <w:sz w:val="18"/>
                <w:szCs w:val="18"/>
              </w:rPr>
              <w:t xml:space="preserve">Turing — Computing Machinery &amp; Intelligence</w:t>
            </w:r>
          </w:p>
        </w:tc>
        <w:tc>
          <w:tcPr>
            <w:tcW w:type="dxa" w:w="7560"/>
            <w:tcMar>
              <w:top w:type="dxa" w:w="100"/>
              <w:left w:type="dxa" w:w="100"/>
              <w:bottom w:type="dxa" w:w="100"/>
              <w:right w:type="dxa" w:w="100"/>
            </w:tcMar>
            <w:vAlign w:val="top"/>
          </w:tcPr>
          <w:p>
            <w:pPr>
              <w:spacing w:after="30" w:before="30" w:line="240"/>
              <w:jc w:val="left"/>
            </w:pPr>
            <w:r>
              <w:rPr>
                <w:rFonts w:ascii="Georgia" w:cs="Georgia" w:eastAsia="Georgia" w:hAnsi="Georgia"/>
                <w:b w:val="false"/>
                <w:bCs w:val="false"/>
                <w:i w:val="false"/>
                <w:iCs w:val="false"/>
                <w:color w:val="141414"/>
                <w:sz w:val="17"/>
                <w:szCs w:val="17"/>
              </w:rPr>
              <w:t xml:space="preserve">Turing proposes the imitation game and argues machines could think in principle. Frames the philosophical question — what does it mean for a machine to be intelligent? — that the field will inherit and never quite resolve.</w:t>
            </w:r>
          </w:p>
        </w:tc>
      </w:tr>
      <w:tr>
        <w:tc>
          <w:tcPr>
            <w:tcW w:type="dxa" w:w="720"/>
            <w:shd w:fill="FBEBE7" w:val="clear"/>
            <w:tcMar>
              <w:top w:type="dxa" w:w="100"/>
              <w:left w:type="dxa" w:w="100"/>
              <w:bottom w:type="dxa" w:w="100"/>
              <w:right w:type="dxa" w:w="100"/>
            </w:tcMar>
            <w:vAlign w:val="top"/>
          </w:tcPr>
          <w:p>
            <w:pPr>
              <w:spacing w:after="30" w:before="30" w:line="240"/>
              <w:jc w:val="left"/>
            </w:pPr>
            <w:r>
              <w:rPr>
                <w:rFonts w:ascii="Consolas" w:cs="Consolas" w:eastAsia="Consolas" w:hAnsi="Consolas"/>
                <w:b/>
                <w:bCs/>
                <w:i w:val="false"/>
                <w:iCs w:val="false"/>
                <w:color w:val="B8341A"/>
                <w:sz w:val="16"/>
                <w:szCs w:val="16"/>
              </w:rPr>
              <w:t xml:space="preserve">AI</w:t>
            </w:r>
          </w:p>
        </w:tc>
        <w:tc>
          <w:tcPr>
            <w:tcW w:type="dxa" w:w="1440"/>
            <w:tcMar>
              <w:top w:type="dxa" w:w="100"/>
              <w:left w:type="dxa" w:w="100"/>
              <w:bottom w:type="dxa" w:w="100"/>
              <w:right w:type="dxa" w:w="100"/>
            </w:tcMar>
            <w:vAlign w:val="top"/>
          </w:tcPr>
          <w:p>
            <w:pPr>
              <w:spacing w:after="30" w:before="30" w:line="240"/>
              <w:jc w:val="left"/>
            </w:pPr>
            <w:r>
              <w:rPr>
                <w:rFonts w:ascii="Consolas" w:cs="Consolas" w:eastAsia="Consolas" w:hAnsi="Consolas"/>
                <w:b w:val="false"/>
                <w:bCs w:val="false"/>
                <w:i w:val="false"/>
                <w:iCs w:val="false"/>
                <w:color w:val="141414"/>
                <w:sz w:val="17"/>
                <w:szCs w:val="17"/>
              </w:rPr>
              <w:t xml:space="preserve">summer 1956</w:t>
            </w:r>
          </w:p>
        </w:tc>
        <w:tc>
          <w:tcPr>
            <w:tcW w:type="dxa" w:w="3240"/>
            <w:tcMar>
              <w:top w:type="dxa" w:w="100"/>
              <w:left w:type="dxa" w:w="100"/>
              <w:bottom w:type="dxa" w:w="100"/>
              <w:right w:type="dxa" w:w="100"/>
            </w:tcMar>
            <w:vAlign w:val="top"/>
          </w:tcPr>
          <w:p>
            <w:pPr>
              <w:spacing w:after="30" w:before="30" w:line="240"/>
              <w:jc w:val="left"/>
            </w:pPr>
            <w:r>
              <w:rPr>
                <w:rFonts w:ascii="Georgia" w:cs="Georgia" w:eastAsia="Georgia" w:hAnsi="Georgia"/>
                <w:b/>
                <w:bCs/>
                <w:i w:val="false"/>
                <w:iCs w:val="false"/>
                <w:color w:val="141414"/>
                <w:sz w:val="18"/>
                <w:szCs w:val="18"/>
              </w:rPr>
              <w:t xml:space="preserve">Dartmouth Workshop</w:t>
            </w:r>
          </w:p>
        </w:tc>
        <w:tc>
          <w:tcPr>
            <w:tcW w:type="dxa" w:w="7560"/>
            <w:tcMar>
              <w:top w:type="dxa" w:w="100"/>
              <w:left w:type="dxa" w:w="100"/>
              <w:bottom w:type="dxa" w:w="100"/>
              <w:right w:type="dxa" w:w="100"/>
            </w:tcMar>
            <w:vAlign w:val="top"/>
          </w:tcPr>
          <w:p>
            <w:pPr>
              <w:spacing w:after="30" w:before="30" w:line="240"/>
              <w:jc w:val="left"/>
            </w:pPr>
            <w:r>
              <w:rPr>
                <w:rFonts w:ascii="Georgia" w:cs="Georgia" w:eastAsia="Georgia" w:hAnsi="Georgia"/>
                <w:b w:val="false"/>
                <w:bCs w:val="false"/>
                <w:i w:val="false"/>
                <w:iCs w:val="false"/>
                <w:color w:val="141414"/>
                <w:sz w:val="17"/>
                <w:szCs w:val="17"/>
              </w:rPr>
              <w:t xml:space="preserve">Two-month workshop at Dartmouth College, organized by John McCarthy with Minsky, Shannon, Newell, Simon, and Rochester. McCarthy coins the term 'artificial intelligence' here. Often cited as the field's founding event — though the science was already in place; what Dartmouth added was a name, a programme, and a funding pitch.</w:t>
            </w:r>
          </w:p>
        </w:tc>
      </w:tr>
      <w:tr>
        <w:tc>
          <w:tcPr>
            <w:tcW w:type="dxa" w:w="720"/>
            <w:shd w:fill="FBEBE7" w:val="clear"/>
            <w:tcMar>
              <w:top w:type="dxa" w:w="100"/>
              <w:left w:type="dxa" w:w="100"/>
              <w:bottom w:type="dxa" w:w="100"/>
              <w:right w:type="dxa" w:w="100"/>
            </w:tcMar>
            <w:vAlign w:val="top"/>
          </w:tcPr>
          <w:p>
            <w:pPr>
              <w:spacing w:after="30" w:before="30" w:line="240"/>
              <w:jc w:val="left"/>
            </w:pPr>
            <w:r>
              <w:rPr>
                <w:rFonts w:ascii="Consolas" w:cs="Consolas" w:eastAsia="Consolas" w:hAnsi="Consolas"/>
                <w:b/>
                <w:bCs/>
                <w:i w:val="false"/>
                <w:iCs w:val="false"/>
                <w:color w:val="B8341A"/>
                <w:sz w:val="16"/>
                <w:szCs w:val="16"/>
              </w:rPr>
              <w:t xml:space="preserve">AI</w:t>
            </w:r>
          </w:p>
        </w:tc>
        <w:tc>
          <w:tcPr>
            <w:tcW w:type="dxa" w:w="1440"/>
            <w:tcMar>
              <w:top w:type="dxa" w:w="100"/>
              <w:left w:type="dxa" w:w="100"/>
              <w:bottom w:type="dxa" w:w="100"/>
              <w:right w:type="dxa" w:w="100"/>
            </w:tcMar>
            <w:vAlign w:val="top"/>
          </w:tcPr>
          <w:p>
            <w:pPr>
              <w:spacing w:after="30" w:before="30" w:line="240"/>
              <w:jc w:val="left"/>
            </w:pPr>
            <w:r>
              <w:rPr>
                <w:rFonts w:ascii="Consolas" w:cs="Consolas" w:eastAsia="Consolas" w:hAnsi="Consolas"/>
                <w:b w:val="false"/>
                <w:bCs w:val="false"/>
                <w:i w:val="false"/>
                <w:iCs w:val="false"/>
                <w:color w:val="141414"/>
                <w:sz w:val="17"/>
                <w:szCs w:val="17"/>
              </w:rPr>
              <w:t xml:space="preserve">1957</w:t>
            </w:r>
          </w:p>
        </w:tc>
        <w:tc>
          <w:tcPr>
            <w:tcW w:type="dxa" w:w="3240"/>
            <w:tcMar>
              <w:top w:type="dxa" w:w="100"/>
              <w:left w:type="dxa" w:w="100"/>
              <w:bottom w:type="dxa" w:w="100"/>
              <w:right w:type="dxa" w:w="100"/>
            </w:tcMar>
            <w:vAlign w:val="top"/>
          </w:tcPr>
          <w:p>
            <w:pPr>
              <w:spacing w:after="30" w:before="30" w:line="240"/>
              <w:jc w:val="left"/>
            </w:pPr>
            <w:r>
              <w:rPr>
                <w:rFonts w:ascii="Georgia" w:cs="Georgia" w:eastAsia="Georgia" w:hAnsi="Georgia"/>
                <w:b/>
                <w:bCs/>
                <w:i w:val="false"/>
                <w:iCs w:val="false"/>
                <w:color w:val="141414"/>
                <w:sz w:val="18"/>
                <w:szCs w:val="18"/>
              </w:rPr>
              <w:t xml:space="preserve">Rosenblatt — Perceptron</w:t>
            </w:r>
          </w:p>
        </w:tc>
        <w:tc>
          <w:tcPr>
            <w:tcW w:type="dxa" w:w="7560"/>
            <w:tcMar>
              <w:top w:type="dxa" w:w="100"/>
              <w:left w:type="dxa" w:w="100"/>
              <w:bottom w:type="dxa" w:w="100"/>
              <w:right w:type="dxa" w:w="100"/>
            </w:tcMar>
            <w:vAlign w:val="top"/>
          </w:tcPr>
          <w:p>
            <w:pPr>
              <w:spacing w:after="30" w:before="30" w:line="240"/>
              <w:jc w:val="left"/>
            </w:pPr>
            <w:r>
              <w:rPr>
                <w:rFonts w:ascii="Georgia" w:cs="Georgia" w:eastAsia="Georgia" w:hAnsi="Georgia"/>
                <w:b w:val="false"/>
                <w:bCs w:val="false"/>
                <w:i w:val="false"/>
                <w:iCs w:val="false"/>
                <w:color w:val="141414"/>
                <w:sz w:val="17"/>
                <w:szCs w:val="17"/>
              </w:rPr>
              <w:t xml:space="preserve">Frank Rosenblatt's pattern recognition algorithm, implemented as the Mark I Perceptron hardware. Generated enormous press attention and military funding. Becomes the canonical example of AI overpromise after Minsky &amp; Papert's 1969 critique.</w:t>
            </w:r>
          </w:p>
        </w:tc>
      </w:tr>
      <w:tr>
        <w:tc>
          <w:tcPr>
            <w:tcW w:type="dxa" w:w="720"/>
            <w:shd w:fill="FBEBE7" w:val="clear"/>
            <w:tcMar>
              <w:top w:type="dxa" w:w="100"/>
              <w:left w:type="dxa" w:w="100"/>
              <w:bottom w:type="dxa" w:w="100"/>
              <w:right w:type="dxa" w:w="100"/>
            </w:tcMar>
            <w:vAlign w:val="top"/>
          </w:tcPr>
          <w:p>
            <w:pPr>
              <w:spacing w:after="30" w:before="30" w:line="240"/>
              <w:jc w:val="left"/>
            </w:pPr>
            <w:r>
              <w:rPr>
                <w:rFonts w:ascii="Consolas" w:cs="Consolas" w:eastAsia="Consolas" w:hAnsi="Consolas"/>
                <w:b/>
                <w:bCs/>
                <w:i w:val="false"/>
                <w:iCs w:val="false"/>
                <w:color w:val="B8341A"/>
                <w:sz w:val="16"/>
                <w:szCs w:val="16"/>
              </w:rPr>
              <w:t xml:space="preserve">AI</w:t>
            </w:r>
          </w:p>
        </w:tc>
        <w:tc>
          <w:tcPr>
            <w:tcW w:type="dxa" w:w="1440"/>
            <w:tcMar>
              <w:top w:type="dxa" w:w="100"/>
              <w:left w:type="dxa" w:w="100"/>
              <w:bottom w:type="dxa" w:w="100"/>
              <w:right w:type="dxa" w:w="100"/>
            </w:tcMar>
            <w:vAlign w:val="top"/>
          </w:tcPr>
          <w:p>
            <w:pPr>
              <w:spacing w:after="30" w:before="30" w:line="240"/>
              <w:jc w:val="left"/>
            </w:pPr>
            <w:r>
              <w:rPr>
                <w:rFonts w:ascii="Consolas" w:cs="Consolas" w:eastAsia="Consolas" w:hAnsi="Consolas"/>
                <w:b w:val="false"/>
                <w:bCs w:val="false"/>
                <w:i w:val="false"/>
                <w:iCs w:val="false"/>
                <w:color w:val="141414"/>
                <w:sz w:val="17"/>
                <w:szCs w:val="17"/>
              </w:rPr>
              <w:t xml:space="preserve">1958</w:t>
            </w:r>
          </w:p>
        </w:tc>
        <w:tc>
          <w:tcPr>
            <w:tcW w:type="dxa" w:w="3240"/>
            <w:tcMar>
              <w:top w:type="dxa" w:w="100"/>
              <w:left w:type="dxa" w:w="100"/>
              <w:bottom w:type="dxa" w:w="100"/>
              <w:right w:type="dxa" w:w="100"/>
            </w:tcMar>
            <w:vAlign w:val="top"/>
          </w:tcPr>
          <w:p>
            <w:pPr>
              <w:spacing w:after="30" w:before="30" w:line="240"/>
              <w:jc w:val="left"/>
            </w:pPr>
            <w:r>
              <w:rPr>
                <w:rFonts w:ascii="Georgia" w:cs="Georgia" w:eastAsia="Georgia" w:hAnsi="Georgia"/>
                <w:b/>
                <w:bCs/>
                <w:i w:val="false"/>
                <w:iCs w:val="false"/>
                <w:color w:val="141414"/>
                <w:sz w:val="18"/>
                <w:szCs w:val="18"/>
              </w:rPr>
              <w:t xml:space="preserve">McCarthy — LISP</w:t>
            </w:r>
          </w:p>
        </w:tc>
        <w:tc>
          <w:tcPr>
            <w:tcW w:type="dxa" w:w="7560"/>
            <w:tcMar>
              <w:top w:type="dxa" w:w="100"/>
              <w:left w:type="dxa" w:w="100"/>
              <w:bottom w:type="dxa" w:w="100"/>
              <w:right w:type="dxa" w:w="100"/>
            </w:tcMar>
            <w:vAlign w:val="top"/>
          </w:tcPr>
          <w:p>
            <w:pPr>
              <w:spacing w:after="30" w:before="30" w:line="240"/>
              <w:jc w:val="left"/>
            </w:pPr>
            <w:r>
              <w:rPr>
                <w:rFonts w:ascii="Georgia" w:cs="Georgia" w:eastAsia="Georgia" w:hAnsi="Georgia"/>
                <w:b w:val="false"/>
                <w:bCs w:val="false"/>
                <w:i w:val="false"/>
                <w:iCs w:val="false"/>
                <w:color w:val="141414"/>
                <w:sz w:val="17"/>
                <w:szCs w:val="17"/>
              </w:rPr>
              <w:t xml:space="preserve">John McCarthy creates LISP at MIT. Becomes the dominant AI programming language for 30+ years. Its expressive power for symbolic computation shapes how AI researchers think about the problem.</w:t>
            </w:r>
          </w:p>
        </w:tc>
      </w:tr>
      <w:tr>
        <w:tc>
          <w:tcPr>
            <w:tcW w:type="dxa" w:w="720"/>
            <w:shd w:fill="FBEBE7" w:val="clear"/>
            <w:tcMar>
              <w:top w:type="dxa" w:w="100"/>
              <w:left w:type="dxa" w:w="100"/>
              <w:bottom w:type="dxa" w:w="100"/>
              <w:right w:type="dxa" w:w="100"/>
            </w:tcMar>
            <w:vAlign w:val="top"/>
          </w:tcPr>
          <w:p>
            <w:pPr>
              <w:spacing w:after="30" w:before="30" w:line="240"/>
              <w:jc w:val="left"/>
            </w:pPr>
            <w:r>
              <w:rPr>
                <w:rFonts w:ascii="Consolas" w:cs="Consolas" w:eastAsia="Consolas" w:hAnsi="Consolas"/>
                <w:b/>
                <w:bCs/>
                <w:i w:val="false"/>
                <w:iCs w:val="false"/>
                <w:color w:val="B8341A"/>
                <w:sz w:val="16"/>
                <w:szCs w:val="16"/>
              </w:rPr>
              <w:t xml:space="preserve">AI</w:t>
            </w:r>
          </w:p>
        </w:tc>
        <w:tc>
          <w:tcPr>
            <w:tcW w:type="dxa" w:w="1440"/>
            <w:tcMar>
              <w:top w:type="dxa" w:w="100"/>
              <w:left w:type="dxa" w:w="100"/>
              <w:bottom w:type="dxa" w:w="100"/>
              <w:right w:type="dxa" w:w="100"/>
            </w:tcMar>
            <w:vAlign w:val="top"/>
          </w:tcPr>
          <w:p>
            <w:pPr>
              <w:spacing w:after="30" w:before="30" w:line="240"/>
              <w:jc w:val="left"/>
            </w:pPr>
            <w:r>
              <w:rPr>
                <w:rFonts w:ascii="Consolas" w:cs="Consolas" w:eastAsia="Consolas" w:hAnsi="Consolas"/>
                <w:b w:val="false"/>
                <w:bCs w:val="false"/>
                <w:i w:val="false"/>
                <w:iCs w:val="false"/>
                <w:color w:val="141414"/>
                <w:sz w:val="17"/>
                <w:szCs w:val="17"/>
              </w:rPr>
              <w:t xml:space="preserve">1965</w:t>
            </w:r>
          </w:p>
        </w:tc>
        <w:tc>
          <w:tcPr>
            <w:tcW w:type="dxa" w:w="3240"/>
            <w:tcMar>
              <w:top w:type="dxa" w:w="100"/>
              <w:left w:type="dxa" w:w="100"/>
              <w:bottom w:type="dxa" w:w="100"/>
              <w:right w:type="dxa" w:w="100"/>
            </w:tcMar>
            <w:vAlign w:val="top"/>
          </w:tcPr>
          <w:p>
            <w:pPr>
              <w:spacing w:after="30" w:before="30" w:line="240"/>
              <w:jc w:val="left"/>
            </w:pPr>
            <w:r>
              <w:rPr>
                <w:rFonts w:ascii="Georgia" w:cs="Georgia" w:eastAsia="Georgia" w:hAnsi="Georgia"/>
                <w:b/>
                <w:bCs/>
                <w:i w:val="false"/>
                <w:iCs w:val="false"/>
                <w:color w:val="141414"/>
                <w:sz w:val="18"/>
                <w:szCs w:val="18"/>
              </w:rPr>
              <w:t xml:space="preserve">Simon's 20-year prediction</w:t>
            </w:r>
          </w:p>
        </w:tc>
        <w:tc>
          <w:tcPr>
            <w:tcW w:type="dxa" w:w="7560"/>
            <w:tcMar>
              <w:top w:type="dxa" w:w="100"/>
              <w:left w:type="dxa" w:w="100"/>
              <w:bottom w:type="dxa" w:w="100"/>
              <w:right w:type="dxa" w:w="100"/>
            </w:tcMar>
            <w:vAlign w:val="top"/>
          </w:tcPr>
          <w:p>
            <w:pPr>
              <w:spacing w:after="30" w:before="30" w:line="240"/>
              <w:jc w:val="left"/>
            </w:pPr>
            <w:r>
              <w:rPr>
                <w:rFonts w:ascii="Georgia" w:cs="Georgia" w:eastAsia="Georgia" w:hAnsi="Georgia"/>
                <w:b w:val="false"/>
                <w:bCs w:val="false"/>
                <w:i w:val="false"/>
                <w:iCs w:val="false"/>
                <w:color w:val="141414"/>
                <w:sz w:val="17"/>
                <w:szCs w:val="17"/>
              </w:rPr>
              <w:t xml:space="preserve">Herbert Simon famously predicts: "Machines will be capable, within twenty years, of doing any work a man can do." The defining moment of AI overpromise — the prediction expires in 1985 with no breakthrough, contributing to the second AI winter narrative.</w:t>
            </w:r>
          </w:p>
        </w:tc>
      </w:tr>
      <w:tr>
        <w:tc>
          <w:tcPr>
            <w:tcW w:type="dxa" w:w="720"/>
            <w:shd w:fill="FBEBE7" w:val="clear"/>
            <w:tcMar>
              <w:top w:type="dxa" w:w="100"/>
              <w:left w:type="dxa" w:w="100"/>
              <w:bottom w:type="dxa" w:w="100"/>
              <w:right w:type="dxa" w:w="100"/>
            </w:tcMar>
            <w:vAlign w:val="top"/>
          </w:tcPr>
          <w:p>
            <w:pPr>
              <w:spacing w:after="30" w:before="30" w:line="240"/>
              <w:jc w:val="left"/>
            </w:pPr>
            <w:r>
              <w:rPr>
                <w:rFonts w:ascii="Consolas" w:cs="Consolas" w:eastAsia="Consolas" w:hAnsi="Consolas"/>
                <w:b/>
                <w:bCs/>
                <w:i w:val="false"/>
                <w:iCs w:val="false"/>
                <w:color w:val="B8341A"/>
                <w:sz w:val="16"/>
                <w:szCs w:val="16"/>
              </w:rPr>
              <w:t xml:space="preserve">AI</w:t>
            </w:r>
          </w:p>
        </w:tc>
        <w:tc>
          <w:tcPr>
            <w:tcW w:type="dxa" w:w="1440"/>
            <w:tcMar>
              <w:top w:type="dxa" w:w="100"/>
              <w:left w:type="dxa" w:w="100"/>
              <w:bottom w:type="dxa" w:w="100"/>
              <w:right w:type="dxa" w:w="100"/>
            </w:tcMar>
            <w:vAlign w:val="top"/>
          </w:tcPr>
          <w:p>
            <w:pPr>
              <w:spacing w:after="30" w:before="30" w:line="240"/>
              <w:jc w:val="left"/>
            </w:pPr>
            <w:r>
              <w:rPr>
                <w:rFonts w:ascii="Consolas" w:cs="Consolas" w:eastAsia="Consolas" w:hAnsi="Consolas"/>
                <w:b w:val="false"/>
                <w:bCs w:val="false"/>
                <w:i w:val="false"/>
                <w:iCs w:val="false"/>
                <w:color w:val="141414"/>
                <w:sz w:val="17"/>
                <w:szCs w:val="17"/>
              </w:rPr>
              <w:t xml:space="preserve">1966</w:t>
            </w:r>
          </w:p>
        </w:tc>
        <w:tc>
          <w:tcPr>
            <w:tcW w:type="dxa" w:w="3240"/>
            <w:tcMar>
              <w:top w:type="dxa" w:w="100"/>
              <w:left w:type="dxa" w:w="100"/>
              <w:bottom w:type="dxa" w:w="100"/>
              <w:right w:type="dxa" w:w="100"/>
            </w:tcMar>
            <w:vAlign w:val="top"/>
          </w:tcPr>
          <w:p>
            <w:pPr>
              <w:spacing w:after="30" w:before="30" w:line="240"/>
              <w:jc w:val="left"/>
            </w:pPr>
            <w:r>
              <w:rPr>
                <w:rFonts w:ascii="Georgia" w:cs="Georgia" w:eastAsia="Georgia" w:hAnsi="Georgia"/>
                <w:b/>
                <w:bCs/>
                <w:i w:val="false"/>
                <w:iCs w:val="false"/>
                <w:color w:val="141414"/>
                <w:sz w:val="18"/>
                <w:szCs w:val="18"/>
              </w:rPr>
              <w:t xml:space="preserve">Weizenbaum — ELIZA</w:t>
            </w:r>
          </w:p>
        </w:tc>
        <w:tc>
          <w:tcPr>
            <w:tcW w:type="dxa" w:w="7560"/>
            <w:tcMar>
              <w:top w:type="dxa" w:w="100"/>
              <w:left w:type="dxa" w:w="100"/>
              <w:bottom w:type="dxa" w:w="100"/>
              <w:right w:type="dxa" w:w="100"/>
            </w:tcMar>
            <w:vAlign w:val="top"/>
          </w:tcPr>
          <w:p>
            <w:pPr>
              <w:spacing w:after="30" w:before="30" w:line="240"/>
              <w:jc w:val="left"/>
            </w:pPr>
            <w:r>
              <w:rPr>
                <w:rFonts w:ascii="Georgia" w:cs="Georgia" w:eastAsia="Georgia" w:hAnsi="Georgia"/>
                <w:b w:val="false"/>
                <w:bCs w:val="false"/>
                <w:i w:val="false"/>
                <w:iCs w:val="false"/>
                <w:color w:val="141414"/>
                <w:sz w:val="17"/>
                <w:szCs w:val="17"/>
              </w:rPr>
              <w:t xml:space="preserve">Joseph Weizenbaum's chatbot. Pattern-matched scripts simulating a Rogerian psychotherapist. Many users believed it was sentient — Weizenbaum himself was alarmed by this and later wrote critical books about the field.</w:t>
            </w:r>
          </w:p>
        </w:tc>
      </w:tr>
      <w:tr>
        <w:tc>
          <w:tcPr>
            <w:tcW w:type="dxa" w:w="720"/>
            <w:shd w:fill="FBEBE7" w:val="clear"/>
            <w:tcMar>
              <w:top w:type="dxa" w:w="100"/>
              <w:left w:type="dxa" w:w="100"/>
              <w:bottom w:type="dxa" w:w="100"/>
              <w:right w:type="dxa" w:w="100"/>
            </w:tcMar>
            <w:vAlign w:val="top"/>
          </w:tcPr>
          <w:p>
            <w:pPr>
              <w:spacing w:after="30" w:before="30" w:line="240"/>
              <w:jc w:val="left"/>
            </w:pPr>
            <w:r>
              <w:rPr>
                <w:rFonts w:ascii="Consolas" w:cs="Consolas" w:eastAsia="Consolas" w:hAnsi="Consolas"/>
                <w:b/>
                <w:bCs/>
                <w:i w:val="false"/>
                <w:iCs w:val="false"/>
                <w:color w:val="B8341A"/>
                <w:sz w:val="16"/>
                <w:szCs w:val="16"/>
              </w:rPr>
              <w:t xml:space="preserve">AI</w:t>
            </w:r>
          </w:p>
        </w:tc>
        <w:tc>
          <w:tcPr>
            <w:tcW w:type="dxa" w:w="1440"/>
            <w:tcMar>
              <w:top w:type="dxa" w:w="100"/>
              <w:left w:type="dxa" w:w="100"/>
              <w:bottom w:type="dxa" w:w="100"/>
              <w:right w:type="dxa" w:w="100"/>
            </w:tcMar>
            <w:vAlign w:val="top"/>
          </w:tcPr>
          <w:p>
            <w:pPr>
              <w:spacing w:after="30" w:before="30" w:line="240"/>
              <w:jc w:val="left"/>
            </w:pPr>
            <w:r>
              <w:rPr>
                <w:rFonts w:ascii="Consolas" w:cs="Consolas" w:eastAsia="Consolas" w:hAnsi="Consolas"/>
                <w:b w:val="false"/>
                <w:bCs w:val="false"/>
                <w:i w:val="false"/>
                <w:iCs w:val="false"/>
                <w:color w:val="141414"/>
                <w:sz w:val="17"/>
                <w:szCs w:val="17"/>
              </w:rPr>
              <w:t xml:space="preserve">1969</w:t>
            </w:r>
          </w:p>
        </w:tc>
        <w:tc>
          <w:tcPr>
            <w:tcW w:type="dxa" w:w="3240"/>
            <w:tcMar>
              <w:top w:type="dxa" w:w="100"/>
              <w:left w:type="dxa" w:w="100"/>
              <w:bottom w:type="dxa" w:w="100"/>
              <w:right w:type="dxa" w:w="100"/>
            </w:tcMar>
            <w:vAlign w:val="top"/>
          </w:tcPr>
          <w:p>
            <w:pPr>
              <w:spacing w:after="30" w:before="30" w:line="240"/>
              <w:jc w:val="left"/>
            </w:pPr>
            <w:r>
              <w:rPr>
                <w:rFonts w:ascii="Georgia" w:cs="Georgia" w:eastAsia="Georgia" w:hAnsi="Georgia"/>
                <w:b/>
                <w:bCs/>
                <w:i w:val="false"/>
                <w:iCs w:val="false"/>
                <w:color w:val="141414"/>
                <w:sz w:val="18"/>
                <w:szCs w:val="18"/>
              </w:rPr>
              <w:t xml:space="preserve">Minsky &amp; Papert — Perceptrons</w:t>
            </w:r>
          </w:p>
        </w:tc>
        <w:tc>
          <w:tcPr>
            <w:tcW w:type="dxa" w:w="7560"/>
            <w:tcMar>
              <w:top w:type="dxa" w:w="100"/>
              <w:left w:type="dxa" w:w="100"/>
              <w:bottom w:type="dxa" w:w="100"/>
              <w:right w:type="dxa" w:w="100"/>
            </w:tcMar>
            <w:vAlign w:val="top"/>
          </w:tcPr>
          <w:p>
            <w:pPr>
              <w:spacing w:after="30" w:before="30" w:line="240"/>
              <w:jc w:val="left"/>
            </w:pPr>
            <w:r>
              <w:rPr>
                <w:rFonts w:ascii="Georgia" w:cs="Georgia" w:eastAsia="Georgia" w:hAnsi="Georgia"/>
                <w:b w:val="false"/>
                <w:bCs w:val="false"/>
                <w:i w:val="false"/>
                <w:iCs w:val="false"/>
                <w:color w:val="141414"/>
                <w:sz w:val="17"/>
                <w:szCs w:val="17"/>
              </w:rPr>
              <w:t xml:space="preserve">Book proves that single-layer perceptrons cannot learn the XOR function. Widely (and unfairly) interpreted as proving neural networks have fundamental limits. Effectively kills mainstream neural network research for ~17 years until backpropagation.</w:t>
            </w:r>
          </w:p>
        </w:tc>
      </w:tr>
      <w:tr>
        <w:tc>
          <w:tcPr>
            <w:tcW w:type="dxa" w:w="720"/>
            <w:shd w:fill="FBEBE7" w:val="clear"/>
            <w:tcMar>
              <w:top w:type="dxa" w:w="100"/>
              <w:left w:type="dxa" w:w="100"/>
              <w:bottom w:type="dxa" w:w="100"/>
              <w:right w:type="dxa" w:w="100"/>
            </w:tcMar>
            <w:vAlign w:val="top"/>
          </w:tcPr>
          <w:p>
            <w:pPr>
              <w:spacing w:after="30" w:before="30" w:line="240"/>
              <w:jc w:val="left"/>
            </w:pPr>
            <w:r>
              <w:rPr>
                <w:rFonts w:ascii="Consolas" w:cs="Consolas" w:eastAsia="Consolas" w:hAnsi="Consolas"/>
                <w:b/>
                <w:bCs/>
                <w:i w:val="false"/>
                <w:iCs w:val="false"/>
                <w:color w:val="B8341A"/>
                <w:sz w:val="16"/>
                <w:szCs w:val="16"/>
              </w:rPr>
              <w:t xml:space="preserve">AI</w:t>
            </w:r>
          </w:p>
        </w:tc>
        <w:tc>
          <w:tcPr>
            <w:tcW w:type="dxa" w:w="1440"/>
            <w:tcMar>
              <w:top w:type="dxa" w:w="100"/>
              <w:left w:type="dxa" w:w="100"/>
              <w:bottom w:type="dxa" w:w="100"/>
              <w:right w:type="dxa" w:w="100"/>
            </w:tcMar>
            <w:vAlign w:val="top"/>
          </w:tcPr>
          <w:p>
            <w:pPr>
              <w:spacing w:after="30" w:before="30" w:line="240"/>
              <w:jc w:val="left"/>
            </w:pPr>
            <w:r>
              <w:rPr>
                <w:rFonts w:ascii="Consolas" w:cs="Consolas" w:eastAsia="Consolas" w:hAnsi="Consolas"/>
                <w:b w:val="false"/>
                <w:bCs w:val="false"/>
                <w:i w:val="false"/>
                <w:iCs w:val="false"/>
                <w:color w:val="141414"/>
                <w:sz w:val="17"/>
                <w:szCs w:val="17"/>
              </w:rPr>
              <w:t xml:space="preserve">1973</w:t>
            </w:r>
          </w:p>
        </w:tc>
        <w:tc>
          <w:tcPr>
            <w:tcW w:type="dxa" w:w="3240"/>
            <w:tcMar>
              <w:top w:type="dxa" w:w="100"/>
              <w:left w:type="dxa" w:w="100"/>
              <w:bottom w:type="dxa" w:w="100"/>
              <w:right w:type="dxa" w:w="100"/>
            </w:tcMar>
            <w:vAlign w:val="top"/>
          </w:tcPr>
          <w:p>
            <w:pPr>
              <w:spacing w:after="30" w:before="30" w:line="240"/>
              <w:jc w:val="left"/>
            </w:pPr>
            <w:r>
              <w:rPr>
                <w:rFonts w:ascii="Georgia" w:cs="Georgia" w:eastAsia="Georgia" w:hAnsi="Georgia"/>
                <w:b/>
                <w:bCs/>
                <w:i w:val="false"/>
                <w:iCs w:val="false"/>
                <w:color w:val="141414"/>
                <w:sz w:val="18"/>
                <w:szCs w:val="18"/>
              </w:rPr>
              <w:t xml:space="preserve">Lighthill Report</w:t>
            </w:r>
          </w:p>
        </w:tc>
        <w:tc>
          <w:tcPr>
            <w:tcW w:type="dxa" w:w="7560"/>
            <w:tcMar>
              <w:top w:type="dxa" w:w="100"/>
              <w:left w:type="dxa" w:w="100"/>
              <w:bottom w:type="dxa" w:w="100"/>
              <w:right w:type="dxa" w:w="100"/>
            </w:tcMar>
            <w:vAlign w:val="top"/>
          </w:tcPr>
          <w:p>
            <w:pPr>
              <w:spacing w:after="30" w:before="30" w:line="240"/>
              <w:jc w:val="left"/>
            </w:pPr>
            <w:r>
              <w:rPr>
                <w:rFonts w:ascii="Georgia" w:cs="Georgia" w:eastAsia="Georgia" w:hAnsi="Georgia"/>
                <w:b w:val="false"/>
                <w:bCs w:val="false"/>
                <w:i w:val="false"/>
                <w:iCs w:val="false"/>
                <w:color w:val="141414"/>
                <w:sz w:val="17"/>
                <w:szCs w:val="17"/>
              </w:rPr>
              <w:t xml:space="preserve">James Lighthill's report to the UK Science Research Council concludes AI has failed to deliver on its promises. UK government largely withdraws funding from AI research. The first national-scale loss of confidence.</w:t>
            </w:r>
          </w:p>
        </w:tc>
      </w:tr>
      <w:tr>
        <w:tc>
          <w:tcPr>
            <w:tcW w:type="dxa" w:w="720"/>
            <w:shd w:fill="FBEBE7" w:val="clear"/>
            <w:tcMar>
              <w:top w:type="dxa" w:w="100"/>
              <w:left w:type="dxa" w:w="100"/>
              <w:bottom w:type="dxa" w:w="100"/>
              <w:right w:type="dxa" w:w="100"/>
            </w:tcMar>
            <w:vAlign w:val="top"/>
          </w:tcPr>
          <w:p>
            <w:pPr>
              <w:spacing w:after="30" w:before="30" w:line="240"/>
              <w:jc w:val="left"/>
            </w:pPr>
            <w:r>
              <w:rPr>
                <w:rFonts w:ascii="Consolas" w:cs="Consolas" w:eastAsia="Consolas" w:hAnsi="Consolas"/>
                <w:b/>
                <w:bCs/>
                <w:i w:val="false"/>
                <w:iCs w:val="false"/>
                <w:color w:val="B8341A"/>
                <w:sz w:val="16"/>
                <w:szCs w:val="16"/>
              </w:rPr>
              <w:t xml:space="preserve">AI</w:t>
            </w:r>
          </w:p>
        </w:tc>
        <w:tc>
          <w:tcPr>
            <w:tcW w:type="dxa" w:w="1440"/>
            <w:tcMar>
              <w:top w:type="dxa" w:w="100"/>
              <w:left w:type="dxa" w:w="100"/>
              <w:bottom w:type="dxa" w:w="100"/>
              <w:right w:type="dxa" w:w="100"/>
            </w:tcMar>
            <w:vAlign w:val="top"/>
          </w:tcPr>
          <w:p>
            <w:pPr>
              <w:spacing w:after="30" w:before="30" w:line="240"/>
              <w:jc w:val="left"/>
            </w:pPr>
            <w:r>
              <w:rPr>
                <w:rFonts w:ascii="Consolas" w:cs="Consolas" w:eastAsia="Consolas" w:hAnsi="Consolas"/>
                <w:b w:val="false"/>
                <w:bCs w:val="false"/>
                <w:i w:val="false"/>
                <w:iCs w:val="false"/>
                <w:color w:val="141414"/>
                <w:sz w:val="17"/>
                <w:szCs w:val="17"/>
              </w:rPr>
              <w:t xml:space="preserve">1974</w:t>
            </w:r>
          </w:p>
        </w:tc>
        <w:tc>
          <w:tcPr>
            <w:tcW w:type="dxa" w:w="3240"/>
            <w:tcMar>
              <w:top w:type="dxa" w:w="100"/>
              <w:left w:type="dxa" w:w="100"/>
              <w:bottom w:type="dxa" w:w="100"/>
              <w:right w:type="dxa" w:w="100"/>
            </w:tcMar>
            <w:vAlign w:val="top"/>
          </w:tcPr>
          <w:p>
            <w:pPr>
              <w:spacing w:after="30" w:before="30" w:line="240"/>
              <w:jc w:val="left"/>
            </w:pPr>
            <w:r>
              <w:rPr>
                <w:rFonts w:ascii="Georgia" w:cs="Georgia" w:eastAsia="Georgia" w:hAnsi="Georgia"/>
                <w:b/>
                <w:bCs/>
                <w:i w:val="false"/>
                <w:iCs w:val="false"/>
                <w:color w:val="141414"/>
                <w:sz w:val="18"/>
                <w:szCs w:val="18"/>
              </w:rPr>
              <w:t xml:space="preserve">DARPA Speech Understanding cancelled</w:t>
            </w:r>
          </w:p>
        </w:tc>
        <w:tc>
          <w:tcPr>
            <w:tcW w:type="dxa" w:w="7560"/>
            <w:tcMar>
              <w:top w:type="dxa" w:w="100"/>
              <w:left w:type="dxa" w:w="100"/>
              <w:bottom w:type="dxa" w:w="100"/>
              <w:right w:type="dxa" w:w="100"/>
            </w:tcMar>
            <w:vAlign w:val="top"/>
          </w:tcPr>
          <w:p>
            <w:pPr>
              <w:spacing w:after="30" w:before="30" w:line="240"/>
              <w:jc w:val="left"/>
            </w:pPr>
            <w:r>
              <w:rPr>
                <w:rFonts w:ascii="Georgia" w:cs="Georgia" w:eastAsia="Georgia" w:hAnsi="Georgia"/>
                <w:b w:val="false"/>
                <w:bCs w:val="false"/>
                <w:i w:val="false"/>
                <w:iCs w:val="false"/>
                <w:color w:val="141414"/>
                <w:sz w:val="17"/>
                <w:szCs w:val="17"/>
              </w:rPr>
              <w:t xml:space="preserve">DARPA terminates the Speech Understanding Research program after disappointing results from CMU and SRI. Marks the end of the post-Sputnik decade of generous US AI funding.</w:t>
            </w:r>
          </w:p>
        </w:tc>
      </w:tr>
      <w:tr>
        <w:tc>
          <w:tcPr>
            <w:tcW w:type="dxa" w:w="720"/>
            <w:shd w:fill="FBEBE7" w:val="clear"/>
            <w:tcMar>
              <w:top w:type="dxa" w:w="100"/>
              <w:left w:type="dxa" w:w="100"/>
              <w:bottom w:type="dxa" w:w="100"/>
              <w:right w:type="dxa" w:w="100"/>
            </w:tcMar>
            <w:vAlign w:val="top"/>
          </w:tcPr>
          <w:p>
            <w:pPr>
              <w:spacing w:after="30" w:before="30" w:line="240"/>
              <w:jc w:val="left"/>
            </w:pPr>
            <w:r>
              <w:rPr>
                <w:rFonts w:ascii="Consolas" w:cs="Consolas" w:eastAsia="Consolas" w:hAnsi="Consolas"/>
                <w:b/>
                <w:bCs/>
                <w:i w:val="false"/>
                <w:iCs w:val="false"/>
                <w:color w:val="B8341A"/>
                <w:sz w:val="16"/>
                <w:szCs w:val="16"/>
              </w:rPr>
              <w:t xml:space="preserve">AI</w:t>
            </w:r>
          </w:p>
        </w:tc>
        <w:tc>
          <w:tcPr>
            <w:tcW w:type="dxa" w:w="1440"/>
            <w:tcMar>
              <w:top w:type="dxa" w:w="100"/>
              <w:left w:type="dxa" w:w="100"/>
              <w:bottom w:type="dxa" w:w="100"/>
              <w:right w:type="dxa" w:w="100"/>
            </w:tcMar>
            <w:vAlign w:val="top"/>
          </w:tcPr>
          <w:p>
            <w:pPr>
              <w:spacing w:after="30" w:before="30" w:line="240"/>
              <w:jc w:val="left"/>
            </w:pPr>
            <w:r>
              <w:rPr>
                <w:rFonts w:ascii="Consolas" w:cs="Consolas" w:eastAsia="Consolas" w:hAnsi="Consolas"/>
                <w:b w:val="false"/>
                <w:bCs w:val="false"/>
                <w:i w:val="false"/>
                <w:iCs w:val="false"/>
                <w:color w:val="141414"/>
                <w:sz w:val="17"/>
                <w:szCs w:val="17"/>
              </w:rPr>
              <w:t xml:space="preserve">1980</w:t>
            </w:r>
          </w:p>
        </w:tc>
        <w:tc>
          <w:tcPr>
            <w:tcW w:type="dxa" w:w="3240"/>
            <w:tcMar>
              <w:top w:type="dxa" w:w="100"/>
              <w:left w:type="dxa" w:w="100"/>
              <w:bottom w:type="dxa" w:w="100"/>
              <w:right w:type="dxa" w:w="100"/>
            </w:tcMar>
            <w:vAlign w:val="top"/>
          </w:tcPr>
          <w:p>
            <w:pPr>
              <w:spacing w:after="30" w:before="30" w:line="240"/>
              <w:jc w:val="left"/>
            </w:pPr>
            <w:r>
              <w:rPr>
                <w:rFonts w:ascii="Georgia" w:cs="Georgia" w:eastAsia="Georgia" w:hAnsi="Georgia"/>
                <w:b/>
                <w:bCs/>
                <w:i w:val="false"/>
                <w:iCs w:val="false"/>
                <w:color w:val="141414"/>
                <w:sz w:val="18"/>
                <w:szCs w:val="18"/>
              </w:rPr>
              <w:t xml:space="preserve">DEC's XCON expert system</w:t>
            </w:r>
          </w:p>
        </w:tc>
        <w:tc>
          <w:tcPr>
            <w:tcW w:type="dxa" w:w="7560"/>
            <w:tcMar>
              <w:top w:type="dxa" w:w="100"/>
              <w:left w:type="dxa" w:w="100"/>
              <w:bottom w:type="dxa" w:w="100"/>
              <w:right w:type="dxa" w:w="100"/>
            </w:tcMar>
            <w:vAlign w:val="top"/>
          </w:tcPr>
          <w:p>
            <w:pPr>
              <w:spacing w:after="30" w:before="30" w:line="240"/>
              <w:jc w:val="left"/>
            </w:pPr>
            <w:r>
              <w:rPr>
                <w:rFonts w:ascii="Georgia" w:cs="Georgia" w:eastAsia="Georgia" w:hAnsi="Georgia"/>
                <w:b w:val="false"/>
                <w:bCs w:val="false"/>
                <w:i w:val="false"/>
                <w:iCs w:val="false"/>
                <w:color w:val="141414"/>
                <w:sz w:val="17"/>
                <w:szCs w:val="17"/>
              </w:rPr>
              <w:t xml:space="preserve">Digital Equipment Corporation's expert system for configuring VAX computers. Estimated to save DEC ~$40M per year by 1986. First convincing proof that expert systems can pay for themselves — triggers the second AI summer and a wave of expert-system startups.</w:t>
            </w:r>
          </w:p>
        </w:tc>
      </w:tr>
      <w:tr>
        <w:tc>
          <w:tcPr>
            <w:tcW w:type="dxa" w:w="720"/>
            <w:shd w:fill="FBEBE7" w:val="clear"/>
            <w:tcMar>
              <w:top w:type="dxa" w:w="100"/>
              <w:left w:type="dxa" w:w="100"/>
              <w:bottom w:type="dxa" w:w="100"/>
              <w:right w:type="dxa" w:w="100"/>
            </w:tcMar>
            <w:vAlign w:val="top"/>
          </w:tcPr>
          <w:p>
            <w:pPr>
              <w:spacing w:after="30" w:before="30" w:line="240"/>
              <w:jc w:val="left"/>
            </w:pPr>
            <w:r>
              <w:rPr>
                <w:rFonts w:ascii="Consolas" w:cs="Consolas" w:eastAsia="Consolas" w:hAnsi="Consolas"/>
                <w:b/>
                <w:bCs/>
                <w:i w:val="false"/>
                <w:iCs w:val="false"/>
                <w:color w:val="B8341A"/>
                <w:sz w:val="16"/>
                <w:szCs w:val="16"/>
              </w:rPr>
              <w:t xml:space="preserve">AI</w:t>
            </w:r>
          </w:p>
        </w:tc>
        <w:tc>
          <w:tcPr>
            <w:tcW w:type="dxa" w:w="1440"/>
            <w:tcMar>
              <w:top w:type="dxa" w:w="100"/>
              <w:left w:type="dxa" w:w="100"/>
              <w:bottom w:type="dxa" w:w="100"/>
              <w:right w:type="dxa" w:w="100"/>
            </w:tcMar>
            <w:vAlign w:val="top"/>
          </w:tcPr>
          <w:p>
            <w:pPr>
              <w:spacing w:after="30" w:before="30" w:line="240"/>
              <w:jc w:val="left"/>
            </w:pPr>
            <w:r>
              <w:rPr>
                <w:rFonts w:ascii="Consolas" w:cs="Consolas" w:eastAsia="Consolas" w:hAnsi="Consolas"/>
                <w:b w:val="false"/>
                <w:bCs w:val="false"/>
                <w:i w:val="false"/>
                <w:iCs w:val="false"/>
                <w:color w:val="141414"/>
                <w:sz w:val="17"/>
                <w:szCs w:val="17"/>
              </w:rPr>
              <w:t xml:space="preserve">1986</w:t>
            </w:r>
          </w:p>
        </w:tc>
        <w:tc>
          <w:tcPr>
            <w:tcW w:type="dxa" w:w="3240"/>
            <w:tcMar>
              <w:top w:type="dxa" w:w="100"/>
              <w:left w:type="dxa" w:w="100"/>
              <w:bottom w:type="dxa" w:w="100"/>
              <w:right w:type="dxa" w:w="100"/>
            </w:tcMar>
            <w:vAlign w:val="top"/>
          </w:tcPr>
          <w:p>
            <w:pPr>
              <w:spacing w:after="30" w:before="30" w:line="240"/>
              <w:jc w:val="left"/>
            </w:pPr>
            <w:r>
              <w:rPr>
                <w:rFonts w:ascii="Georgia" w:cs="Georgia" w:eastAsia="Georgia" w:hAnsi="Georgia"/>
                <w:b/>
                <w:bCs/>
                <w:i w:val="false"/>
                <w:iCs w:val="false"/>
                <w:color w:val="141414"/>
                <w:sz w:val="18"/>
                <w:szCs w:val="18"/>
              </w:rPr>
              <w:t xml:space="preserve">Backpropagation popularised</w:t>
            </w:r>
          </w:p>
        </w:tc>
        <w:tc>
          <w:tcPr>
            <w:tcW w:type="dxa" w:w="7560"/>
            <w:tcMar>
              <w:top w:type="dxa" w:w="100"/>
              <w:left w:type="dxa" w:w="100"/>
              <w:bottom w:type="dxa" w:w="100"/>
              <w:right w:type="dxa" w:w="100"/>
            </w:tcMar>
            <w:vAlign w:val="top"/>
          </w:tcPr>
          <w:p>
            <w:pPr>
              <w:spacing w:after="30" w:before="30" w:line="240"/>
              <w:jc w:val="left"/>
            </w:pPr>
            <w:r>
              <w:rPr>
                <w:rFonts w:ascii="Georgia" w:cs="Georgia" w:eastAsia="Georgia" w:hAnsi="Georgia"/>
                <w:b w:val="false"/>
                <w:bCs w:val="false"/>
                <w:i w:val="false"/>
                <w:iCs w:val="false"/>
                <w:color w:val="141414"/>
                <w:sz w:val="17"/>
                <w:szCs w:val="17"/>
              </w:rPr>
              <w:t xml:space="preserve">Rumelhart, Hinton &amp; Williams publish their Nature paper on backpropagation for training multi-layer networks. The algorithm itself was older (Werbos 1974), but this paper makes it usable. Solves the XOR problem and quietly reignites neural network research.</w:t>
            </w:r>
          </w:p>
        </w:tc>
      </w:tr>
      <w:tr>
        <w:tc>
          <w:tcPr>
            <w:tcW w:type="dxa" w:w="720"/>
            <w:shd w:fill="FBEBE7" w:val="clear"/>
            <w:tcMar>
              <w:top w:type="dxa" w:w="100"/>
              <w:left w:type="dxa" w:w="100"/>
              <w:bottom w:type="dxa" w:w="100"/>
              <w:right w:type="dxa" w:w="100"/>
            </w:tcMar>
            <w:vAlign w:val="top"/>
          </w:tcPr>
          <w:p>
            <w:pPr>
              <w:spacing w:after="30" w:before="30" w:line="240"/>
              <w:jc w:val="left"/>
            </w:pPr>
            <w:r>
              <w:rPr>
                <w:rFonts w:ascii="Consolas" w:cs="Consolas" w:eastAsia="Consolas" w:hAnsi="Consolas"/>
                <w:b/>
                <w:bCs/>
                <w:i w:val="false"/>
                <w:iCs w:val="false"/>
                <w:color w:val="B8341A"/>
                <w:sz w:val="16"/>
                <w:szCs w:val="16"/>
              </w:rPr>
              <w:t xml:space="preserve">AI</w:t>
            </w:r>
          </w:p>
        </w:tc>
        <w:tc>
          <w:tcPr>
            <w:tcW w:type="dxa" w:w="1440"/>
            <w:tcMar>
              <w:top w:type="dxa" w:w="100"/>
              <w:left w:type="dxa" w:w="100"/>
              <w:bottom w:type="dxa" w:w="100"/>
              <w:right w:type="dxa" w:w="100"/>
            </w:tcMar>
            <w:vAlign w:val="top"/>
          </w:tcPr>
          <w:p>
            <w:pPr>
              <w:spacing w:after="30" w:before="30" w:line="240"/>
              <w:jc w:val="left"/>
            </w:pPr>
            <w:r>
              <w:rPr>
                <w:rFonts w:ascii="Consolas" w:cs="Consolas" w:eastAsia="Consolas" w:hAnsi="Consolas"/>
                <w:b w:val="false"/>
                <w:bCs w:val="false"/>
                <w:i w:val="false"/>
                <w:iCs w:val="false"/>
                <w:color w:val="141414"/>
                <w:sz w:val="17"/>
                <w:szCs w:val="17"/>
              </w:rPr>
              <w:t xml:space="preserve">1987</w:t>
            </w:r>
          </w:p>
        </w:tc>
        <w:tc>
          <w:tcPr>
            <w:tcW w:type="dxa" w:w="3240"/>
            <w:tcMar>
              <w:top w:type="dxa" w:w="100"/>
              <w:left w:type="dxa" w:w="100"/>
              <w:bottom w:type="dxa" w:w="100"/>
              <w:right w:type="dxa" w:w="100"/>
            </w:tcMar>
            <w:vAlign w:val="top"/>
          </w:tcPr>
          <w:p>
            <w:pPr>
              <w:spacing w:after="30" w:before="30" w:line="240"/>
              <w:jc w:val="left"/>
            </w:pPr>
            <w:r>
              <w:rPr>
                <w:rFonts w:ascii="Georgia" w:cs="Georgia" w:eastAsia="Georgia" w:hAnsi="Georgia"/>
                <w:b/>
                <w:bCs/>
                <w:i w:val="false"/>
                <w:iCs w:val="false"/>
                <w:color w:val="141414"/>
                <w:sz w:val="18"/>
                <w:szCs w:val="18"/>
              </w:rPr>
              <w:t xml:space="preserve">LISP machine market collapse</w:t>
            </w:r>
          </w:p>
        </w:tc>
        <w:tc>
          <w:tcPr>
            <w:tcW w:type="dxa" w:w="7560"/>
            <w:tcMar>
              <w:top w:type="dxa" w:w="100"/>
              <w:left w:type="dxa" w:w="100"/>
              <w:bottom w:type="dxa" w:w="100"/>
              <w:right w:type="dxa" w:w="100"/>
            </w:tcMar>
            <w:vAlign w:val="top"/>
          </w:tcPr>
          <w:p>
            <w:pPr>
              <w:spacing w:after="30" w:before="30" w:line="240"/>
              <w:jc w:val="left"/>
            </w:pPr>
            <w:r>
              <w:rPr>
                <w:rFonts w:ascii="Georgia" w:cs="Georgia" w:eastAsia="Georgia" w:hAnsi="Georgia"/>
                <w:b w:val="false"/>
                <w:bCs w:val="false"/>
                <w:i w:val="false"/>
                <w:iCs w:val="false"/>
                <w:color w:val="141414"/>
                <w:sz w:val="17"/>
                <w:szCs w:val="17"/>
              </w:rPr>
              <w:t xml:space="preserve">Specialized LISP machine vendors — Symbolics, LMI, TI Explorer — collapse as Sun and Macintosh workstations match their performance at a fraction of the price. The trigger event of the second AI winter.</w:t>
            </w:r>
          </w:p>
        </w:tc>
      </w:tr>
      <w:tr>
        <w:tc>
          <w:tcPr>
            <w:tcW w:type="dxa" w:w="720"/>
            <w:shd w:fill="FBEBE7" w:val="clear"/>
            <w:tcMar>
              <w:top w:type="dxa" w:w="100"/>
              <w:left w:type="dxa" w:w="100"/>
              <w:bottom w:type="dxa" w:w="100"/>
              <w:right w:type="dxa" w:w="100"/>
            </w:tcMar>
            <w:vAlign w:val="top"/>
          </w:tcPr>
          <w:p>
            <w:pPr>
              <w:spacing w:after="30" w:before="30" w:line="240"/>
              <w:jc w:val="left"/>
            </w:pPr>
            <w:r>
              <w:rPr>
                <w:rFonts w:ascii="Consolas" w:cs="Consolas" w:eastAsia="Consolas" w:hAnsi="Consolas"/>
                <w:b/>
                <w:bCs/>
                <w:i w:val="false"/>
                <w:iCs w:val="false"/>
                <w:color w:val="B8341A"/>
                <w:sz w:val="16"/>
                <w:szCs w:val="16"/>
              </w:rPr>
              <w:t xml:space="preserve">AI</w:t>
            </w:r>
          </w:p>
        </w:tc>
        <w:tc>
          <w:tcPr>
            <w:tcW w:type="dxa" w:w="1440"/>
            <w:tcMar>
              <w:top w:type="dxa" w:w="100"/>
              <w:left w:type="dxa" w:w="100"/>
              <w:bottom w:type="dxa" w:w="100"/>
              <w:right w:type="dxa" w:w="100"/>
            </w:tcMar>
            <w:vAlign w:val="top"/>
          </w:tcPr>
          <w:p>
            <w:pPr>
              <w:spacing w:after="30" w:before="30" w:line="240"/>
              <w:jc w:val="left"/>
            </w:pPr>
            <w:r>
              <w:rPr>
                <w:rFonts w:ascii="Consolas" w:cs="Consolas" w:eastAsia="Consolas" w:hAnsi="Consolas"/>
                <w:b w:val="false"/>
                <w:bCs w:val="false"/>
                <w:i w:val="false"/>
                <w:iCs w:val="false"/>
                <w:color w:val="141414"/>
                <w:sz w:val="17"/>
                <w:szCs w:val="17"/>
              </w:rPr>
              <w:t xml:space="preserve">1992</w:t>
            </w:r>
          </w:p>
        </w:tc>
        <w:tc>
          <w:tcPr>
            <w:tcW w:type="dxa" w:w="3240"/>
            <w:tcMar>
              <w:top w:type="dxa" w:w="100"/>
              <w:left w:type="dxa" w:w="100"/>
              <w:bottom w:type="dxa" w:w="100"/>
              <w:right w:type="dxa" w:w="100"/>
            </w:tcMar>
            <w:vAlign w:val="top"/>
          </w:tcPr>
          <w:p>
            <w:pPr>
              <w:spacing w:after="30" w:before="30" w:line="240"/>
              <w:jc w:val="left"/>
            </w:pPr>
            <w:r>
              <w:rPr>
                <w:rFonts w:ascii="Georgia" w:cs="Georgia" w:eastAsia="Georgia" w:hAnsi="Georgia"/>
                <w:b/>
                <w:bCs/>
                <w:i w:val="false"/>
                <w:iCs w:val="false"/>
                <w:color w:val="141414"/>
                <w:sz w:val="18"/>
                <w:szCs w:val="18"/>
              </w:rPr>
              <w:t xml:space="preserve">Japan's Fifth Generation project ends</w:t>
            </w:r>
          </w:p>
        </w:tc>
        <w:tc>
          <w:tcPr>
            <w:tcW w:type="dxa" w:w="7560"/>
            <w:tcMar>
              <w:top w:type="dxa" w:w="100"/>
              <w:left w:type="dxa" w:w="100"/>
              <w:bottom w:type="dxa" w:w="100"/>
              <w:right w:type="dxa" w:w="100"/>
            </w:tcMar>
            <w:vAlign w:val="top"/>
          </w:tcPr>
          <w:p>
            <w:pPr>
              <w:spacing w:after="30" w:before="30" w:line="240"/>
              <w:jc w:val="left"/>
            </w:pPr>
            <w:r>
              <w:rPr>
                <w:rFonts w:ascii="Georgia" w:cs="Georgia" w:eastAsia="Georgia" w:hAnsi="Georgia"/>
                <w:b w:val="false"/>
                <w:bCs w:val="false"/>
                <w:i w:val="false"/>
                <w:iCs w:val="false"/>
                <w:color w:val="141414"/>
                <w:sz w:val="17"/>
                <w:szCs w:val="17"/>
              </w:rPr>
              <w:t xml:space="preserve">Japan's $400M+ Fifth Generation Computer Systems project ends after 10 years with no commercial breakout product. Definitive end of the expert-systems era; the field disperses into machine learning, statistics, and other rebranded forms.</w:t>
            </w:r>
          </w:p>
        </w:tc>
      </w:tr>
      <w:tr>
        <w:tc>
          <w:tcPr>
            <w:tcW w:type="dxa" w:w="720"/>
            <w:shd w:fill="FBEBE7" w:val="clear"/>
            <w:tcMar>
              <w:top w:type="dxa" w:w="100"/>
              <w:left w:type="dxa" w:w="100"/>
              <w:bottom w:type="dxa" w:w="100"/>
              <w:right w:type="dxa" w:w="100"/>
            </w:tcMar>
            <w:vAlign w:val="top"/>
          </w:tcPr>
          <w:p>
            <w:pPr>
              <w:spacing w:after="30" w:before="30" w:line="240"/>
              <w:jc w:val="left"/>
            </w:pPr>
            <w:r>
              <w:rPr>
                <w:rFonts w:ascii="Consolas" w:cs="Consolas" w:eastAsia="Consolas" w:hAnsi="Consolas"/>
                <w:b/>
                <w:bCs/>
                <w:i w:val="false"/>
                <w:iCs w:val="false"/>
                <w:color w:val="B8341A"/>
                <w:sz w:val="16"/>
                <w:szCs w:val="16"/>
              </w:rPr>
              <w:t xml:space="preserve">AI</w:t>
            </w:r>
          </w:p>
        </w:tc>
        <w:tc>
          <w:tcPr>
            <w:tcW w:type="dxa" w:w="1440"/>
            <w:tcMar>
              <w:top w:type="dxa" w:w="100"/>
              <w:left w:type="dxa" w:w="100"/>
              <w:bottom w:type="dxa" w:w="100"/>
              <w:right w:type="dxa" w:w="100"/>
            </w:tcMar>
            <w:vAlign w:val="top"/>
          </w:tcPr>
          <w:p>
            <w:pPr>
              <w:spacing w:after="30" w:before="30" w:line="240"/>
              <w:jc w:val="left"/>
            </w:pPr>
            <w:r>
              <w:rPr>
                <w:rFonts w:ascii="Consolas" w:cs="Consolas" w:eastAsia="Consolas" w:hAnsi="Consolas"/>
                <w:b w:val="false"/>
                <w:bCs w:val="false"/>
                <w:i w:val="false"/>
                <w:iCs w:val="false"/>
                <w:color w:val="141414"/>
                <w:sz w:val="17"/>
                <w:szCs w:val="17"/>
              </w:rPr>
              <w:t xml:space="preserve">1997</w:t>
            </w:r>
          </w:p>
        </w:tc>
        <w:tc>
          <w:tcPr>
            <w:tcW w:type="dxa" w:w="3240"/>
            <w:tcMar>
              <w:top w:type="dxa" w:w="100"/>
              <w:left w:type="dxa" w:w="100"/>
              <w:bottom w:type="dxa" w:w="100"/>
              <w:right w:type="dxa" w:w="100"/>
            </w:tcMar>
            <w:vAlign w:val="top"/>
          </w:tcPr>
          <w:p>
            <w:pPr>
              <w:spacing w:after="30" w:before="30" w:line="240"/>
              <w:jc w:val="left"/>
            </w:pPr>
            <w:r>
              <w:rPr>
                <w:rFonts w:ascii="Georgia" w:cs="Georgia" w:eastAsia="Georgia" w:hAnsi="Georgia"/>
                <w:b/>
                <w:bCs/>
                <w:i w:val="false"/>
                <w:iCs w:val="false"/>
                <w:color w:val="141414"/>
                <w:sz w:val="18"/>
                <w:szCs w:val="18"/>
              </w:rPr>
              <w:t xml:space="preserve">Deep Blue beats Kasparov</w:t>
            </w:r>
          </w:p>
        </w:tc>
        <w:tc>
          <w:tcPr>
            <w:tcW w:type="dxa" w:w="7560"/>
            <w:tcMar>
              <w:top w:type="dxa" w:w="100"/>
              <w:left w:type="dxa" w:w="100"/>
              <w:bottom w:type="dxa" w:w="100"/>
              <w:right w:type="dxa" w:w="100"/>
            </w:tcMar>
            <w:vAlign w:val="top"/>
          </w:tcPr>
          <w:p>
            <w:pPr>
              <w:spacing w:after="30" w:before="30" w:line="240"/>
              <w:jc w:val="left"/>
            </w:pPr>
            <w:r>
              <w:rPr>
                <w:rFonts w:ascii="Georgia" w:cs="Georgia" w:eastAsia="Georgia" w:hAnsi="Georgia"/>
                <w:b w:val="false"/>
                <w:bCs w:val="false"/>
                <w:i w:val="false"/>
                <w:iCs w:val="false"/>
                <w:color w:val="141414"/>
                <w:sz w:val="17"/>
                <w:szCs w:val="17"/>
              </w:rPr>
              <w:t xml:space="preserve">IBM's chess computer defeats world champion Garry Kasparov in a six-game match. First time a reigning champion lost to a machine in tournament conditions. Brute-force search and hand-tuned evaluation, not 'intelligence' as the public imagined — but a credibility milestone.</w:t>
            </w:r>
          </w:p>
        </w:tc>
      </w:tr>
      <w:tr>
        <w:tc>
          <w:tcPr>
            <w:tcW w:type="dxa" w:w="720"/>
            <w:shd w:fill="FBEBE7" w:val="clear"/>
            <w:tcMar>
              <w:top w:type="dxa" w:w="100"/>
              <w:left w:type="dxa" w:w="100"/>
              <w:bottom w:type="dxa" w:w="100"/>
              <w:right w:type="dxa" w:w="100"/>
            </w:tcMar>
            <w:vAlign w:val="top"/>
          </w:tcPr>
          <w:p>
            <w:pPr>
              <w:spacing w:after="30" w:before="30" w:line="240"/>
              <w:jc w:val="left"/>
            </w:pPr>
            <w:r>
              <w:rPr>
                <w:rFonts w:ascii="Consolas" w:cs="Consolas" w:eastAsia="Consolas" w:hAnsi="Consolas"/>
                <w:b/>
                <w:bCs/>
                <w:i w:val="false"/>
                <w:iCs w:val="false"/>
                <w:color w:val="B8341A"/>
                <w:sz w:val="16"/>
                <w:szCs w:val="16"/>
              </w:rPr>
              <w:t xml:space="preserve">AI</w:t>
            </w:r>
          </w:p>
        </w:tc>
        <w:tc>
          <w:tcPr>
            <w:tcW w:type="dxa" w:w="1440"/>
            <w:tcMar>
              <w:top w:type="dxa" w:w="100"/>
              <w:left w:type="dxa" w:w="100"/>
              <w:bottom w:type="dxa" w:w="100"/>
              <w:right w:type="dxa" w:w="100"/>
            </w:tcMar>
            <w:vAlign w:val="top"/>
          </w:tcPr>
          <w:p>
            <w:pPr>
              <w:spacing w:after="30" w:before="30" w:line="240"/>
              <w:jc w:val="left"/>
            </w:pPr>
            <w:r>
              <w:rPr>
                <w:rFonts w:ascii="Consolas" w:cs="Consolas" w:eastAsia="Consolas" w:hAnsi="Consolas"/>
                <w:b w:val="false"/>
                <w:bCs w:val="false"/>
                <w:i w:val="false"/>
                <w:iCs w:val="false"/>
                <w:color w:val="141414"/>
                <w:sz w:val="17"/>
                <w:szCs w:val="17"/>
              </w:rPr>
              <w:t xml:space="preserve">2006</w:t>
            </w:r>
          </w:p>
        </w:tc>
        <w:tc>
          <w:tcPr>
            <w:tcW w:type="dxa" w:w="3240"/>
            <w:tcMar>
              <w:top w:type="dxa" w:w="100"/>
              <w:left w:type="dxa" w:w="100"/>
              <w:bottom w:type="dxa" w:w="100"/>
              <w:right w:type="dxa" w:w="100"/>
            </w:tcMar>
            <w:vAlign w:val="top"/>
          </w:tcPr>
          <w:p>
            <w:pPr>
              <w:spacing w:after="30" w:before="30" w:line="240"/>
              <w:jc w:val="left"/>
            </w:pPr>
            <w:r>
              <w:rPr>
                <w:rFonts w:ascii="Georgia" w:cs="Georgia" w:eastAsia="Georgia" w:hAnsi="Georgia"/>
                <w:b/>
                <w:bCs/>
                <w:i w:val="false"/>
                <w:iCs w:val="false"/>
                <w:color w:val="141414"/>
                <w:sz w:val="18"/>
                <w:szCs w:val="18"/>
              </w:rPr>
              <w:t xml:space="preserve">Hinton — Deep Belief Networks</w:t>
            </w:r>
          </w:p>
        </w:tc>
        <w:tc>
          <w:tcPr>
            <w:tcW w:type="dxa" w:w="7560"/>
            <w:tcMar>
              <w:top w:type="dxa" w:w="100"/>
              <w:left w:type="dxa" w:w="100"/>
              <w:bottom w:type="dxa" w:w="100"/>
              <w:right w:type="dxa" w:w="100"/>
            </w:tcMar>
            <w:vAlign w:val="top"/>
          </w:tcPr>
          <w:p>
            <w:pPr>
              <w:spacing w:after="30" w:before="30" w:line="240"/>
              <w:jc w:val="left"/>
            </w:pPr>
            <w:r>
              <w:rPr>
                <w:rFonts w:ascii="Georgia" w:cs="Georgia" w:eastAsia="Georgia" w:hAnsi="Georgia"/>
                <w:b w:val="false"/>
                <w:bCs w:val="false"/>
                <w:i w:val="false"/>
                <w:iCs w:val="false"/>
                <w:color w:val="141414"/>
                <w:sz w:val="17"/>
                <w:szCs w:val="17"/>
              </w:rPr>
              <w:t xml:space="preserve">Hinton, Osindero &amp; Teh's deep-belief-network paper rebrands neural networks as 'deep learning.' Demonstrates that layer-wise pretraining solves vanishing-gradient problems. Quiet at the time, but the rebrand sticks.</w:t>
            </w:r>
          </w:p>
        </w:tc>
      </w:tr>
      <w:tr>
        <w:tc>
          <w:tcPr>
            <w:tcW w:type="dxa" w:w="720"/>
            <w:shd w:fill="FBEBE7" w:val="clear"/>
            <w:tcMar>
              <w:top w:type="dxa" w:w="100"/>
              <w:left w:type="dxa" w:w="100"/>
              <w:bottom w:type="dxa" w:w="100"/>
              <w:right w:type="dxa" w:w="100"/>
            </w:tcMar>
            <w:vAlign w:val="top"/>
          </w:tcPr>
          <w:p>
            <w:pPr>
              <w:spacing w:after="30" w:before="30" w:line="240"/>
              <w:jc w:val="left"/>
            </w:pPr>
            <w:r>
              <w:rPr>
                <w:rFonts w:ascii="Consolas" w:cs="Consolas" w:eastAsia="Consolas" w:hAnsi="Consolas"/>
                <w:b/>
                <w:bCs/>
                <w:i w:val="false"/>
                <w:iCs w:val="false"/>
                <w:color w:val="B8341A"/>
                <w:sz w:val="16"/>
                <w:szCs w:val="16"/>
              </w:rPr>
              <w:t xml:space="preserve">AI</w:t>
            </w:r>
          </w:p>
        </w:tc>
        <w:tc>
          <w:tcPr>
            <w:tcW w:type="dxa" w:w="1440"/>
            <w:tcMar>
              <w:top w:type="dxa" w:w="100"/>
              <w:left w:type="dxa" w:w="100"/>
              <w:bottom w:type="dxa" w:w="100"/>
              <w:right w:type="dxa" w:w="100"/>
            </w:tcMar>
            <w:vAlign w:val="top"/>
          </w:tcPr>
          <w:p>
            <w:pPr>
              <w:spacing w:after="30" w:before="30" w:line="240"/>
              <w:jc w:val="left"/>
            </w:pPr>
            <w:r>
              <w:rPr>
                <w:rFonts w:ascii="Consolas" w:cs="Consolas" w:eastAsia="Consolas" w:hAnsi="Consolas"/>
                <w:b w:val="false"/>
                <w:bCs w:val="false"/>
                <w:i w:val="false"/>
                <w:iCs w:val="false"/>
                <w:color w:val="141414"/>
                <w:sz w:val="17"/>
                <w:szCs w:val="17"/>
              </w:rPr>
              <w:t xml:space="preserve">2009</w:t>
            </w:r>
          </w:p>
        </w:tc>
        <w:tc>
          <w:tcPr>
            <w:tcW w:type="dxa" w:w="3240"/>
            <w:tcMar>
              <w:top w:type="dxa" w:w="100"/>
              <w:left w:type="dxa" w:w="100"/>
              <w:bottom w:type="dxa" w:w="100"/>
              <w:right w:type="dxa" w:w="100"/>
            </w:tcMar>
            <w:vAlign w:val="top"/>
          </w:tcPr>
          <w:p>
            <w:pPr>
              <w:spacing w:after="30" w:before="30" w:line="240"/>
              <w:jc w:val="left"/>
            </w:pPr>
            <w:r>
              <w:rPr>
                <w:rFonts w:ascii="Georgia" w:cs="Georgia" w:eastAsia="Georgia" w:hAnsi="Georgia"/>
                <w:b/>
                <w:bCs/>
                <w:i w:val="false"/>
                <w:iCs w:val="false"/>
                <w:color w:val="141414"/>
                <w:sz w:val="18"/>
                <w:szCs w:val="18"/>
              </w:rPr>
              <w:t xml:space="preserve">Fei-Fei Li launches ImageNet</w:t>
            </w:r>
          </w:p>
        </w:tc>
        <w:tc>
          <w:tcPr>
            <w:tcW w:type="dxa" w:w="7560"/>
            <w:tcMar>
              <w:top w:type="dxa" w:w="100"/>
              <w:left w:type="dxa" w:w="100"/>
              <w:bottom w:type="dxa" w:w="100"/>
              <w:right w:type="dxa" w:w="100"/>
            </w:tcMar>
            <w:vAlign w:val="top"/>
          </w:tcPr>
          <w:p>
            <w:pPr>
              <w:spacing w:after="30" w:before="30" w:line="240"/>
              <w:jc w:val="left"/>
            </w:pPr>
            <w:r>
              <w:rPr>
                <w:rFonts w:ascii="Georgia" w:cs="Georgia" w:eastAsia="Georgia" w:hAnsi="Georgia"/>
                <w:b w:val="false"/>
                <w:bCs w:val="false"/>
                <w:i w:val="false"/>
                <w:iCs w:val="false"/>
                <w:color w:val="141414"/>
                <w:sz w:val="17"/>
                <w:szCs w:val="17"/>
              </w:rPr>
              <w:t xml:space="preserve">14M-image hand-labeled dataset organised around WordNet. Provides the benchmark on which the deep learning revolution will be measured. Without ImageNet, AlexNet doesn't have a stage in 2012.</w:t>
            </w:r>
          </w:p>
        </w:tc>
      </w:tr>
      <w:tr>
        <w:tc>
          <w:tcPr>
            <w:tcW w:type="dxa" w:w="720"/>
            <w:shd w:fill="FBEBE7" w:val="clear"/>
            <w:tcMar>
              <w:top w:type="dxa" w:w="100"/>
              <w:left w:type="dxa" w:w="100"/>
              <w:bottom w:type="dxa" w:w="100"/>
              <w:right w:type="dxa" w:w="100"/>
            </w:tcMar>
            <w:vAlign w:val="top"/>
          </w:tcPr>
          <w:p>
            <w:pPr>
              <w:spacing w:after="30" w:before="30" w:line="240"/>
              <w:jc w:val="left"/>
            </w:pPr>
            <w:r>
              <w:rPr>
                <w:rFonts w:ascii="Consolas" w:cs="Consolas" w:eastAsia="Consolas" w:hAnsi="Consolas"/>
                <w:b/>
                <w:bCs/>
                <w:i w:val="false"/>
                <w:iCs w:val="false"/>
                <w:color w:val="B8341A"/>
                <w:sz w:val="16"/>
                <w:szCs w:val="16"/>
              </w:rPr>
              <w:t xml:space="preserve">AI</w:t>
            </w:r>
          </w:p>
        </w:tc>
        <w:tc>
          <w:tcPr>
            <w:tcW w:type="dxa" w:w="1440"/>
            <w:tcMar>
              <w:top w:type="dxa" w:w="100"/>
              <w:left w:type="dxa" w:w="100"/>
              <w:bottom w:type="dxa" w:w="100"/>
              <w:right w:type="dxa" w:w="100"/>
            </w:tcMar>
            <w:vAlign w:val="top"/>
          </w:tcPr>
          <w:p>
            <w:pPr>
              <w:spacing w:after="30" w:before="30" w:line="240"/>
              <w:jc w:val="left"/>
            </w:pPr>
            <w:r>
              <w:rPr>
                <w:rFonts w:ascii="Consolas" w:cs="Consolas" w:eastAsia="Consolas" w:hAnsi="Consolas"/>
                <w:b w:val="false"/>
                <w:bCs w:val="false"/>
                <w:i w:val="false"/>
                <w:iCs w:val="false"/>
                <w:color w:val="141414"/>
                <w:sz w:val="17"/>
                <w:szCs w:val="17"/>
              </w:rPr>
              <w:t xml:space="preserve">2011</w:t>
            </w:r>
          </w:p>
        </w:tc>
        <w:tc>
          <w:tcPr>
            <w:tcW w:type="dxa" w:w="3240"/>
            <w:tcMar>
              <w:top w:type="dxa" w:w="100"/>
              <w:left w:type="dxa" w:w="100"/>
              <w:bottom w:type="dxa" w:w="100"/>
              <w:right w:type="dxa" w:w="100"/>
            </w:tcMar>
            <w:vAlign w:val="top"/>
          </w:tcPr>
          <w:p>
            <w:pPr>
              <w:spacing w:after="30" w:before="30" w:line="240"/>
              <w:jc w:val="left"/>
            </w:pPr>
            <w:r>
              <w:rPr>
                <w:rFonts w:ascii="Georgia" w:cs="Georgia" w:eastAsia="Georgia" w:hAnsi="Georgia"/>
                <w:b/>
                <w:bCs/>
                <w:i w:val="false"/>
                <w:iCs w:val="false"/>
                <w:color w:val="141414"/>
                <w:sz w:val="18"/>
                <w:szCs w:val="18"/>
              </w:rPr>
              <w:t xml:space="preserve">Watson wins Jeopardy!</w:t>
            </w:r>
          </w:p>
        </w:tc>
        <w:tc>
          <w:tcPr>
            <w:tcW w:type="dxa" w:w="7560"/>
            <w:tcMar>
              <w:top w:type="dxa" w:w="100"/>
              <w:left w:type="dxa" w:w="100"/>
              <w:bottom w:type="dxa" w:w="100"/>
              <w:right w:type="dxa" w:w="100"/>
            </w:tcMar>
            <w:vAlign w:val="top"/>
          </w:tcPr>
          <w:p>
            <w:pPr>
              <w:spacing w:after="30" w:before="30" w:line="240"/>
              <w:jc w:val="left"/>
            </w:pPr>
            <w:r>
              <w:rPr>
                <w:rFonts w:ascii="Georgia" w:cs="Georgia" w:eastAsia="Georgia" w:hAnsi="Georgia"/>
                <w:b w:val="false"/>
                <w:bCs w:val="false"/>
                <w:i w:val="false"/>
                <w:iCs w:val="false"/>
                <w:color w:val="141414"/>
                <w:sz w:val="17"/>
                <w:szCs w:val="17"/>
              </w:rPr>
              <w:t xml:space="preserve">IBM's Watson defeats Ken Jennings and Brad Rutter on Jeopardy!. Massive PR moment for AI generally. The underlying tech (DeepQA) is largely classical NLP — but the public read it as machines winning at human knowledge tasks.</w:t>
            </w:r>
          </w:p>
        </w:tc>
      </w:tr>
      <w:tr>
        <w:tc>
          <w:tcPr>
            <w:tcW w:type="dxa" w:w="720"/>
            <w:shd w:fill="FBEBE7" w:val="clear"/>
            <w:tcMar>
              <w:top w:type="dxa" w:w="100"/>
              <w:left w:type="dxa" w:w="100"/>
              <w:bottom w:type="dxa" w:w="100"/>
              <w:right w:type="dxa" w:w="100"/>
            </w:tcMar>
            <w:vAlign w:val="top"/>
          </w:tcPr>
          <w:p>
            <w:pPr>
              <w:spacing w:after="30" w:before="30" w:line="240"/>
              <w:jc w:val="left"/>
            </w:pPr>
            <w:r>
              <w:rPr>
                <w:rFonts w:ascii="Consolas" w:cs="Consolas" w:eastAsia="Consolas" w:hAnsi="Consolas"/>
                <w:b/>
                <w:bCs/>
                <w:i w:val="false"/>
                <w:iCs w:val="false"/>
                <w:color w:val="B8341A"/>
                <w:sz w:val="16"/>
                <w:szCs w:val="16"/>
              </w:rPr>
              <w:t xml:space="preserve">AI</w:t>
            </w:r>
          </w:p>
        </w:tc>
        <w:tc>
          <w:tcPr>
            <w:tcW w:type="dxa" w:w="1440"/>
            <w:tcMar>
              <w:top w:type="dxa" w:w="100"/>
              <w:left w:type="dxa" w:w="100"/>
              <w:bottom w:type="dxa" w:w="100"/>
              <w:right w:type="dxa" w:w="100"/>
            </w:tcMar>
            <w:vAlign w:val="top"/>
          </w:tcPr>
          <w:p>
            <w:pPr>
              <w:spacing w:after="30" w:before="30" w:line="240"/>
              <w:jc w:val="left"/>
            </w:pPr>
            <w:r>
              <w:rPr>
                <w:rFonts w:ascii="Consolas" w:cs="Consolas" w:eastAsia="Consolas" w:hAnsi="Consolas"/>
                <w:b w:val="false"/>
                <w:bCs w:val="false"/>
                <w:i w:val="false"/>
                <w:iCs w:val="false"/>
                <w:color w:val="141414"/>
                <w:sz w:val="17"/>
                <w:szCs w:val="17"/>
              </w:rPr>
              <w:t xml:space="preserve">2012</w:t>
            </w:r>
          </w:p>
        </w:tc>
        <w:tc>
          <w:tcPr>
            <w:tcW w:type="dxa" w:w="3240"/>
            <w:tcMar>
              <w:top w:type="dxa" w:w="100"/>
              <w:left w:type="dxa" w:w="100"/>
              <w:bottom w:type="dxa" w:w="100"/>
              <w:right w:type="dxa" w:w="100"/>
            </w:tcMar>
            <w:vAlign w:val="top"/>
          </w:tcPr>
          <w:p>
            <w:pPr>
              <w:spacing w:after="30" w:before="30" w:line="240"/>
              <w:jc w:val="left"/>
            </w:pPr>
            <w:r>
              <w:rPr>
                <w:rFonts w:ascii="Georgia" w:cs="Georgia" w:eastAsia="Georgia" w:hAnsi="Georgia"/>
                <w:b/>
                <w:bCs/>
                <w:i w:val="false"/>
                <w:iCs w:val="false"/>
                <w:color w:val="141414"/>
                <w:sz w:val="18"/>
                <w:szCs w:val="18"/>
              </w:rPr>
              <w:t xml:space="preserve">AlexNet wins ImageNet</w:t>
            </w:r>
          </w:p>
        </w:tc>
        <w:tc>
          <w:tcPr>
            <w:tcW w:type="dxa" w:w="7560"/>
            <w:tcMar>
              <w:top w:type="dxa" w:w="100"/>
              <w:left w:type="dxa" w:w="100"/>
              <w:bottom w:type="dxa" w:w="100"/>
              <w:right w:type="dxa" w:w="100"/>
            </w:tcMar>
            <w:vAlign w:val="top"/>
          </w:tcPr>
          <w:p>
            <w:pPr>
              <w:spacing w:after="30" w:before="30" w:line="240"/>
              <w:jc w:val="left"/>
            </w:pPr>
            <w:r>
              <w:rPr>
                <w:rFonts w:ascii="Georgia" w:cs="Georgia" w:eastAsia="Georgia" w:hAnsi="Georgia"/>
                <w:b w:val="false"/>
                <w:bCs w:val="false"/>
                <w:i w:val="false"/>
                <w:iCs w:val="false"/>
                <w:color w:val="141414"/>
                <w:sz w:val="17"/>
                <w:szCs w:val="17"/>
              </w:rPr>
              <w:t xml:space="preserve">Krizhevsky, Sutskever &amp; Hinton win ImageNet with a deep CNN trained on two consumer GTX 580 GPUs. Halves the error rate of the previous best entry. THE ignition event of the deep-learning era — every subsequent breakthrough builds on this template.</w:t>
            </w:r>
          </w:p>
        </w:tc>
      </w:tr>
      <w:tr>
        <w:tc>
          <w:tcPr>
            <w:tcW w:type="dxa" w:w="720"/>
            <w:shd w:fill="FBEBE7" w:val="clear"/>
            <w:tcMar>
              <w:top w:type="dxa" w:w="100"/>
              <w:left w:type="dxa" w:w="100"/>
              <w:bottom w:type="dxa" w:w="100"/>
              <w:right w:type="dxa" w:w="100"/>
            </w:tcMar>
            <w:vAlign w:val="top"/>
          </w:tcPr>
          <w:p>
            <w:pPr>
              <w:spacing w:after="30" w:before="30" w:line="240"/>
              <w:jc w:val="left"/>
            </w:pPr>
            <w:r>
              <w:rPr>
                <w:rFonts w:ascii="Consolas" w:cs="Consolas" w:eastAsia="Consolas" w:hAnsi="Consolas"/>
                <w:b/>
                <w:bCs/>
                <w:i w:val="false"/>
                <w:iCs w:val="false"/>
                <w:color w:val="B8341A"/>
                <w:sz w:val="16"/>
                <w:szCs w:val="16"/>
              </w:rPr>
              <w:t xml:space="preserve">AI</w:t>
            </w:r>
          </w:p>
        </w:tc>
        <w:tc>
          <w:tcPr>
            <w:tcW w:type="dxa" w:w="1440"/>
            <w:tcMar>
              <w:top w:type="dxa" w:w="100"/>
              <w:left w:type="dxa" w:w="100"/>
              <w:bottom w:type="dxa" w:w="100"/>
              <w:right w:type="dxa" w:w="100"/>
            </w:tcMar>
            <w:vAlign w:val="top"/>
          </w:tcPr>
          <w:p>
            <w:pPr>
              <w:spacing w:after="30" w:before="30" w:line="240"/>
              <w:jc w:val="left"/>
            </w:pPr>
            <w:r>
              <w:rPr>
                <w:rFonts w:ascii="Consolas" w:cs="Consolas" w:eastAsia="Consolas" w:hAnsi="Consolas"/>
                <w:b w:val="false"/>
                <w:bCs w:val="false"/>
                <w:i w:val="false"/>
                <w:iCs w:val="false"/>
                <w:color w:val="141414"/>
                <w:sz w:val="17"/>
                <w:szCs w:val="17"/>
              </w:rPr>
              <w:t xml:space="preserve">2014</w:t>
            </w:r>
          </w:p>
        </w:tc>
        <w:tc>
          <w:tcPr>
            <w:tcW w:type="dxa" w:w="3240"/>
            <w:tcMar>
              <w:top w:type="dxa" w:w="100"/>
              <w:left w:type="dxa" w:w="100"/>
              <w:bottom w:type="dxa" w:w="100"/>
              <w:right w:type="dxa" w:w="100"/>
            </w:tcMar>
            <w:vAlign w:val="top"/>
          </w:tcPr>
          <w:p>
            <w:pPr>
              <w:spacing w:after="30" w:before="30" w:line="240"/>
              <w:jc w:val="left"/>
            </w:pPr>
            <w:r>
              <w:rPr>
                <w:rFonts w:ascii="Georgia" w:cs="Georgia" w:eastAsia="Georgia" w:hAnsi="Georgia"/>
                <w:b/>
                <w:bCs/>
                <w:i w:val="false"/>
                <w:iCs w:val="false"/>
                <w:color w:val="141414"/>
                <w:sz w:val="18"/>
                <w:szCs w:val="18"/>
              </w:rPr>
              <w:t xml:space="preserve">Goodfellow — Generative Adversarial Networks</w:t>
            </w:r>
          </w:p>
        </w:tc>
        <w:tc>
          <w:tcPr>
            <w:tcW w:type="dxa" w:w="7560"/>
            <w:tcMar>
              <w:top w:type="dxa" w:w="100"/>
              <w:left w:type="dxa" w:w="100"/>
              <w:bottom w:type="dxa" w:w="100"/>
              <w:right w:type="dxa" w:w="100"/>
            </w:tcMar>
            <w:vAlign w:val="top"/>
          </w:tcPr>
          <w:p>
            <w:pPr>
              <w:spacing w:after="30" w:before="30" w:line="240"/>
              <w:jc w:val="left"/>
            </w:pPr>
            <w:r>
              <w:rPr>
                <w:rFonts w:ascii="Georgia" w:cs="Georgia" w:eastAsia="Georgia" w:hAnsi="Georgia"/>
                <w:b w:val="false"/>
                <w:bCs w:val="false"/>
                <w:i w:val="false"/>
                <w:iCs w:val="false"/>
                <w:color w:val="141414"/>
                <w:sz w:val="17"/>
                <w:szCs w:val="17"/>
              </w:rPr>
              <w:t xml:space="preserve">Two networks compete: one generates samples, one tries to discriminate real from generated. Foundation for modern image and video generation; predecessor to today's diffusion models in the public imagination.</w:t>
            </w:r>
          </w:p>
        </w:tc>
      </w:tr>
      <w:tr>
        <w:tc>
          <w:tcPr>
            <w:tcW w:type="dxa" w:w="720"/>
            <w:shd w:fill="FBEBE7" w:val="clear"/>
            <w:tcMar>
              <w:top w:type="dxa" w:w="100"/>
              <w:left w:type="dxa" w:w="100"/>
              <w:bottom w:type="dxa" w:w="100"/>
              <w:right w:type="dxa" w:w="100"/>
            </w:tcMar>
            <w:vAlign w:val="top"/>
          </w:tcPr>
          <w:p>
            <w:pPr>
              <w:spacing w:after="30" w:before="30" w:line="240"/>
              <w:jc w:val="left"/>
            </w:pPr>
            <w:r>
              <w:rPr>
                <w:rFonts w:ascii="Consolas" w:cs="Consolas" w:eastAsia="Consolas" w:hAnsi="Consolas"/>
                <w:b/>
                <w:bCs/>
                <w:i w:val="false"/>
                <w:iCs w:val="false"/>
                <w:color w:val="B8341A"/>
                <w:sz w:val="16"/>
                <w:szCs w:val="16"/>
              </w:rPr>
              <w:t xml:space="preserve">AI</w:t>
            </w:r>
          </w:p>
        </w:tc>
        <w:tc>
          <w:tcPr>
            <w:tcW w:type="dxa" w:w="1440"/>
            <w:tcMar>
              <w:top w:type="dxa" w:w="100"/>
              <w:left w:type="dxa" w:w="100"/>
              <w:bottom w:type="dxa" w:w="100"/>
              <w:right w:type="dxa" w:w="100"/>
            </w:tcMar>
            <w:vAlign w:val="top"/>
          </w:tcPr>
          <w:p>
            <w:pPr>
              <w:spacing w:after="30" w:before="30" w:line="240"/>
              <w:jc w:val="left"/>
            </w:pPr>
            <w:r>
              <w:rPr>
                <w:rFonts w:ascii="Consolas" w:cs="Consolas" w:eastAsia="Consolas" w:hAnsi="Consolas"/>
                <w:b w:val="false"/>
                <w:bCs w:val="false"/>
                <w:i w:val="false"/>
                <w:iCs w:val="false"/>
                <w:color w:val="141414"/>
                <w:sz w:val="17"/>
                <w:szCs w:val="17"/>
              </w:rPr>
              <w:t xml:space="preserve">2016</w:t>
            </w:r>
          </w:p>
        </w:tc>
        <w:tc>
          <w:tcPr>
            <w:tcW w:type="dxa" w:w="3240"/>
            <w:tcMar>
              <w:top w:type="dxa" w:w="100"/>
              <w:left w:type="dxa" w:w="100"/>
              <w:bottom w:type="dxa" w:w="100"/>
              <w:right w:type="dxa" w:w="100"/>
            </w:tcMar>
            <w:vAlign w:val="top"/>
          </w:tcPr>
          <w:p>
            <w:pPr>
              <w:spacing w:after="30" w:before="30" w:line="240"/>
              <w:jc w:val="left"/>
            </w:pPr>
            <w:r>
              <w:rPr>
                <w:rFonts w:ascii="Georgia" w:cs="Georgia" w:eastAsia="Georgia" w:hAnsi="Georgia"/>
                <w:b/>
                <w:bCs/>
                <w:i w:val="false"/>
                <w:iCs w:val="false"/>
                <w:color w:val="141414"/>
                <w:sz w:val="18"/>
                <w:szCs w:val="18"/>
              </w:rPr>
              <w:t xml:space="preserve">DeepMind — AlphaGo beats Lee Sedol</w:t>
            </w:r>
          </w:p>
        </w:tc>
        <w:tc>
          <w:tcPr>
            <w:tcW w:type="dxa" w:w="7560"/>
            <w:tcMar>
              <w:top w:type="dxa" w:w="100"/>
              <w:left w:type="dxa" w:w="100"/>
              <w:bottom w:type="dxa" w:w="100"/>
              <w:right w:type="dxa" w:w="100"/>
            </w:tcMar>
            <w:vAlign w:val="top"/>
          </w:tcPr>
          <w:p>
            <w:pPr>
              <w:spacing w:after="30" w:before="30" w:line="240"/>
              <w:jc w:val="left"/>
            </w:pPr>
            <w:r>
              <w:rPr>
                <w:rFonts w:ascii="Georgia" w:cs="Georgia" w:eastAsia="Georgia" w:hAnsi="Georgia"/>
                <w:b w:val="false"/>
                <w:bCs w:val="false"/>
                <w:i w:val="false"/>
                <w:iCs w:val="false"/>
                <w:color w:val="141414"/>
                <w:sz w:val="17"/>
                <w:szCs w:val="17"/>
              </w:rPr>
              <w:t xml:space="preserve">DeepMind's AlphaGo defeats Lee Sedol 4–1. Go was long thought to be a decade away. Game 4 was a famous human win; the rest were AlphaGo dominance — including Move 37 in Game 2, considered superhuman.</w:t>
            </w:r>
          </w:p>
        </w:tc>
      </w:tr>
      <w:tr>
        <w:tc>
          <w:tcPr>
            <w:tcW w:type="dxa" w:w="720"/>
            <w:shd w:fill="FBEBE7" w:val="clear"/>
            <w:tcMar>
              <w:top w:type="dxa" w:w="100"/>
              <w:left w:type="dxa" w:w="100"/>
              <w:bottom w:type="dxa" w:w="100"/>
              <w:right w:type="dxa" w:w="100"/>
            </w:tcMar>
            <w:vAlign w:val="top"/>
          </w:tcPr>
          <w:p>
            <w:pPr>
              <w:spacing w:after="30" w:before="30" w:line="240"/>
              <w:jc w:val="left"/>
            </w:pPr>
            <w:r>
              <w:rPr>
                <w:rFonts w:ascii="Consolas" w:cs="Consolas" w:eastAsia="Consolas" w:hAnsi="Consolas"/>
                <w:b/>
                <w:bCs/>
                <w:i w:val="false"/>
                <w:iCs w:val="false"/>
                <w:color w:val="B8341A"/>
                <w:sz w:val="16"/>
                <w:szCs w:val="16"/>
              </w:rPr>
              <w:t xml:space="preserve">AI</w:t>
            </w:r>
          </w:p>
        </w:tc>
        <w:tc>
          <w:tcPr>
            <w:tcW w:type="dxa" w:w="1440"/>
            <w:tcMar>
              <w:top w:type="dxa" w:w="100"/>
              <w:left w:type="dxa" w:w="100"/>
              <w:bottom w:type="dxa" w:w="100"/>
              <w:right w:type="dxa" w:w="100"/>
            </w:tcMar>
            <w:vAlign w:val="top"/>
          </w:tcPr>
          <w:p>
            <w:pPr>
              <w:spacing w:after="30" w:before="30" w:line="240"/>
              <w:jc w:val="left"/>
            </w:pPr>
            <w:r>
              <w:rPr>
                <w:rFonts w:ascii="Consolas" w:cs="Consolas" w:eastAsia="Consolas" w:hAnsi="Consolas"/>
                <w:b w:val="false"/>
                <w:bCs w:val="false"/>
                <w:i w:val="false"/>
                <w:iCs w:val="false"/>
                <w:color w:val="141414"/>
                <w:sz w:val="17"/>
                <w:szCs w:val="17"/>
              </w:rPr>
              <w:t xml:space="preserve">2017</w:t>
            </w:r>
          </w:p>
        </w:tc>
        <w:tc>
          <w:tcPr>
            <w:tcW w:type="dxa" w:w="3240"/>
            <w:tcMar>
              <w:top w:type="dxa" w:w="100"/>
              <w:left w:type="dxa" w:w="100"/>
              <w:bottom w:type="dxa" w:w="100"/>
              <w:right w:type="dxa" w:w="100"/>
            </w:tcMar>
            <w:vAlign w:val="top"/>
          </w:tcPr>
          <w:p>
            <w:pPr>
              <w:spacing w:after="30" w:before="30" w:line="240"/>
              <w:jc w:val="left"/>
            </w:pPr>
            <w:r>
              <w:rPr>
                <w:rFonts w:ascii="Georgia" w:cs="Georgia" w:eastAsia="Georgia" w:hAnsi="Georgia"/>
                <w:b/>
                <w:bCs/>
                <w:i w:val="false"/>
                <w:iCs w:val="false"/>
                <w:color w:val="141414"/>
                <w:sz w:val="18"/>
                <w:szCs w:val="18"/>
              </w:rPr>
              <w:t xml:space="preserve">Vaswani et al. — Attention Is All You Need</w:t>
            </w:r>
          </w:p>
        </w:tc>
        <w:tc>
          <w:tcPr>
            <w:tcW w:type="dxa" w:w="7560"/>
            <w:tcMar>
              <w:top w:type="dxa" w:w="100"/>
              <w:left w:type="dxa" w:w="100"/>
              <w:bottom w:type="dxa" w:w="100"/>
              <w:right w:type="dxa" w:w="100"/>
            </w:tcMar>
            <w:vAlign w:val="top"/>
          </w:tcPr>
          <w:p>
            <w:pPr>
              <w:spacing w:after="30" w:before="30" w:line="240"/>
              <w:jc w:val="left"/>
            </w:pPr>
            <w:r>
              <w:rPr>
                <w:rFonts w:ascii="Georgia" w:cs="Georgia" w:eastAsia="Georgia" w:hAnsi="Georgia"/>
                <w:b w:val="false"/>
                <w:bCs w:val="false"/>
                <w:i w:val="false"/>
                <w:iCs w:val="false"/>
                <w:color w:val="141414"/>
                <w:sz w:val="17"/>
                <w:szCs w:val="17"/>
              </w:rPr>
              <w:t xml:space="preserve">Self-attention replaces RNN and CNN architectures for sequence modelling. Foundation of every subsequent large language model — BERT, GPT-1/2/3/4, Claude, Gemini. Arguably the most consequential ML paper of the decade.</w:t>
            </w:r>
          </w:p>
        </w:tc>
      </w:tr>
      <w:tr>
        <w:tc>
          <w:tcPr>
            <w:tcW w:type="dxa" w:w="720"/>
            <w:shd w:fill="FBEBE7" w:val="clear"/>
            <w:tcMar>
              <w:top w:type="dxa" w:w="100"/>
              <w:left w:type="dxa" w:w="100"/>
              <w:bottom w:type="dxa" w:w="100"/>
              <w:right w:type="dxa" w:w="100"/>
            </w:tcMar>
            <w:vAlign w:val="top"/>
          </w:tcPr>
          <w:p>
            <w:pPr>
              <w:spacing w:after="30" w:before="30" w:line="240"/>
              <w:jc w:val="left"/>
            </w:pPr>
            <w:r>
              <w:rPr>
                <w:rFonts w:ascii="Consolas" w:cs="Consolas" w:eastAsia="Consolas" w:hAnsi="Consolas"/>
                <w:b/>
                <w:bCs/>
                <w:i w:val="false"/>
                <w:iCs w:val="false"/>
                <w:color w:val="B8341A"/>
                <w:sz w:val="16"/>
                <w:szCs w:val="16"/>
              </w:rPr>
              <w:t xml:space="preserve">AI</w:t>
            </w:r>
          </w:p>
        </w:tc>
        <w:tc>
          <w:tcPr>
            <w:tcW w:type="dxa" w:w="1440"/>
            <w:tcMar>
              <w:top w:type="dxa" w:w="100"/>
              <w:left w:type="dxa" w:w="100"/>
              <w:bottom w:type="dxa" w:w="100"/>
              <w:right w:type="dxa" w:w="100"/>
            </w:tcMar>
            <w:vAlign w:val="top"/>
          </w:tcPr>
          <w:p>
            <w:pPr>
              <w:spacing w:after="30" w:before="30" w:line="240"/>
              <w:jc w:val="left"/>
            </w:pPr>
            <w:r>
              <w:rPr>
                <w:rFonts w:ascii="Consolas" w:cs="Consolas" w:eastAsia="Consolas" w:hAnsi="Consolas"/>
                <w:b w:val="false"/>
                <w:bCs w:val="false"/>
                <w:i w:val="false"/>
                <w:iCs w:val="false"/>
                <w:color w:val="141414"/>
                <w:sz w:val="17"/>
                <w:szCs w:val="17"/>
              </w:rPr>
              <w:t xml:space="preserve">2020</w:t>
            </w:r>
          </w:p>
        </w:tc>
        <w:tc>
          <w:tcPr>
            <w:tcW w:type="dxa" w:w="3240"/>
            <w:tcMar>
              <w:top w:type="dxa" w:w="100"/>
              <w:left w:type="dxa" w:w="100"/>
              <w:bottom w:type="dxa" w:w="100"/>
              <w:right w:type="dxa" w:w="100"/>
            </w:tcMar>
            <w:vAlign w:val="top"/>
          </w:tcPr>
          <w:p>
            <w:pPr>
              <w:spacing w:after="30" w:before="30" w:line="240"/>
              <w:jc w:val="left"/>
            </w:pPr>
            <w:r>
              <w:rPr>
                <w:rFonts w:ascii="Georgia" w:cs="Georgia" w:eastAsia="Georgia" w:hAnsi="Georgia"/>
                <w:b/>
                <w:bCs/>
                <w:i w:val="false"/>
                <w:iCs w:val="false"/>
                <w:color w:val="141414"/>
                <w:sz w:val="18"/>
                <w:szCs w:val="18"/>
              </w:rPr>
              <w:t xml:space="preserve">OpenAI — GPT-3</w:t>
            </w:r>
          </w:p>
        </w:tc>
        <w:tc>
          <w:tcPr>
            <w:tcW w:type="dxa" w:w="7560"/>
            <w:tcMar>
              <w:top w:type="dxa" w:w="100"/>
              <w:left w:type="dxa" w:w="100"/>
              <w:bottom w:type="dxa" w:w="100"/>
              <w:right w:type="dxa" w:w="100"/>
            </w:tcMar>
            <w:vAlign w:val="top"/>
          </w:tcPr>
          <w:p>
            <w:pPr>
              <w:spacing w:after="30" w:before="30" w:line="240"/>
              <w:jc w:val="left"/>
            </w:pPr>
            <w:r>
              <w:rPr>
                <w:rFonts w:ascii="Georgia" w:cs="Georgia" w:eastAsia="Georgia" w:hAnsi="Georgia"/>
                <w:b w:val="false"/>
                <w:bCs w:val="false"/>
                <w:i w:val="false"/>
                <w:iCs w:val="false"/>
                <w:color w:val="141414"/>
                <w:sz w:val="17"/>
                <w:szCs w:val="17"/>
              </w:rPr>
              <w:t xml:space="preserve">175-billion-parameter language model. First convincing demonstration of in-context / few-shot learning at scale. Spawns the LLM commercial era; copilot-style applications begin appearing throughout 2021–22.</w:t>
            </w:r>
          </w:p>
        </w:tc>
      </w:tr>
      <w:tr>
        <w:tc>
          <w:tcPr>
            <w:tcW w:type="dxa" w:w="720"/>
            <w:shd w:fill="FBEBE7" w:val="clear"/>
            <w:tcMar>
              <w:top w:type="dxa" w:w="100"/>
              <w:left w:type="dxa" w:w="100"/>
              <w:bottom w:type="dxa" w:w="100"/>
              <w:right w:type="dxa" w:w="100"/>
            </w:tcMar>
            <w:vAlign w:val="top"/>
          </w:tcPr>
          <w:p>
            <w:pPr>
              <w:spacing w:after="30" w:before="30" w:line="240"/>
              <w:jc w:val="left"/>
            </w:pPr>
            <w:r>
              <w:rPr>
                <w:rFonts w:ascii="Consolas" w:cs="Consolas" w:eastAsia="Consolas" w:hAnsi="Consolas"/>
                <w:b/>
                <w:bCs/>
                <w:i w:val="false"/>
                <w:iCs w:val="false"/>
                <w:color w:val="B8341A"/>
                <w:sz w:val="16"/>
                <w:szCs w:val="16"/>
              </w:rPr>
              <w:t xml:space="preserve">AI</w:t>
            </w:r>
          </w:p>
        </w:tc>
        <w:tc>
          <w:tcPr>
            <w:tcW w:type="dxa" w:w="1440"/>
            <w:tcMar>
              <w:top w:type="dxa" w:w="100"/>
              <w:left w:type="dxa" w:w="100"/>
              <w:bottom w:type="dxa" w:w="100"/>
              <w:right w:type="dxa" w:w="100"/>
            </w:tcMar>
            <w:vAlign w:val="top"/>
          </w:tcPr>
          <w:p>
            <w:pPr>
              <w:spacing w:after="30" w:before="30" w:line="240"/>
              <w:jc w:val="left"/>
            </w:pPr>
            <w:r>
              <w:rPr>
                <w:rFonts w:ascii="Consolas" w:cs="Consolas" w:eastAsia="Consolas" w:hAnsi="Consolas"/>
                <w:b w:val="false"/>
                <w:bCs w:val="false"/>
                <w:i w:val="false"/>
                <w:iCs w:val="false"/>
                <w:color w:val="141414"/>
                <w:sz w:val="17"/>
                <w:szCs w:val="17"/>
              </w:rPr>
              <w:t xml:space="preserve">30 Nov 2022</w:t>
            </w:r>
          </w:p>
        </w:tc>
        <w:tc>
          <w:tcPr>
            <w:tcW w:type="dxa" w:w="3240"/>
            <w:tcMar>
              <w:top w:type="dxa" w:w="100"/>
              <w:left w:type="dxa" w:w="100"/>
              <w:bottom w:type="dxa" w:w="100"/>
              <w:right w:type="dxa" w:w="100"/>
            </w:tcMar>
            <w:vAlign w:val="top"/>
          </w:tcPr>
          <w:p>
            <w:pPr>
              <w:spacing w:after="30" w:before="30" w:line="240"/>
              <w:jc w:val="left"/>
            </w:pPr>
            <w:r>
              <w:rPr>
                <w:rFonts w:ascii="Georgia" w:cs="Georgia" w:eastAsia="Georgia" w:hAnsi="Georgia"/>
                <w:b/>
                <w:bCs/>
                <w:i w:val="false"/>
                <w:iCs w:val="false"/>
                <w:color w:val="141414"/>
                <w:sz w:val="18"/>
                <w:szCs w:val="18"/>
              </w:rPr>
              <w:t xml:space="preserve">ChatGPT released</w:t>
            </w:r>
          </w:p>
        </w:tc>
        <w:tc>
          <w:tcPr>
            <w:tcW w:type="dxa" w:w="7560"/>
            <w:tcMar>
              <w:top w:type="dxa" w:w="100"/>
              <w:left w:type="dxa" w:w="100"/>
              <w:bottom w:type="dxa" w:w="100"/>
              <w:right w:type="dxa" w:w="100"/>
            </w:tcMar>
            <w:vAlign w:val="top"/>
          </w:tcPr>
          <w:p>
            <w:pPr>
              <w:spacing w:after="30" w:before="30" w:line="240"/>
              <w:jc w:val="left"/>
            </w:pPr>
            <w:r>
              <w:rPr>
                <w:rFonts w:ascii="Georgia" w:cs="Georgia" w:eastAsia="Georgia" w:hAnsi="Georgia"/>
                <w:b w:val="false"/>
                <w:bCs w:val="false"/>
                <w:i w:val="false"/>
                <w:iCs w:val="false"/>
                <w:color w:val="141414"/>
                <w:sz w:val="17"/>
                <w:szCs w:val="17"/>
              </w:rPr>
              <w:t xml:space="preserve">OpenAI releases ChatGPT publicly. Reaches 100M monthly active users within 2 months — the fastest consumer product adoption in history. Generative AI becomes mainstream overnight; cannibalises capital, GPU allocation, and engineering attention from the metaverse.</w:t>
            </w:r>
          </w:p>
        </w:tc>
      </w:tr>
      <w:tr>
        <w:tc>
          <w:tcPr>
            <w:tcW w:type="dxa" w:w="720"/>
            <w:shd w:fill="FBEBE7" w:val="clear"/>
            <w:tcMar>
              <w:top w:type="dxa" w:w="100"/>
              <w:left w:type="dxa" w:w="100"/>
              <w:bottom w:type="dxa" w:w="100"/>
              <w:right w:type="dxa" w:w="100"/>
            </w:tcMar>
            <w:vAlign w:val="top"/>
          </w:tcPr>
          <w:p>
            <w:pPr>
              <w:spacing w:after="30" w:before="30" w:line="240"/>
              <w:jc w:val="left"/>
            </w:pPr>
            <w:r>
              <w:rPr>
                <w:rFonts w:ascii="Consolas" w:cs="Consolas" w:eastAsia="Consolas" w:hAnsi="Consolas"/>
                <w:b/>
                <w:bCs/>
                <w:i w:val="false"/>
                <w:iCs w:val="false"/>
                <w:color w:val="B8341A"/>
                <w:sz w:val="16"/>
                <w:szCs w:val="16"/>
              </w:rPr>
              <w:t xml:space="preserve">AI</w:t>
            </w:r>
          </w:p>
        </w:tc>
        <w:tc>
          <w:tcPr>
            <w:tcW w:type="dxa" w:w="1440"/>
            <w:tcMar>
              <w:top w:type="dxa" w:w="100"/>
              <w:left w:type="dxa" w:w="100"/>
              <w:bottom w:type="dxa" w:w="100"/>
              <w:right w:type="dxa" w:w="100"/>
            </w:tcMar>
            <w:vAlign w:val="top"/>
          </w:tcPr>
          <w:p>
            <w:pPr>
              <w:spacing w:after="30" w:before="30" w:line="240"/>
              <w:jc w:val="left"/>
            </w:pPr>
            <w:r>
              <w:rPr>
                <w:rFonts w:ascii="Consolas" w:cs="Consolas" w:eastAsia="Consolas" w:hAnsi="Consolas"/>
                <w:b w:val="false"/>
                <w:bCs w:val="false"/>
                <w:i w:val="false"/>
                <w:iCs w:val="false"/>
                <w:color w:val="141414"/>
                <w:sz w:val="17"/>
                <w:szCs w:val="17"/>
              </w:rPr>
              <w:t xml:space="preserve">2024</w:t>
            </w:r>
          </w:p>
        </w:tc>
        <w:tc>
          <w:tcPr>
            <w:tcW w:type="dxa" w:w="3240"/>
            <w:tcMar>
              <w:top w:type="dxa" w:w="100"/>
              <w:left w:type="dxa" w:w="100"/>
              <w:bottom w:type="dxa" w:w="100"/>
              <w:right w:type="dxa" w:w="100"/>
            </w:tcMar>
            <w:vAlign w:val="top"/>
          </w:tcPr>
          <w:p>
            <w:pPr>
              <w:spacing w:after="30" w:before="30" w:line="240"/>
              <w:jc w:val="left"/>
            </w:pPr>
            <w:r>
              <w:rPr>
                <w:rFonts w:ascii="Georgia" w:cs="Georgia" w:eastAsia="Georgia" w:hAnsi="Georgia"/>
                <w:b/>
                <w:bCs/>
                <w:i w:val="false"/>
                <w:iCs w:val="false"/>
                <w:color w:val="141414"/>
                <w:sz w:val="18"/>
                <w:szCs w:val="18"/>
              </w:rPr>
              <w:t xml:space="preserve">OpenAI o1 — reasoning at inference</w:t>
            </w:r>
          </w:p>
        </w:tc>
        <w:tc>
          <w:tcPr>
            <w:tcW w:type="dxa" w:w="7560"/>
            <w:tcMar>
              <w:top w:type="dxa" w:w="100"/>
              <w:left w:type="dxa" w:w="100"/>
              <w:bottom w:type="dxa" w:w="100"/>
              <w:right w:type="dxa" w:w="100"/>
            </w:tcMar>
            <w:vAlign w:val="top"/>
          </w:tcPr>
          <w:p>
            <w:pPr>
              <w:spacing w:after="30" w:before="30" w:line="240"/>
              <w:jc w:val="left"/>
            </w:pPr>
            <w:r>
              <w:rPr>
                <w:rFonts w:ascii="Georgia" w:cs="Georgia" w:eastAsia="Georgia" w:hAnsi="Georgia"/>
                <w:b w:val="false"/>
                <w:bCs w:val="false"/>
                <w:i w:val="false"/>
                <w:iCs w:val="false"/>
                <w:color w:val="141414"/>
                <w:sz w:val="17"/>
                <w:szCs w:val="17"/>
              </w:rPr>
              <w:t xml:space="preserve">First production model to use inference-time chain-of-thought reasoning at scale. Paradigm shift from pretrained generation toward deliberative reasoning. Followed by Anthropic's extended thinking, DeepSeek-R1, and similar reasoning systems.</w:t>
            </w:r>
          </w:p>
        </w:tc>
      </w:tr>
      <w:tr>
        <w:tc>
          <w:tcPr>
            <w:tcW w:type="dxa" w:w="12960"/>
            <w:gridSpan w:val="4"/>
            <w:shd w:fill="0D6E7D" w:val="clear"/>
            <w:tcMar>
              <w:top w:type="dxa" w:w="60"/>
              <w:left w:type="dxa" w:w="150"/>
              <w:bottom w:type="dxa" w:w="60"/>
              <w:right w:type="dxa" w:w="150"/>
            </w:tcMar>
          </w:tcPr>
          <w:p>
            <w:r>
              <w:rPr>
                <w:rFonts w:ascii="Consolas" w:cs="Consolas" w:eastAsia="Consolas" w:hAnsi="Consolas"/>
                <w:b/>
                <w:bCs/>
                <w:color w:val="FFFFFF"/>
                <w:spacing w:val="40"/>
                <w:sz w:val="20"/>
                <w:szCs w:val="20"/>
              </w:rPr>
              <w:t xml:space="preserve">VIRTUAL REALITY / METAVERSE — 1962 to 2026</w:t>
            </w:r>
          </w:p>
        </w:tc>
      </w:tr>
      <w:tr>
        <w:tc>
          <w:tcPr>
            <w:tcW w:type="dxa" w:w="720"/>
            <w:shd w:fill="E6F1F2" w:val="clear"/>
            <w:tcMar>
              <w:top w:type="dxa" w:w="100"/>
              <w:left w:type="dxa" w:w="100"/>
              <w:bottom w:type="dxa" w:w="100"/>
              <w:right w:type="dxa" w:w="100"/>
            </w:tcMar>
            <w:vAlign w:val="top"/>
          </w:tcPr>
          <w:p>
            <w:pPr>
              <w:spacing w:after="30" w:before="30" w:line="240"/>
              <w:jc w:val="left"/>
            </w:pPr>
            <w:r>
              <w:rPr>
                <w:rFonts w:ascii="Consolas" w:cs="Consolas" w:eastAsia="Consolas" w:hAnsi="Consolas"/>
                <w:b/>
                <w:bCs/>
                <w:i w:val="false"/>
                <w:iCs w:val="false"/>
                <w:color w:val="0D6E7D"/>
                <w:sz w:val="16"/>
                <w:szCs w:val="16"/>
              </w:rPr>
              <w:t xml:space="preserve">VR</w:t>
            </w:r>
          </w:p>
        </w:tc>
        <w:tc>
          <w:tcPr>
            <w:tcW w:type="dxa" w:w="1440"/>
            <w:tcMar>
              <w:top w:type="dxa" w:w="100"/>
              <w:left w:type="dxa" w:w="100"/>
              <w:bottom w:type="dxa" w:w="100"/>
              <w:right w:type="dxa" w:w="100"/>
            </w:tcMar>
            <w:vAlign w:val="top"/>
          </w:tcPr>
          <w:p>
            <w:pPr>
              <w:spacing w:after="30" w:before="30" w:line="240"/>
              <w:jc w:val="left"/>
            </w:pPr>
            <w:r>
              <w:rPr>
                <w:rFonts w:ascii="Consolas" w:cs="Consolas" w:eastAsia="Consolas" w:hAnsi="Consolas"/>
                <w:b w:val="false"/>
                <w:bCs w:val="false"/>
                <w:i w:val="false"/>
                <w:iCs w:val="false"/>
                <w:color w:val="141414"/>
                <w:sz w:val="17"/>
                <w:szCs w:val="17"/>
              </w:rPr>
              <w:t xml:space="preserve">1962</w:t>
            </w:r>
          </w:p>
        </w:tc>
        <w:tc>
          <w:tcPr>
            <w:tcW w:type="dxa" w:w="3240"/>
            <w:tcMar>
              <w:top w:type="dxa" w:w="100"/>
              <w:left w:type="dxa" w:w="100"/>
              <w:bottom w:type="dxa" w:w="100"/>
              <w:right w:type="dxa" w:w="100"/>
            </w:tcMar>
            <w:vAlign w:val="top"/>
          </w:tcPr>
          <w:p>
            <w:pPr>
              <w:spacing w:after="30" w:before="30" w:line="240"/>
              <w:jc w:val="left"/>
            </w:pPr>
            <w:r>
              <w:rPr>
                <w:rFonts w:ascii="Georgia" w:cs="Georgia" w:eastAsia="Georgia" w:hAnsi="Georgia"/>
                <w:b/>
                <w:bCs/>
                <w:i w:val="false"/>
                <w:iCs w:val="false"/>
                <w:color w:val="141414"/>
                <w:sz w:val="18"/>
                <w:szCs w:val="18"/>
              </w:rPr>
              <w:t xml:space="preserve">Heilig — Sensorama</w:t>
            </w:r>
          </w:p>
        </w:tc>
        <w:tc>
          <w:tcPr>
            <w:tcW w:type="dxa" w:w="7560"/>
            <w:tcMar>
              <w:top w:type="dxa" w:w="100"/>
              <w:left w:type="dxa" w:w="100"/>
              <w:bottom w:type="dxa" w:w="100"/>
              <w:right w:type="dxa" w:w="100"/>
            </w:tcMar>
            <w:vAlign w:val="top"/>
          </w:tcPr>
          <w:p>
            <w:pPr>
              <w:spacing w:after="30" w:before="30" w:line="240"/>
              <w:jc w:val="left"/>
            </w:pPr>
            <w:r>
              <w:rPr>
                <w:rFonts w:ascii="Georgia" w:cs="Georgia" w:eastAsia="Georgia" w:hAnsi="Georgia"/>
                <w:b w:val="false"/>
                <w:bCs w:val="false"/>
                <w:i w:val="false"/>
                <w:iCs w:val="false"/>
                <w:color w:val="141414"/>
                <w:sz w:val="17"/>
                <w:szCs w:val="17"/>
              </w:rPr>
              <w:t xml:space="preserve">Morton Heilig's mechanical immersive cabinet. The first multi-sensory machine: stereo 3D film, stereo sound, smell, vibration, wind. Patented but commercial failure — way ahead of the technology base needed to support it.</w:t>
            </w:r>
          </w:p>
        </w:tc>
      </w:tr>
      <w:tr>
        <w:tc>
          <w:tcPr>
            <w:tcW w:type="dxa" w:w="720"/>
            <w:shd w:fill="E6F1F2" w:val="clear"/>
            <w:tcMar>
              <w:top w:type="dxa" w:w="100"/>
              <w:left w:type="dxa" w:w="100"/>
              <w:bottom w:type="dxa" w:w="100"/>
              <w:right w:type="dxa" w:w="100"/>
            </w:tcMar>
            <w:vAlign w:val="top"/>
          </w:tcPr>
          <w:p>
            <w:pPr>
              <w:spacing w:after="30" w:before="30" w:line="240"/>
              <w:jc w:val="left"/>
            </w:pPr>
            <w:r>
              <w:rPr>
                <w:rFonts w:ascii="Consolas" w:cs="Consolas" w:eastAsia="Consolas" w:hAnsi="Consolas"/>
                <w:b/>
                <w:bCs/>
                <w:i w:val="false"/>
                <w:iCs w:val="false"/>
                <w:color w:val="0D6E7D"/>
                <w:sz w:val="16"/>
                <w:szCs w:val="16"/>
              </w:rPr>
              <w:t xml:space="preserve">VR</w:t>
            </w:r>
          </w:p>
        </w:tc>
        <w:tc>
          <w:tcPr>
            <w:tcW w:type="dxa" w:w="1440"/>
            <w:tcMar>
              <w:top w:type="dxa" w:w="100"/>
              <w:left w:type="dxa" w:w="100"/>
              <w:bottom w:type="dxa" w:w="100"/>
              <w:right w:type="dxa" w:w="100"/>
            </w:tcMar>
            <w:vAlign w:val="top"/>
          </w:tcPr>
          <w:p>
            <w:pPr>
              <w:spacing w:after="30" w:before="30" w:line="240"/>
              <w:jc w:val="left"/>
            </w:pPr>
            <w:r>
              <w:rPr>
                <w:rFonts w:ascii="Consolas" w:cs="Consolas" w:eastAsia="Consolas" w:hAnsi="Consolas"/>
                <w:b w:val="false"/>
                <w:bCs w:val="false"/>
                <w:i w:val="false"/>
                <w:iCs w:val="false"/>
                <w:color w:val="141414"/>
                <w:sz w:val="17"/>
                <w:szCs w:val="17"/>
              </w:rPr>
              <w:t xml:space="preserve">1968</w:t>
            </w:r>
          </w:p>
        </w:tc>
        <w:tc>
          <w:tcPr>
            <w:tcW w:type="dxa" w:w="3240"/>
            <w:tcMar>
              <w:top w:type="dxa" w:w="100"/>
              <w:left w:type="dxa" w:w="100"/>
              <w:bottom w:type="dxa" w:w="100"/>
              <w:right w:type="dxa" w:w="100"/>
            </w:tcMar>
            <w:vAlign w:val="top"/>
          </w:tcPr>
          <w:p>
            <w:pPr>
              <w:spacing w:after="30" w:before="30" w:line="240"/>
              <w:jc w:val="left"/>
            </w:pPr>
            <w:r>
              <w:rPr>
                <w:rFonts w:ascii="Georgia" w:cs="Georgia" w:eastAsia="Georgia" w:hAnsi="Georgia"/>
                <w:b/>
                <w:bCs/>
                <w:i w:val="false"/>
                <w:iCs w:val="false"/>
                <w:color w:val="141414"/>
                <w:sz w:val="18"/>
                <w:szCs w:val="18"/>
              </w:rPr>
              <w:t xml:space="preserve">Sutherland — Sword of Damocles</w:t>
            </w:r>
          </w:p>
        </w:tc>
        <w:tc>
          <w:tcPr>
            <w:tcW w:type="dxa" w:w="7560"/>
            <w:tcMar>
              <w:top w:type="dxa" w:w="100"/>
              <w:left w:type="dxa" w:w="100"/>
              <w:bottom w:type="dxa" w:w="100"/>
              <w:right w:type="dxa" w:w="100"/>
            </w:tcMar>
            <w:vAlign w:val="top"/>
          </w:tcPr>
          <w:p>
            <w:pPr>
              <w:spacing w:after="30" w:before="30" w:line="240"/>
              <w:jc w:val="left"/>
            </w:pPr>
            <w:r>
              <w:rPr>
                <w:rFonts w:ascii="Georgia" w:cs="Georgia" w:eastAsia="Georgia" w:hAnsi="Georgia"/>
                <w:b w:val="false"/>
                <w:bCs w:val="false"/>
                <w:i w:val="false"/>
                <w:iCs w:val="false"/>
                <w:color w:val="141414"/>
                <w:sz w:val="17"/>
                <w:szCs w:val="17"/>
              </w:rPr>
              <w:t xml:space="preserve">Ivan Sutherland's tethered head-mounted display at the University of Utah. First HMD with head-tracking and stereoscopic 3D. So heavy it had to be suspended from the ceiling — hence the name. Conceptual foundation of every later HMD.</w:t>
            </w:r>
          </w:p>
        </w:tc>
      </w:tr>
      <w:tr>
        <w:tc>
          <w:tcPr>
            <w:tcW w:type="dxa" w:w="720"/>
            <w:shd w:fill="E6F1F2" w:val="clear"/>
            <w:tcMar>
              <w:top w:type="dxa" w:w="100"/>
              <w:left w:type="dxa" w:w="100"/>
              <w:bottom w:type="dxa" w:w="100"/>
              <w:right w:type="dxa" w:w="100"/>
            </w:tcMar>
            <w:vAlign w:val="top"/>
          </w:tcPr>
          <w:p>
            <w:pPr>
              <w:spacing w:after="30" w:before="30" w:line="240"/>
              <w:jc w:val="left"/>
            </w:pPr>
            <w:r>
              <w:rPr>
                <w:rFonts w:ascii="Consolas" w:cs="Consolas" w:eastAsia="Consolas" w:hAnsi="Consolas"/>
                <w:b/>
                <w:bCs/>
                <w:i w:val="false"/>
                <w:iCs w:val="false"/>
                <w:color w:val="0D6E7D"/>
                <w:sz w:val="16"/>
                <w:szCs w:val="16"/>
              </w:rPr>
              <w:t xml:space="preserve">VR</w:t>
            </w:r>
          </w:p>
        </w:tc>
        <w:tc>
          <w:tcPr>
            <w:tcW w:type="dxa" w:w="1440"/>
            <w:tcMar>
              <w:top w:type="dxa" w:w="100"/>
              <w:left w:type="dxa" w:w="100"/>
              <w:bottom w:type="dxa" w:w="100"/>
              <w:right w:type="dxa" w:w="100"/>
            </w:tcMar>
            <w:vAlign w:val="top"/>
          </w:tcPr>
          <w:p>
            <w:pPr>
              <w:spacing w:after="30" w:before="30" w:line="240"/>
              <w:jc w:val="left"/>
            </w:pPr>
            <w:r>
              <w:rPr>
                <w:rFonts w:ascii="Consolas" w:cs="Consolas" w:eastAsia="Consolas" w:hAnsi="Consolas"/>
                <w:b w:val="false"/>
                <w:bCs w:val="false"/>
                <w:i w:val="false"/>
                <w:iCs w:val="false"/>
                <w:color w:val="141414"/>
                <w:sz w:val="17"/>
                <w:szCs w:val="17"/>
              </w:rPr>
              <w:t xml:space="preserve">1984</w:t>
            </w:r>
          </w:p>
        </w:tc>
        <w:tc>
          <w:tcPr>
            <w:tcW w:type="dxa" w:w="3240"/>
            <w:tcMar>
              <w:top w:type="dxa" w:w="100"/>
              <w:left w:type="dxa" w:w="100"/>
              <w:bottom w:type="dxa" w:w="100"/>
              <w:right w:type="dxa" w:w="100"/>
            </w:tcMar>
            <w:vAlign w:val="top"/>
          </w:tcPr>
          <w:p>
            <w:pPr>
              <w:spacing w:after="30" w:before="30" w:line="240"/>
              <w:jc w:val="left"/>
            </w:pPr>
            <w:r>
              <w:rPr>
                <w:rFonts w:ascii="Georgia" w:cs="Georgia" w:eastAsia="Georgia" w:hAnsi="Georgia"/>
                <w:b/>
                <w:bCs/>
                <w:i w:val="false"/>
                <w:iCs w:val="false"/>
                <w:color w:val="141414"/>
                <w:sz w:val="18"/>
                <w:szCs w:val="18"/>
              </w:rPr>
              <w:t xml:space="preserve">Lanier — VPL Research founded</w:t>
            </w:r>
          </w:p>
        </w:tc>
        <w:tc>
          <w:tcPr>
            <w:tcW w:type="dxa" w:w="7560"/>
            <w:tcMar>
              <w:top w:type="dxa" w:w="100"/>
              <w:left w:type="dxa" w:w="100"/>
              <w:bottom w:type="dxa" w:w="100"/>
              <w:right w:type="dxa" w:w="100"/>
            </w:tcMar>
            <w:vAlign w:val="top"/>
          </w:tcPr>
          <w:p>
            <w:pPr>
              <w:spacing w:after="30" w:before="30" w:line="240"/>
              <w:jc w:val="left"/>
            </w:pPr>
            <w:r>
              <w:rPr>
                <w:rFonts w:ascii="Georgia" w:cs="Georgia" w:eastAsia="Georgia" w:hAnsi="Georgia"/>
                <w:b w:val="false"/>
                <w:bCs w:val="false"/>
                <w:i w:val="false"/>
                <w:iCs w:val="false"/>
                <w:color w:val="141414"/>
                <w:sz w:val="17"/>
                <w:szCs w:val="17"/>
              </w:rPr>
              <w:t xml:space="preserve">Jaron Lanier founds VPL Research. First commercial VR company. Lanier coins 'virtual reality' as a marketing term to bundle the EyePhone, DataGlove, and DataSuit into a sellable concept.</w:t>
            </w:r>
          </w:p>
        </w:tc>
      </w:tr>
      <w:tr>
        <w:tc>
          <w:tcPr>
            <w:tcW w:type="dxa" w:w="720"/>
            <w:shd w:fill="E6F1F2" w:val="clear"/>
            <w:tcMar>
              <w:top w:type="dxa" w:w="100"/>
              <w:left w:type="dxa" w:w="100"/>
              <w:bottom w:type="dxa" w:w="100"/>
              <w:right w:type="dxa" w:w="100"/>
            </w:tcMar>
            <w:vAlign w:val="top"/>
          </w:tcPr>
          <w:p>
            <w:pPr>
              <w:spacing w:after="30" w:before="30" w:line="240"/>
              <w:jc w:val="left"/>
            </w:pPr>
            <w:r>
              <w:rPr>
                <w:rFonts w:ascii="Consolas" w:cs="Consolas" w:eastAsia="Consolas" w:hAnsi="Consolas"/>
                <w:b/>
                <w:bCs/>
                <w:i w:val="false"/>
                <w:iCs w:val="false"/>
                <w:color w:val="0D6E7D"/>
                <w:sz w:val="16"/>
                <w:szCs w:val="16"/>
              </w:rPr>
              <w:t xml:space="preserve">VR</w:t>
            </w:r>
          </w:p>
        </w:tc>
        <w:tc>
          <w:tcPr>
            <w:tcW w:type="dxa" w:w="1440"/>
            <w:tcMar>
              <w:top w:type="dxa" w:w="100"/>
              <w:left w:type="dxa" w:w="100"/>
              <w:bottom w:type="dxa" w:w="100"/>
              <w:right w:type="dxa" w:w="100"/>
            </w:tcMar>
            <w:vAlign w:val="top"/>
          </w:tcPr>
          <w:p>
            <w:pPr>
              <w:spacing w:after="30" w:before="30" w:line="240"/>
              <w:jc w:val="left"/>
            </w:pPr>
            <w:r>
              <w:rPr>
                <w:rFonts w:ascii="Consolas" w:cs="Consolas" w:eastAsia="Consolas" w:hAnsi="Consolas"/>
                <w:b w:val="false"/>
                <w:bCs w:val="false"/>
                <w:i w:val="false"/>
                <w:iCs w:val="false"/>
                <w:color w:val="141414"/>
                <w:sz w:val="17"/>
                <w:szCs w:val="17"/>
              </w:rPr>
              <w:t xml:space="preserve">1989</w:t>
            </w:r>
          </w:p>
        </w:tc>
        <w:tc>
          <w:tcPr>
            <w:tcW w:type="dxa" w:w="3240"/>
            <w:tcMar>
              <w:top w:type="dxa" w:w="100"/>
              <w:left w:type="dxa" w:w="100"/>
              <w:bottom w:type="dxa" w:w="100"/>
              <w:right w:type="dxa" w:w="100"/>
            </w:tcMar>
            <w:vAlign w:val="top"/>
          </w:tcPr>
          <w:p>
            <w:pPr>
              <w:spacing w:after="30" w:before="30" w:line="240"/>
              <w:jc w:val="left"/>
            </w:pPr>
            <w:r>
              <w:rPr>
                <w:rFonts w:ascii="Georgia" w:cs="Georgia" w:eastAsia="Georgia" w:hAnsi="Georgia"/>
                <w:b/>
                <w:bCs/>
                <w:i w:val="false"/>
                <w:iCs w:val="false"/>
                <w:color w:val="141414"/>
                <w:sz w:val="18"/>
                <w:szCs w:val="18"/>
              </w:rPr>
              <w:t xml:space="preserve">VPL — EyePhone &amp; DataGlove ship</w:t>
            </w:r>
          </w:p>
        </w:tc>
        <w:tc>
          <w:tcPr>
            <w:tcW w:type="dxa" w:w="7560"/>
            <w:tcMar>
              <w:top w:type="dxa" w:w="100"/>
              <w:left w:type="dxa" w:w="100"/>
              <w:bottom w:type="dxa" w:w="100"/>
              <w:right w:type="dxa" w:w="100"/>
            </w:tcMar>
            <w:vAlign w:val="top"/>
          </w:tcPr>
          <w:p>
            <w:pPr>
              <w:spacing w:after="30" w:before="30" w:line="240"/>
              <w:jc w:val="left"/>
            </w:pPr>
            <w:r>
              <w:rPr>
                <w:rFonts w:ascii="Georgia" w:cs="Georgia" w:eastAsia="Georgia" w:hAnsi="Georgia"/>
                <w:b w:val="false"/>
                <w:bCs w:val="false"/>
                <w:i w:val="false"/>
                <w:iCs w:val="false"/>
                <w:color w:val="141414"/>
                <w:sz w:val="17"/>
                <w:szCs w:val="17"/>
              </w:rPr>
              <w:t xml:space="preserve">VPL's commercial VR products: EyePhone HMD ($9,400–$49,000) and DataGlove ($8,800). Hopelessly expensive for any market beyond research labs and high-end industrial — but seeded a generation of VR researchers and shaped the 1990s aesthetic.</w:t>
            </w:r>
          </w:p>
        </w:tc>
      </w:tr>
      <w:tr>
        <w:tc>
          <w:tcPr>
            <w:tcW w:type="dxa" w:w="720"/>
            <w:shd w:fill="E6F1F2" w:val="clear"/>
            <w:tcMar>
              <w:top w:type="dxa" w:w="100"/>
              <w:left w:type="dxa" w:w="100"/>
              <w:bottom w:type="dxa" w:w="100"/>
              <w:right w:type="dxa" w:w="100"/>
            </w:tcMar>
            <w:vAlign w:val="top"/>
          </w:tcPr>
          <w:p>
            <w:pPr>
              <w:spacing w:after="30" w:before="30" w:line="240"/>
              <w:jc w:val="left"/>
            </w:pPr>
            <w:r>
              <w:rPr>
                <w:rFonts w:ascii="Consolas" w:cs="Consolas" w:eastAsia="Consolas" w:hAnsi="Consolas"/>
                <w:b/>
                <w:bCs/>
                <w:i w:val="false"/>
                <w:iCs w:val="false"/>
                <w:color w:val="0D6E7D"/>
                <w:sz w:val="16"/>
                <w:szCs w:val="16"/>
              </w:rPr>
              <w:t xml:space="preserve">VR</w:t>
            </w:r>
          </w:p>
        </w:tc>
        <w:tc>
          <w:tcPr>
            <w:tcW w:type="dxa" w:w="1440"/>
            <w:tcMar>
              <w:top w:type="dxa" w:w="100"/>
              <w:left w:type="dxa" w:w="100"/>
              <w:bottom w:type="dxa" w:w="100"/>
              <w:right w:type="dxa" w:w="100"/>
            </w:tcMar>
            <w:vAlign w:val="top"/>
          </w:tcPr>
          <w:p>
            <w:pPr>
              <w:spacing w:after="30" w:before="30" w:line="240"/>
              <w:jc w:val="left"/>
            </w:pPr>
            <w:r>
              <w:rPr>
                <w:rFonts w:ascii="Consolas" w:cs="Consolas" w:eastAsia="Consolas" w:hAnsi="Consolas"/>
                <w:b w:val="false"/>
                <w:bCs w:val="false"/>
                <w:i w:val="false"/>
                <w:iCs w:val="false"/>
                <w:color w:val="141414"/>
                <w:sz w:val="17"/>
                <w:szCs w:val="17"/>
              </w:rPr>
              <w:t xml:space="preserve">1992</w:t>
            </w:r>
          </w:p>
        </w:tc>
        <w:tc>
          <w:tcPr>
            <w:tcW w:type="dxa" w:w="3240"/>
            <w:tcMar>
              <w:top w:type="dxa" w:w="100"/>
              <w:left w:type="dxa" w:w="100"/>
              <w:bottom w:type="dxa" w:w="100"/>
              <w:right w:type="dxa" w:w="100"/>
            </w:tcMar>
            <w:vAlign w:val="top"/>
          </w:tcPr>
          <w:p>
            <w:pPr>
              <w:spacing w:after="30" w:before="30" w:line="240"/>
              <w:jc w:val="left"/>
            </w:pPr>
            <w:r>
              <w:rPr>
                <w:rFonts w:ascii="Georgia" w:cs="Georgia" w:eastAsia="Georgia" w:hAnsi="Georgia"/>
                <w:b/>
                <w:bCs/>
                <w:i w:val="false"/>
                <w:iCs w:val="false"/>
                <w:color w:val="141414"/>
                <w:sz w:val="18"/>
                <w:szCs w:val="18"/>
              </w:rPr>
              <w:t xml:space="preserve">Stephenson — Snow Crash</w:t>
            </w:r>
          </w:p>
        </w:tc>
        <w:tc>
          <w:tcPr>
            <w:tcW w:type="dxa" w:w="7560"/>
            <w:tcMar>
              <w:top w:type="dxa" w:w="100"/>
              <w:left w:type="dxa" w:w="100"/>
              <w:bottom w:type="dxa" w:w="100"/>
              <w:right w:type="dxa" w:w="100"/>
            </w:tcMar>
            <w:vAlign w:val="top"/>
          </w:tcPr>
          <w:p>
            <w:pPr>
              <w:spacing w:after="30" w:before="30" w:line="240"/>
              <w:jc w:val="left"/>
            </w:pPr>
            <w:r>
              <w:rPr>
                <w:rFonts w:ascii="Georgia" w:cs="Georgia" w:eastAsia="Georgia" w:hAnsi="Georgia"/>
                <w:b w:val="false"/>
                <w:bCs w:val="false"/>
                <w:i w:val="false"/>
                <w:iCs w:val="false"/>
                <w:color w:val="141414"/>
                <w:sz w:val="17"/>
                <w:szCs w:val="17"/>
              </w:rPr>
              <w:t xml:space="preserve">Neal Stephenson's novel introduces 'metaverse' to the language — a shared virtual space accessed via avatars. Released the same year as the film The Lawnmower Man. Cultural peak of the first VR hype cycle. Every subsequent metaverse pitch is, consciously or not, descended from this book.</w:t>
            </w:r>
          </w:p>
        </w:tc>
      </w:tr>
      <w:tr>
        <w:tc>
          <w:tcPr>
            <w:tcW w:type="dxa" w:w="720"/>
            <w:shd w:fill="E6F1F2" w:val="clear"/>
            <w:tcMar>
              <w:top w:type="dxa" w:w="100"/>
              <w:left w:type="dxa" w:w="100"/>
              <w:bottom w:type="dxa" w:w="100"/>
              <w:right w:type="dxa" w:w="100"/>
            </w:tcMar>
            <w:vAlign w:val="top"/>
          </w:tcPr>
          <w:p>
            <w:pPr>
              <w:spacing w:after="30" w:before="30" w:line="240"/>
              <w:jc w:val="left"/>
            </w:pPr>
            <w:r>
              <w:rPr>
                <w:rFonts w:ascii="Consolas" w:cs="Consolas" w:eastAsia="Consolas" w:hAnsi="Consolas"/>
                <w:b/>
                <w:bCs/>
                <w:i w:val="false"/>
                <w:iCs w:val="false"/>
                <w:color w:val="0D6E7D"/>
                <w:sz w:val="16"/>
                <w:szCs w:val="16"/>
              </w:rPr>
              <w:t xml:space="preserve">VR</w:t>
            </w:r>
          </w:p>
        </w:tc>
        <w:tc>
          <w:tcPr>
            <w:tcW w:type="dxa" w:w="1440"/>
            <w:tcMar>
              <w:top w:type="dxa" w:w="100"/>
              <w:left w:type="dxa" w:w="100"/>
              <w:bottom w:type="dxa" w:w="100"/>
              <w:right w:type="dxa" w:w="100"/>
            </w:tcMar>
            <w:vAlign w:val="top"/>
          </w:tcPr>
          <w:p>
            <w:pPr>
              <w:spacing w:after="30" w:before="30" w:line="240"/>
              <w:jc w:val="left"/>
            </w:pPr>
            <w:r>
              <w:rPr>
                <w:rFonts w:ascii="Consolas" w:cs="Consolas" w:eastAsia="Consolas" w:hAnsi="Consolas"/>
                <w:b w:val="false"/>
                <w:bCs w:val="false"/>
                <w:i w:val="false"/>
                <w:iCs w:val="false"/>
                <w:color w:val="141414"/>
                <w:sz w:val="17"/>
                <w:szCs w:val="17"/>
              </w:rPr>
              <w:t xml:space="preserve">1995</w:t>
            </w:r>
          </w:p>
        </w:tc>
        <w:tc>
          <w:tcPr>
            <w:tcW w:type="dxa" w:w="3240"/>
            <w:tcMar>
              <w:top w:type="dxa" w:w="100"/>
              <w:left w:type="dxa" w:w="100"/>
              <w:bottom w:type="dxa" w:w="100"/>
              <w:right w:type="dxa" w:w="100"/>
            </w:tcMar>
            <w:vAlign w:val="top"/>
          </w:tcPr>
          <w:p>
            <w:pPr>
              <w:spacing w:after="30" w:before="30" w:line="240"/>
              <w:jc w:val="left"/>
            </w:pPr>
            <w:r>
              <w:rPr>
                <w:rFonts w:ascii="Georgia" w:cs="Georgia" w:eastAsia="Georgia" w:hAnsi="Georgia"/>
                <w:b/>
                <w:bCs/>
                <w:i w:val="false"/>
                <w:iCs w:val="false"/>
                <w:color w:val="141414"/>
                <w:sz w:val="18"/>
                <w:szCs w:val="18"/>
              </w:rPr>
              <w:t xml:space="preserve">Nintendo — Virtual Boy flops</w:t>
            </w:r>
          </w:p>
        </w:tc>
        <w:tc>
          <w:tcPr>
            <w:tcW w:type="dxa" w:w="7560"/>
            <w:tcMar>
              <w:top w:type="dxa" w:w="100"/>
              <w:left w:type="dxa" w:w="100"/>
              <w:bottom w:type="dxa" w:w="100"/>
              <w:right w:type="dxa" w:w="100"/>
            </w:tcMar>
            <w:vAlign w:val="top"/>
          </w:tcPr>
          <w:p>
            <w:pPr>
              <w:spacing w:after="30" w:before="30" w:line="240"/>
              <w:jc w:val="left"/>
            </w:pPr>
            <w:r>
              <w:rPr>
                <w:rFonts w:ascii="Georgia" w:cs="Georgia" w:eastAsia="Georgia" w:hAnsi="Georgia"/>
                <w:b w:val="false"/>
                <w:bCs w:val="false"/>
                <w:i w:val="false"/>
                <w:iCs w:val="false"/>
                <w:color w:val="141414"/>
                <w:sz w:val="17"/>
                <w:szCs w:val="17"/>
              </w:rPr>
              <w:t xml:space="preserve">Nintendo's stereoscopic VR console. Red-on-black monochrome display, induced headaches and nausea, no head-tracking. Commercial flop; discontinued in 1996. Became the canonical artefact of why VR couldn't deliver in the 1990s — the silicon and optics simply weren't ready.</w:t>
            </w:r>
          </w:p>
        </w:tc>
      </w:tr>
      <w:tr>
        <w:tc>
          <w:tcPr>
            <w:tcW w:type="dxa" w:w="720"/>
            <w:shd w:fill="E6F1F2" w:val="clear"/>
            <w:tcMar>
              <w:top w:type="dxa" w:w="100"/>
              <w:left w:type="dxa" w:w="100"/>
              <w:bottom w:type="dxa" w:w="100"/>
              <w:right w:type="dxa" w:w="100"/>
            </w:tcMar>
            <w:vAlign w:val="top"/>
          </w:tcPr>
          <w:p>
            <w:pPr>
              <w:spacing w:after="30" w:before="30" w:line="240"/>
              <w:jc w:val="left"/>
            </w:pPr>
            <w:r>
              <w:rPr>
                <w:rFonts w:ascii="Consolas" w:cs="Consolas" w:eastAsia="Consolas" w:hAnsi="Consolas"/>
                <w:b/>
                <w:bCs/>
                <w:i w:val="false"/>
                <w:iCs w:val="false"/>
                <w:color w:val="0D6E7D"/>
                <w:sz w:val="16"/>
                <w:szCs w:val="16"/>
              </w:rPr>
              <w:t xml:space="preserve">VR</w:t>
            </w:r>
          </w:p>
        </w:tc>
        <w:tc>
          <w:tcPr>
            <w:tcW w:type="dxa" w:w="1440"/>
            <w:tcMar>
              <w:top w:type="dxa" w:w="100"/>
              <w:left w:type="dxa" w:w="100"/>
              <w:bottom w:type="dxa" w:w="100"/>
              <w:right w:type="dxa" w:w="100"/>
            </w:tcMar>
            <w:vAlign w:val="top"/>
          </w:tcPr>
          <w:p>
            <w:pPr>
              <w:spacing w:after="30" w:before="30" w:line="240"/>
              <w:jc w:val="left"/>
            </w:pPr>
            <w:r>
              <w:rPr>
                <w:rFonts w:ascii="Consolas" w:cs="Consolas" w:eastAsia="Consolas" w:hAnsi="Consolas"/>
                <w:b w:val="false"/>
                <w:bCs w:val="false"/>
                <w:i w:val="false"/>
                <w:iCs w:val="false"/>
                <w:color w:val="141414"/>
                <w:sz w:val="17"/>
                <w:szCs w:val="17"/>
              </w:rPr>
              <w:t xml:space="preserve">1999</w:t>
            </w:r>
          </w:p>
        </w:tc>
        <w:tc>
          <w:tcPr>
            <w:tcW w:type="dxa" w:w="3240"/>
            <w:tcMar>
              <w:top w:type="dxa" w:w="100"/>
              <w:left w:type="dxa" w:w="100"/>
              <w:bottom w:type="dxa" w:w="100"/>
              <w:right w:type="dxa" w:w="100"/>
            </w:tcMar>
            <w:vAlign w:val="top"/>
          </w:tcPr>
          <w:p>
            <w:pPr>
              <w:spacing w:after="30" w:before="30" w:line="240"/>
              <w:jc w:val="left"/>
            </w:pPr>
            <w:r>
              <w:rPr>
                <w:rFonts w:ascii="Georgia" w:cs="Georgia" w:eastAsia="Georgia" w:hAnsi="Georgia"/>
                <w:b/>
                <w:bCs/>
                <w:i w:val="false"/>
                <w:iCs w:val="false"/>
                <w:color w:val="141414"/>
                <w:sz w:val="18"/>
                <w:szCs w:val="18"/>
              </w:rPr>
              <w:t xml:space="preserve">Sun acquires VPL patents</w:t>
            </w:r>
          </w:p>
        </w:tc>
        <w:tc>
          <w:tcPr>
            <w:tcW w:type="dxa" w:w="7560"/>
            <w:tcMar>
              <w:top w:type="dxa" w:w="100"/>
              <w:left w:type="dxa" w:w="100"/>
              <w:bottom w:type="dxa" w:w="100"/>
              <w:right w:type="dxa" w:w="100"/>
            </w:tcMar>
            <w:vAlign w:val="top"/>
          </w:tcPr>
          <w:p>
            <w:pPr>
              <w:spacing w:after="30" w:before="30" w:line="240"/>
              <w:jc w:val="left"/>
            </w:pPr>
            <w:r>
              <w:rPr>
                <w:rFonts w:ascii="Georgia" w:cs="Georgia" w:eastAsia="Georgia" w:hAnsi="Georgia"/>
                <w:b w:val="false"/>
                <w:bCs w:val="false"/>
                <w:i w:val="false"/>
                <w:iCs w:val="false"/>
                <w:color w:val="141414"/>
                <w:sz w:val="17"/>
                <w:szCs w:val="17"/>
              </w:rPr>
              <w:t xml:space="preserve">Sun Microsystems acquires VPL Research's patent portfolio after VPL's bankruptcy. Symbolic end of the first commercial VR era. The patents largely sit dormant for a decade.</w:t>
            </w:r>
          </w:p>
        </w:tc>
      </w:tr>
      <w:tr>
        <w:tc>
          <w:tcPr>
            <w:tcW w:type="dxa" w:w="720"/>
            <w:shd w:fill="E6F1F2" w:val="clear"/>
            <w:tcMar>
              <w:top w:type="dxa" w:w="100"/>
              <w:left w:type="dxa" w:w="100"/>
              <w:bottom w:type="dxa" w:w="100"/>
              <w:right w:type="dxa" w:w="100"/>
            </w:tcMar>
            <w:vAlign w:val="top"/>
          </w:tcPr>
          <w:p>
            <w:pPr>
              <w:spacing w:after="30" w:before="30" w:line="240"/>
              <w:jc w:val="left"/>
            </w:pPr>
            <w:r>
              <w:rPr>
                <w:rFonts w:ascii="Consolas" w:cs="Consolas" w:eastAsia="Consolas" w:hAnsi="Consolas"/>
                <w:b/>
                <w:bCs/>
                <w:i w:val="false"/>
                <w:iCs w:val="false"/>
                <w:color w:val="0D6E7D"/>
                <w:sz w:val="16"/>
                <w:szCs w:val="16"/>
              </w:rPr>
              <w:t xml:space="preserve">VR</w:t>
            </w:r>
          </w:p>
        </w:tc>
        <w:tc>
          <w:tcPr>
            <w:tcW w:type="dxa" w:w="1440"/>
            <w:tcMar>
              <w:top w:type="dxa" w:w="100"/>
              <w:left w:type="dxa" w:w="100"/>
              <w:bottom w:type="dxa" w:w="100"/>
              <w:right w:type="dxa" w:w="100"/>
            </w:tcMar>
            <w:vAlign w:val="top"/>
          </w:tcPr>
          <w:p>
            <w:pPr>
              <w:spacing w:after="30" w:before="30" w:line="240"/>
              <w:jc w:val="left"/>
            </w:pPr>
            <w:r>
              <w:rPr>
                <w:rFonts w:ascii="Consolas" w:cs="Consolas" w:eastAsia="Consolas" w:hAnsi="Consolas"/>
                <w:b w:val="false"/>
                <w:bCs w:val="false"/>
                <w:i w:val="false"/>
                <w:iCs w:val="false"/>
                <w:color w:val="141414"/>
                <w:sz w:val="17"/>
                <w:szCs w:val="17"/>
              </w:rPr>
              <w:t xml:space="preserve">2003</w:t>
            </w:r>
          </w:p>
        </w:tc>
        <w:tc>
          <w:tcPr>
            <w:tcW w:type="dxa" w:w="3240"/>
            <w:tcMar>
              <w:top w:type="dxa" w:w="100"/>
              <w:left w:type="dxa" w:w="100"/>
              <w:bottom w:type="dxa" w:w="100"/>
              <w:right w:type="dxa" w:w="100"/>
            </w:tcMar>
            <w:vAlign w:val="top"/>
          </w:tcPr>
          <w:p>
            <w:pPr>
              <w:spacing w:after="30" w:before="30" w:line="240"/>
              <w:jc w:val="left"/>
            </w:pPr>
            <w:r>
              <w:rPr>
                <w:rFonts w:ascii="Georgia" w:cs="Georgia" w:eastAsia="Georgia" w:hAnsi="Georgia"/>
                <w:b/>
                <w:bCs/>
                <w:i w:val="false"/>
                <w:iCs w:val="false"/>
                <w:color w:val="141414"/>
                <w:sz w:val="18"/>
                <w:szCs w:val="18"/>
              </w:rPr>
              <w:t xml:space="preserve">Linden Lab — Second Life</w:t>
            </w:r>
          </w:p>
        </w:tc>
        <w:tc>
          <w:tcPr>
            <w:tcW w:type="dxa" w:w="7560"/>
            <w:tcMar>
              <w:top w:type="dxa" w:w="100"/>
              <w:left w:type="dxa" w:w="100"/>
              <w:bottom w:type="dxa" w:w="100"/>
              <w:right w:type="dxa" w:w="100"/>
            </w:tcMar>
            <w:vAlign w:val="top"/>
          </w:tcPr>
          <w:p>
            <w:pPr>
              <w:spacing w:after="30" w:before="30" w:line="240"/>
              <w:jc w:val="left"/>
            </w:pPr>
            <w:r>
              <w:rPr>
                <w:rFonts w:ascii="Georgia" w:cs="Georgia" w:eastAsia="Georgia" w:hAnsi="Georgia"/>
                <w:b w:val="false"/>
                <w:bCs w:val="false"/>
                <w:i w:val="false"/>
                <w:iCs w:val="false"/>
                <w:color w:val="141414"/>
                <w:sz w:val="17"/>
                <w:szCs w:val="17"/>
              </w:rPr>
              <w:t xml:space="preserve">Linden Lab's screen-based virtual world (no HMD). Reaches ~1M active users by 2007. Not VR proper, but the metaverse-precursor concept proven at consumer scale — and the ancestor of every later social-virtual-world pitch.</w:t>
            </w:r>
          </w:p>
        </w:tc>
      </w:tr>
      <w:tr>
        <w:tc>
          <w:tcPr>
            <w:tcW w:type="dxa" w:w="720"/>
            <w:shd w:fill="E6F1F2" w:val="clear"/>
            <w:tcMar>
              <w:top w:type="dxa" w:w="100"/>
              <w:left w:type="dxa" w:w="100"/>
              <w:bottom w:type="dxa" w:w="100"/>
              <w:right w:type="dxa" w:w="100"/>
            </w:tcMar>
            <w:vAlign w:val="top"/>
          </w:tcPr>
          <w:p>
            <w:pPr>
              <w:spacing w:after="30" w:before="30" w:line="240"/>
              <w:jc w:val="left"/>
            </w:pPr>
            <w:r>
              <w:rPr>
                <w:rFonts w:ascii="Consolas" w:cs="Consolas" w:eastAsia="Consolas" w:hAnsi="Consolas"/>
                <w:b/>
                <w:bCs/>
                <w:i w:val="false"/>
                <w:iCs w:val="false"/>
                <w:color w:val="0D6E7D"/>
                <w:sz w:val="16"/>
                <w:szCs w:val="16"/>
              </w:rPr>
              <w:t xml:space="preserve">VR</w:t>
            </w:r>
          </w:p>
        </w:tc>
        <w:tc>
          <w:tcPr>
            <w:tcW w:type="dxa" w:w="1440"/>
            <w:tcMar>
              <w:top w:type="dxa" w:w="100"/>
              <w:left w:type="dxa" w:w="100"/>
              <w:bottom w:type="dxa" w:w="100"/>
              <w:right w:type="dxa" w:w="100"/>
            </w:tcMar>
            <w:vAlign w:val="top"/>
          </w:tcPr>
          <w:p>
            <w:pPr>
              <w:spacing w:after="30" w:before="30" w:line="240"/>
              <w:jc w:val="left"/>
            </w:pPr>
            <w:r>
              <w:rPr>
                <w:rFonts w:ascii="Consolas" w:cs="Consolas" w:eastAsia="Consolas" w:hAnsi="Consolas"/>
                <w:b w:val="false"/>
                <w:bCs w:val="false"/>
                <w:i w:val="false"/>
                <w:iCs w:val="false"/>
                <w:color w:val="141414"/>
                <w:sz w:val="17"/>
                <w:szCs w:val="17"/>
              </w:rPr>
              <w:t xml:space="preserve">Aug 2012</w:t>
            </w:r>
          </w:p>
        </w:tc>
        <w:tc>
          <w:tcPr>
            <w:tcW w:type="dxa" w:w="3240"/>
            <w:tcMar>
              <w:top w:type="dxa" w:w="100"/>
              <w:left w:type="dxa" w:w="100"/>
              <w:bottom w:type="dxa" w:w="100"/>
              <w:right w:type="dxa" w:w="100"/>
            </w:tcMar>
            <w:vAlign w:val="top"/>
          </w:tcPr>
          <w:p>
            <w:pPr>
              <w:spacing w:after="30" w:before="30" w:line="240"/>
              <w:jc w:val="left"/>
            </w:pPr>
            <w:r>
              <w:rPr>
                <w:rFonts w:ascii="Georgia" w:cs="Georgia" w:eastAsia="Georgia" w:hAnsi="Georgia"/>
                <w:b/>
                <w:bCs/>
                <w:i w:val="false"/>
                <w:iCs w:val="false"/>
                <w:color w:val="141414"/>
                <w:sz w:val="18"/>
                <w:szCs w:val="18"/>
              </w:rPr>
              <w:t xml:space="preserve">Luckey — Oculus Rift Kickstarter</w:t>
            </w:r>
          </w:p>
        </w:tc>
        <w:tc>
          <w:tcPr>
            <w:tcW w:type="dxa" w:w="7560"/>
            <w:tcMar>
              <w:top w:type="dxa" w:w="100"/>
              <w:left w:type="dxa" w:w="100"/>
              <w:bottom w:type="dxa" w:w="100"/>
              <w:right w:type="dxa" w:w="100"/>
            </w:tcMar>
            <w:vAlign w:val="top"/>
          </w:tcPr>
          <w:p>
            <w:pPr>
              <w:spacing w:after="30" w:before="30" w:line="240"/>
              <w:jc w:val="left"/>
            </w:pPr>
            <w:r>
              <w:rPr>
                <w:rFonts w:ascii="Georgia" w:cs="Georgia" w:eastAsia="Georgia" w:hAnsi="Georgia"/>
                <w:b w:val="false"/>
                <w:bCs w:val="false"/>
                <w:i w:val="false"/>
                <w:iCs w:val="false"/>
                <w:color w:val="141414"/>
                <w:sz w:val="17"/>
                <w:szCs w:val="17"/>
              </w:rPr>
              <w:t xml:space="preserve">Palmer Luckey's Kickstarter campaign raises $2.4M (10× goal). Built on commodity smartphone displays and IMUs — the same hardware wave powering AlexNet a few months later. Reignites VR after a 15-year hiatus. THE ignition event for the second VR era.</w:t>
            </w:r>
          </w:p>
        </w:tc>
      </w:tr>
      <w:tr>
        <w:tc>
          <w:tcPr>
            <w:tcW w:type="dxa" w:w="720"/>
            <w:shd w:fill="E6F1F2" w:val="clear"/>
            <w:tcMar>
              <w:top w:type="dxa" w:w="100"/>
              <w:left w:type="dxa" w:w="100"/>
              <w:bottom w:type="dxa" w:w="100"/>
              <w:right w:type="dxa" w:w="100"/>
            </w:tcMar>
            <w:vAlign w:val="top"/>
          </w:tcPr>
          <w:p>
            <w:pPr>
              <w:spacing w:after="30" w:before="30" w:line="240"/>
              <w:jc w:val="left"/>
            </w:pPr>
            <w:r>
              <w:rPr>
                <w:rFonts w:ascii="Consolas" w:cs="Consolas" w:eastAsia="Consolas" w:hAnsi="Consolas"/>
                <w:b/>
                <w:bCs/>
                <w:i w:val="false"/>
                <w:iCs w:val="false"/>
                <w:color w:val="0D6E7D"/>
                <w:sz w:val="16"/>
                <w:szCs w:val="16"/>
              </w:rPr>
              <w:t xml:space="preserve">VR</w:t>
            </w:r>
          </w:p>
        </w:tc>
        <w:tc>
          <w:tcPr>
            <w:tcW w:type="dxa" w:w="1440"/>
            <w:tcMar>
              <w:top w:type="dxa" w:w="100"/>
              <w:left w:type="dxa" w:w="100"/>
              <w:bottom w:type="dxa" w:w="100"/>
              <w:right w:type="dxa" w:w="100"/>
            </w:tcMar>
            <w:vAlign w:val="top"/>
          </w:tcPr>
          <w:p>
            <w:pPr>
              <w:spacing w:after="30" w:before="30" w:line="240"/>
              <w:jc w:val="left"/>
            </w:pPr>
            <w:r>
              <w:rPr>
                <w:rFonts w:ascii="Consolas" w:cs="Consolas" w:eastAsia="Consolas" w:hAnsi="Consolas"/>
                <w:b w:val="false"/>
                <w:bCs w:val="false"/>
                <w:i w:val="false"/>
                <w:iCs w:val="false"/>
                <w:color w:val="141414"/>
                <w:sz w:val="17"/>
                <w:szCs w:val="17"/>
              </w:rPr>
              <w:t xml:space="preserve">Mar 2014</w:t>
            </w:r>
          </w:p>
        </w:tc>
        <w:tc>
          <w:tcPr>
            <w:tcW w:type="dxa" w:w="3240"/>
            <w:tcMar>
              <w:top w:type="dxa" w:w="100"/>
              <w:left w:type="dxa" w:w="100"/>
              <w:bottom w:type="dxa" w:w="100"/>
              <w:right w:type="dxa" w:w="100"/>
            </w:tcMar>
            <w:vAlign w:val="top"/>
          </w:tcPr>
          <w:p>
            <w:pPr>
              <w:spacing w:after="30" w:before="30" w:line="240"/>
              <w:jc w:val="left"/>
            </w:pPr>
            <w:r>
              <w:rPr>
                <w:rFonts w:ascii="Georgia" w:cs="Georgia" w:eastAsia="Georgia" w:hAnsi="Georgia"/>
                <w:b/>
                <w:bCs/>
                <w:i w:val="false"/>
                <w:iCs w:val="false"/>
                <w:color w:val="141414"/>
                <w:sz w:val="18"/>
                <w:szCs w:val="18"/>
              </w:rPr>
              <w:t xml:space="preserve">Facebook acquires Oculus</w:t>
            </w:r>
          </w:p>
        </w:tc>
        <w:tc>
          <w:tcPr>
            <w:tcW w:type="dxa" w:w="7560"/>
            <w:tcMar>
              <w:top w:type="dxa" w:w="100"/>
              <w:left w:type="dxa" w:w="100"/>
              <w:bottom w:type="dxa" w:w="100"/>
              <w:right w:type="dxa" w:w="100"/>
            </w:tcMar>
            <w:vAlign w:val="top"/>
          </w:tcPr>
          <w:p>
            <w:pPr>
              <w:spacing w:after="30" w:before="30" w:line="240"/>
              <w:jc w:val="left"/>
            </w:pPr>
            <w:r>
              <w:rPr>
                <w:rFonts w:ascii="Georgia" w:cs="Georgia" w:eastAsia="Georgia" w:hAnsi="Georgia"/>
                <w:b w:val="false"/>
                <w:bCs w:val="false"/>
                <w:i w:val="false"/>
                <w:iCs w:val="false"/>
                <w:color w:val="141414"/>
                <w:sz w:val="17"/>
                <w:szCs w:val="17"/>
              </w:rPr>
              <w:t xml:space="preserve">Facebook acquires Oculus VR for $2 billion. Zuckerberg's seven-year bet on VR as the next computing platform. Foreshadows the 2021 Meta rebrand — and same year Google acquires DeepMind, parallel bets across both fields.</w:t>
            </w:r>
          </w:p>
        </w:tc>
      </w:tr>
      <w:tr>
        <w:tc>
          <w:tcPr>
            <w:tcW w:type="dxa" w:w="720"/>
            <w:shd w:fill="E6F1F2" w:val="clear"/>
            <w:tcMar>
              <w:top w:type="dxa" w:w="100"/>
              <w:left w:type="dxa" w:w="100"/>
              <w:bottom w:type="dxa" w:w="100"/>
              <w:right w:type="dxa" w:w="100"/>
            </w:tcMar>
            <w:vAlign w:val="top"/>
          </w:tcPr>
          <w:p>
            <w:pPr>
              <w:spacing w:after="30" w:before="30" w:line="240"/>
              <w:jc w:val="left"/>
            </w:pPr>
            <w:r>
              <w:rPr>
                <w:rFonts w:ascii="Consolas" w:cs="Consolas" w:eastAsia="Consolas" w:hAnsi="Consolas"/>
                <w:b/>
                <w:bCs/>
                <w:i w:val="false"/>
                <w:iCs w:val="false"/>
                <w:color w:val="0D6E7D"/>
                <w:sz w:val="16"/>
                <w:szCs w:val="16"/>
              </w:rPr>
              <w:t xml:space="preserve">VR</w:t>
            </w:r>
          </w:p>
        </w:tc>
        <w:tc>
          <w:tcPr>
            <w:tcW w:type="dxa" w:w="1440"/>
            <w:tcMar>
              <w:top w:type="dxa" w:w="100"/>
              <w:left w:type="dxa" w:w="100"/>
              <w:bottom w:type="dxa" w:w="100"/>
              <w:right w:type="dxa" w:w="100"/>
            </w:tcMar>
            <w:vAlign w:val="top"/>
          </w:tcPr>
          <w:p>
            <w:pPr>
              <w:spacing w:after="30" w:before="30" w:line="240"/>
              <w:jc w:val="left"/>
            </w:pPr>
            <w:r>
              <w:rPr>
                <w:rFonts w:ascii="Consolas" w:cs="Consolas" w:eastAsia="Consolas" w:hAnsi="Consolas"/>
                <w:b w:val="false"/>
                <w:bCs w:val="false"/>
                <w:i w:val="false"/>
                <w:iCs w:val="false"/>
                <w:color w:val="141414"/>
                <w:sz w:val="17"/>
                <w:szCs w:val="17"/>
              </w:rPr>
              <w:t xml:space="preserve">2016</w:t>
            </w:r>
          </w:p>
        </w:tc>
        <w:tc>
          <w:tcPr>
            <w:tcW w:type="dxa" w:w="3240"/>
            <w:tcMar>
              <w:top w:type="dxa" w:w="100"/>
              <w:left w:type="dxa" w:w="100"/>
              <w:bottom w:type="dxa" w:w="100"/>
              <w:right w:type="dxa" w:w="100"/>
            </w:tcMar>
            <w:vAlign w:val="top"/>
          </w:tcPr>
          <w:p>
            <w:pPr>
              <w:spacing w:after="30" w:before="30" w:line="240"/>
              <w:jc w:val="left"/>
            </w:pPr>
            <w:r>
              <w:rPr>
                <w:rFonts w:ascii="Georgia" w:cs="Georgia" w:eastAsia="Georgia" w:hAnsi="Georgia"/>
                <w:b/>
                <w:bCs/>
                <w:i w:val="false"/>
                <w:iCs w:val="false"/>
                <w:color w:val="141414"/>
                <w:sz w:val="18"/>
                <w:szCs w:val="18"/>
              </w:rPr>
              <w:t xml:space="preserve">Consumer VR ships — Rift, Vive, PSVR</w:t>
            </w:r>
          </w:p>
        </w:tc>
        <w:tc>
          <w:tcPr>
            <w:tcW w:type="dxa" w:w="7560"/>
            <w:tcMar>
              <w:top w:type="dxa" w:w="100"/>
              <w:left w:type="dxa" w:w="100"/>
              <w:bottom w:type="dxa" w:w="100"/>
              <w:right w:type="dxa" w:w="100"/>
            </w:tcMar>
            <w:vAlign w:val="top"/>
          </w:tcPr>
          <w:p>
            <w:pPr>
              <w:spacing w:after="30" w:before="30" w:line="240"/>
              <w:jc w:val="left"/>
            </w:pPr>
            <w:r>
              <w:rPr>
                <w:rFonts w:ascii="Georgia" w:cs="Georgia" w:eastAsia="Georgia" w:hAnsi="Georgia"/>
                <w:b w:val="false"/>
                <w:bCs w:val="false"/>
                <w:i w:val="false"/>
                <w:iCs w:val="false"/>
                <w:color w:val="141414"/>
                <w:sz w:val="17"/>
                <w:szCs w:val="17"/>
              </w:rPr>
              <w:t xml:space="preserve">Three consumer VR headsets ship within months: Oculus Rift ($599), HTC Vive ($799), PlayStation VR ($399). First true consumer VR generation. Sales underperform every analyst forecast — the killer app problem becomes visible.</w:t>
            </w:r>
          </w:p>
        </w:tc>
      </w:tr>
      <w:tr>
        <w:tc>
          <w:tcPr>
            <w:tcW w:type="dxa" w:w="720"/>
            <w:shd w:fill="E6F1F2" w:val="clear"/>
            <w:tcMar>
              <w:top w:type="dxa" w:w="100"/>
              <w:left w:type="dxa" w:w="100"/>
              <w:bottom w:type="dxa" w:w="100"/>
              <w:right w:type="dxa" w:w="100"/>
            </w:tcMar>
            <w:vAlign w:val="top"/>
          </w:tcPr>
          <w:p>
            <w:pPr>
              <w:spacing w:after="30" w:before="30" w:line="240"/>
              <w:jc w:val="left"/>
            </w:pPr>
            <w:r>
              <w:rPr>
                <w:rFonts w:ascii="Consolas" w:cs="Consolas" w:eastAsia="Consolas" w:hAnsi="Consolas"/>
                <w:b/>
                <w:bCs/>
                <w:i w:val="false"/>
                <w:iCs w:val="false"/>
                <w:color w:val="0D6E7D"/>
                <w:sz w:val="16"/>
                <w:szCs w:val="16"/>
              </w:rPr>
              <w:t xml:space="preserve">VR</w:t>
            </w:r>
          </w:p>
        </w:tc>
        <w:tc>
          <w:tcPr>
            <w:tcW w:type="dxa" w:w="1440"/>
            <w:tcMar>
              <w:top w:type="dxa" w:w="100"/>
              <w:left w:type="dxa" w:w="100"/>
              <w:bottom w:type="dxa" w:w="100"/>
              <w:right w:type="dxa" w:w="100"/>
            </w:tcMar>
            <w:vAlign w:val="top"/>
          </w:tcPr>
          <w:p>
            <w:pPr>
              <w:spacing w:after="30" w:before="30" w:line="240"/>
              <w:jc w:val="left"/>
            </w:pPr>
            <w:r>
              <w:rPr>
                <w:rFonts w:ascii="Consolas" w:cs="Consolas" w:eastAsia="Consolas" w:hAnsi="Consolas"/>
                <w:b w:val="false"/>
                <w:bCs w:val="false"/>
                <w:i w:val="false"/>
                <w:iCs w:val="false"/>
                <w:color w:val="141414"/>
                <w:sz w:val="17"/>
                <w:szCs w:val="17"/>
              </w:rPr>
              <w:t xml:space="preserve">Oct 2020</w:t>
            </w:r>
          </w:p>
        </w:tc>
        <w:tc>
          <w:tcPr>
            <w:tcW w:type="dxa" w:w="3240"/>
            <w:tcMar>
              <w:top w:type="dxa" w:w="100"/>
              <w:left w:type="dxa" w:w="100"/>
              <w:bottom w:type="dxa" w:w="100"/>
              <w:right w:type="dxa" w:w="100"/>
            </w:tcMar>
            <w:vAlign w:val="top"/>
          </w:tcPr>
          <w:p>
            <w:pPr>
              <w:spacing w:after="30" w:before="30" w:line="240"/>
              <w:jc w:val="left"/>
            </w:pPr>
            <w:r>
              <w:rPr>
                <w:rFonts w:ascii="Georgia" w:cs="Georgia" w:eastAsia="Georgia" w:hAnsi="Georgia"/>
                <w:b/>
                <w:bCs/>
                <w:i w:val="false"/>
                <w:iCs w:val="false"/>
                <w:color w:val="141414"/>
                <w:sz w:val="18"/>
                <w:szCs w:val="18"/>
              </w:rPr>
              <w:t xml:space="preserve">Meta — Quest 2 launches</w:t>
            </w:r>
          </w:p>
        </w:tc>
        <w:tc>
          <w:tcPr>
            <w:tcW w:type="dxa" w:w="7560"/>
            <w:tcMar>
              <w:top w:type="dxa" w:w="100"/>
              <w:left w:type="dxa" w:w="100"/>
              <w:bottom w:type="dxa" w:w="100"/>
              <w:right w:type="dxa" w:w="100"/>
            </w:tcMar>
            <w:vAlign w:val="top"/>
          </w:tcPr>
          <w:p>
            <w:pPr>
              <w:spacing w:after="30" w:before="30" w:line="240"/>
              <w:jc w:val="left"/>
            </w:pPr>
            <w:r>
              <w:rPr>
                <w:rFonts w:ascii="Georgia" w:cs="Georgia" w:eastAsia="Georgia" w:hAnsi="Georgia"/>
                <w:b w:val="false"/>
                <w:bCs w:val="false"/>
                <w:i w:val="false"/>
                <w:iCs w:val="false"/>
                <w:color w:val="141414"/>
                <w:sz w:val="17"/>
                <w:szCs w:val="17"/>
              </w:rPr>
              <w:t xml:space="preserve">Quest 2 ships at $299 — a price point that finally cracked the consumer adoption curve. Sells ~20M+ units, becoming the best-selling VR headset of all time. COVID lockdowns and idle attention fuel adoption.</w:t>
            </w:r>
          </w:p>
        </w:tc>
      </w:tr>
      <w:tr>
        <w:tc>
          <w:tcPr>
            <w:tcW w:type="dxa" w:w="720"/>
            <w:shd w:fill="E6F1F2" w:val="clear"/>
            <w:tcMar>
              <w:top w:type="dxa" w:w="100"/>
              <w:left w:type="dxa" w:w="100"/>
              <w:bottom w:type="dxa" w:w="100"/>
              <w:right w:type="dxa" w:w="100"/>
            </w:tcMar>
            <w:vAlign w:val="top"/>
          </w:tcPr>
          <w:p>
            <w:pPr>
              <w:spacing w:after="30" w:before="30" w:line="240"/>
              <w:jc w:val="left"/>
            </w:pPr>
            <w:r>
              <w:rPr>
                <w:rFonts w:ascii="Consolas" w:cs="Consolas" w:eastAsia="Consolas" w:hAnsi="Consolas"/>
                <w:b/>
                <w:bCs/>
                <w:i w:val="false"/>
                <w:iCs w:val="false"/>
                <w:color w:val="0D6E7D"/>
                <w:sz w:val="16"/>
                <w:szCs w:val="16"/>
              </w:rPr>
              <w:t xml:space="preserve">VR</w:t>
            </w:r>
          </w:p>
        </w:tc>
        <w:tc>
          <w:tcPr>
            <w:tcW w:type="dxa" w:w="1440"/>
            <w:tcMar>
              <w:top w:type="dxa" w:w="100"/>
              <w:left w:type="dxa" w:w="100"/>
              <w:bottom w:type="dxa" w:w="100"/>
              <w:right w:type="dxa" w:w="100"/>
            </w:tcMar>
            <w:vAlign w:val="top"/>
          </w:tcPr>
          <w:p>
            <w:pPr>
              <w:spacing w:after="30" w:before="30" w:line="240"/>
              <w:jc w:val="left"/>
            </w:pPr>
            <w:r>
              <w:rPr>
                <w:rFonts w:ascii="Consolas" w:cs="Consolas" w:eastAsia="Consolas" w:hAnsi="Consolas"/>
                <w:b w:val="false"/>
                <w:bCs w:val="false"/>
                <w:i w:val="false"/>
                <w:iCs w:val="false"/>
                <w:color w:val="141414"/>
                <w:sz w:val="17"/>
                <w:szCs w:val="17"/>
              </w:rPr>
              <w:t xml:space="preserve">28 Oct 2021</w:t>
            </w:r>
          </w:p>
        </w:tc>
        <w:tc>
          <w:tcPr>
            <w:tcW w:type="dxa" w:w="3240"/>
            <w:tcMar>
              <w:top w:type="dxa" w:w="100"/>
              <w:left w:type="dxa" w:w="100"/>
              <w:bottom w:type="dxa" w:w="100"/>
              <w:right w:type="dxa" w:w="100"/>
            </w:tcMar>
            <w:vAlign w:val="top"/>
          </w:tcPr>
          <w:p>
            <w:pPr>
              <w:spacing w:after="30" w:before="30" w:line="240"/>
              <w:jc w:val="left"/>
            </w:pPr>
            <w:r>
              <w:rPr>
                <w:rFonts w:ascii="Georgia" w:cs="Georgia" w:eastAsia="Georgia" w:hAnsi="Georgia"/>
                <w:b/>
                <w:bCs/>
                <w:i w:val="false"/>
                <w:iCs w:val="false"/>
                <w:color w:val="141414"/>
                <w:sz w:val="18"/>
                <w:szCs w:val="18"/>
              </w:rPr>
              <w:t xml:space="preserve">Facebook → Meta rebrand</w:t>
            </w:r>
          </w:p>
        </w:tc>
        <w:tc>
          <w:tcPr>
            <w:tcW w:type="dxa" w:w="7560"/>
            <w:tcMar>
              <w:top w:type="dxa" w:w="100"/>
              <w:left w:type="dxa" w:w="100"/>
              <w:bottom w:type="dxa" w:w="100"/>
              <w:right w:type="dxa" w:w="100"/>
            </w:tcMar>
            <w:vAlign w:val="top"/>
          </w:tcPr>
          <w:p>
            <w:pPr>
              <w:spacing w:after="30" w:before="30" w:line="240"/>
              <w:jc w:val="left"/>
            </w:pPr>
            <w:r>
              <w:rPr>
                <w:rFonts w:ascii="Georgia" w:cs="Georgia" w:eastAsia="Georgia" w:hAnsi="Georgia"/>
                <w:b w:val="false"/>
                <w:bCs w:val="false"/>
                <w:i w:val="false"/>
                <w:iCs w:val="false"/>
                <w:color w:val="141414"/>
                <w:sz w:val="17"/>
                <w:szCs w:val="17"/>
              </w:rPr>
              <w:t xml:space="preserve">Facebook renames to Meta. Zuckerberg announces the metaverse as the next computing platform and pledges tens of billions in investment. The defining moment of metaverse hype — and, with hindsight, the peak.</w:t>
            </w:r>
          </w:p>
        </w:tc>
      </w:tr>
      <w:tr>
        <w:tc>
          <w:tcPr>
            <w:tcW w:type="dxa" w:w="720"/>
            <w:shd w:fill="E6F1F2" w:val="clear"/>
            <w:tcMar>
              <w:top w:type="dxa" w:w="100"/>
              <w:left w:type="dxa" w:w="100"/>
              <w:bottom w:type="dxa" w:w="100"/>
              <w:right w:type="dxa" w:w="100"/>
            </w:tcMar>
            <w:vAlign w:val="top"/>
          </w:tcPr>
          <w:p>
            <w:pPr>
              <w:spacing w:after="30" w:before="30" w:line="240"/>
              <w:jc w:val="left"/>
            </w:pPr>
            <w:r>
              <w:rPr>
                <w:rFonts w:ascii="Consolas" w:cs="Consolas" w:eastAsia="Consolas" w:hAnsi="Consolas"/>
                <w:b/>
                <w:bCs/>
                <w:i w:val="false"/>
                <w:iCs w:val="false"/>
                <w:color w:val="0D6E7D"/>
                <w:sz w:val="16"/>
                <w:szCs w:val="16"/>
              </w:rPr>
              <w:t xml:space="preserve">VR</w:t>
            </w:r>
          </w:p>
        </w:tc>
        <w:tc>
          <w:tcPr>
            <w:tcW w:type="dxa" w:w="1440"/>
            <w:tcMar>
              <w:top w:type="dxa" w:w="100"/>
              <w:left w:type="dxa" w:w="100"/>
              <w:bottom w:type="dxa" w:w="100"/>
              <w:right w:type="dxa" w:w="100"/>
            </w:tcMar>
            <w:vAlign w:val="top"/>
          </w:tcPr>
          <w:p>
            <w:pPr>
              <w:spacing w:after="30" w:before="30" w:line="240"/>
              <w:jc w:val="left"/>
            </w:pPr>
            <w:r>
              <w:rPr>
                <w:rFonts w:ascii="Consolas" w:cs="Consolas" w:eastAsia="Consolas" w:hAnsi="Consolas"/>
                <w:b w:val="false"/>
                <w:bCs w:val="false"/>
                <w:i w:val="false"/>
                <w:iCs w:val="false"/>
                <w:color w:val="141414"/>
                <w:sz w:val="17"/>
                <w:szCs w:val="17"/>
              </w:rPr>
              <w:t xml:space="preserve">2022</w:t>
            </w:r>
          </w:p>
        </w:tc>
        <w:tc>
          <w:tcPr>
            <w:tcW w:type="dxa" w:w="3240"/>
            <w:tcMar>
              <w:top w:type="dxa" w:w="100"/>
              <w:left w:type="dxa" w:w="100"/>
              <w:bottom w:type="dxa" w:w="100"/>
              <w:right w:type="dxa" w:w="100"/>
            </w:tcMar>
            <w:vAlign w:val="top"/>
          </w:tcPr>
          <w:p>
            <w:pPr>
              <w:spacing w:after="30" w:before="30" w:line="240"/>
              <w:jc w:val="left"/>
            </w:pPr>
            <w:r>
              <w:rPr>
                <w:rFonts w:ascii="Georgia" w:cs="Georgia" w:eastAsia="Georgia" w:hAnsi="Georgia"/>
                <w:b/>
                <w:bCs/>
                <w:i w:val="false"/>
                <w:iCs w:val="false"/>
                <w:color w:val="141414"/>
                <w:sz w:val="18"/>
                <w:szCs w:val="18"/>
              </w:rPr>
              <w:t xml:space="preserve">Reality Labs loses $13.7B</w:t>
            </w:r>
          </w:p>
        </w:tc>
        <w:tc>
          <w:tcPr>
            <w:tcW w:type="dxa" w:w="7560"/>
            <w:tcMar>
              <w:top w:type="dxa" w:w="100"/>
              <w:left w:type="dxa" w:w="100"/>
              <w:bottom w:type="dxa" w:w="100"/>
              <w:right w:type="dxa" w:w="100"/>
            </w:tcMar>
            <w:vAlign w:val="top"/>
          </w:tcPr>
          <w:p>
            <w:pPr>
              <w:spacing w:after="30" w:before="30" w:line="240"/>
              <w:jc w:val="left"/>
            </w:pPr>
            <w:r>
              <w:rPr>
                <w:rFonts w:ascii="Georgia" w:cs="Georgia" w:eastAsia="Georgia" w:hAnsi="Georgia"/>
                <w:b w:val="false"/>
                <w:bCs w:val="false"/>
                <w:i w:val="false"/>
                <w:iCs w:val="false"/>
                <w:color w:val="141414"/>
                <w:sz w:val="17"/>
                <w:szCs w:val="17"/>
              </w:rPr>
              <w:t xml:space="preserve">Meta's Reality Labs division loses $13.7 billion in fiscal 2022 alone. Cumulative losses since 2019 exceed $36B by year-end. Public scepticism mounts; Meta share price falls; ChatGPT launches one month later and absorbs the remaining oxygen.</w:t>
            </w:r>
          </w:p>
        </w:tc>
      </w:tr>
      <w:tr>
        <w:tc>
          <w:tcPr>
            <w:tcW w:type="dxa" w:w="720"/>
            <w:shd w:fill="E6F1F2" w:val="clear"/>
            <w:tcMar>
              <w:top w:type="dxa" w:w="100"/>
              <w:left w:type="dxa" w:w="100"/>
              <w:bottom w:type="dxa" w:w="100"/>
              <w:right w:type="dxa" w:w="100"/>
            </w:tcMar>
            <w:vAlign w:val="top"/>
          </w:tcPr>
          <w:p>
            <w:pPr>
              <w:spacing w:after="30" w:before="30" w:line="240"/>
              <w:jc w:val="left"/>
            </w:pPr>
            <w:r>
              <w:rPr>
                <w:rFonts w:ascii="Consolas" w:cs="Consolas" w:eastAsia="Consolas" w:hAnsi="Consolas"/>
                <w:b/>
                <w:bCs/>
                <w:i w:val="false"/>
                <w:iCs w:val="false"/>
                <w:color w:val="0D6E7D"/>
                <w:sz w:val="16"/>
                <w:szCs w:val="16"/>
              </w:rPr>
              <w:t xml:space="preserve">VR</w:t>
            </w:r>
          </w:p>
        </w:tc>
        <w:tc>
          <w:tcPr>
            <w:tcW w:type="dxa" w:w="1440"/>
            <w:tcMar>
              <w:top w:type="dxa" w:w="100"/>
              <w:left w:type="dxa" w:w="100"/>
              <w:bottom w:type="dxa" w:w="100"/>
              <w:right w:type="dxa" w:w="100"/>
            </w:tcMar>
            <w:vAlign w:val="top"/>
          </w:tcPr>
          <w:p>
            <w:pPr>
              <w:spacing w:after="30" w:before="30" w:line="240"/>
              <w:jc w:val="left"/>
            </w:pPr>
            <w:r>
              <w:rPr>
                <w:rFonts w:ascii="Consolas" w:cs="Consolas" w:eastAsia="Consolas" w:hAnsi="Consolas"/>
                <w:b w:val="false"/>
                <w:bCs w:val="false"/>
                <w:i w:val="false"/>
                <w:iCs w:val="false"/>
                <w:color w:val="141414"/>
                <w:sz w:val="17"/>
                <w:szCs w:val="17"/>
              </w:rPr>
              <w:t xml:space="preserve">Feb 2024</w:t>
            </w:r>
          </w:p>
        </w:tc>
        <w:tc>
          <w:tcPr>
            <w:tcW w:type="dxa" w:w="3240"/>
            <w:tcMar>
              <w:top w:type="dxa" w:w="100"/>
              <w:left w:type="dxa" w:w="100"/>
              <w:bottom w:type="dxa" w:w="100"/>
              <w:right w:type="dxa" w:w="100"/>
            </w:tcMar>
            <w:vAlign w:val="top"/>
          </w:tcPr>
          <w:p>
            <w:pPr>
              <w:spacing w:after="30" w:before="30" w:line="240"/>
              <w:jc w:val="left"/>
            </w:pPr>
            <w:r>
              <w:rPr>
                <w:rFonts w:ascii="Georgia" w:cs="Georgia" w:eastAsia="Georgia" w:hAnsi="Georgia"/>
                <w:b/>
                <w:bCs/>
                <w:i w:val="false"/>
                <w:iCs w:val="false"/>
                <w:color w:val="141414"/>
                <w:sz w:val="18"/>
                <w:szCs w:val="18"/>
              </w:rPr>
              <w:t xml:space="preserve">Apple Vision Pro ships</w:t>
            </w:r>
          </w:p>
        </w:tc>
        <w:tc>
          <w:tcPr>
            <w:tcW w:type="dxa" w:w="7560"/>
            <w:tcMar>
              <w:top w:type="dxa" w:w="100"/>
              <w:left w:type="dxa" w:w="100"/>
              <w:bottom w:type="dxa" w:w="100"/>
              <w:right w:type="dxa" w:w="100"/>
            </w:tcMar>
            <w:vAlign w:val="top"/>
          </w:tcPr>
          <w:p>
            <w:pPr>
              <w:spacing w:after="30" w:before="30" w:line="240"/>
              <w:jc w:val="left"/>
            </w:pPr>
            <w:r>
              <w:rPr>
                <w:rFonts w:ascii="Georgia" w:cs="Georgia" w:eastAsia="Georgia" w:hAnsi="Georgia"/>
                <w:b w:val="false"/>
                <w:bCs w:val="false"/>
                <w:i w:val="false"/>
                <w:iCs w:val="false"/>
                <w:color w:val="141414"/>
                <w:sz w:val="17"/>
                <w:szCs w:val="17"/>
              </w:rPr>
              <w:t xml:space="preserve">Apple Vision Pro ships at $3,499. Rebranded as 'spatial computing' rather than VR/metaverse. Premium positioning, hand+eye tracking, dual 4K micro-OLED panels. Production targets reportedly cut within 12 months as the device searches for its killer app.</w:t>
            </w:r>
          </w:p>
        </w:tc>
      </w:tr>
      <w:tr>
        <w:tc>
          <w:tcPr>
            <w:tcW w:type="dxa" w:w="720"/>
            <w:shd w:fill="E6F1F2" w:val="clear"/>
            <w:tcMar>
              <w:top w:type="dxa" w:w="100"/>
              <w:left w:type="dxa" w:w="100"/>
              <w:bottom w:type="dxa" w:w="100"/>
              <w:right w:type="dxa" w:w="100"/>
            </w:tcMar>
            <w:vAlign w:val="top"/>
          </w:tcPr>
          <w:p>
            <w:pPr>
              <w:spacing w:after="30" w:before="30" w:line="240"/>
              <w:jc w:val="left"/>
            </w:pPr>
            <w:r>
              <w:rPr>
                <w:rFonts w:ascii="Consolas" w:cs="Consolas" w:eastAsia="Consolas" w:hAnsi="Consolas"/>
                <w:b/>
                <w:bCs/>
                <w:i w:val="false"/>
                <w:iCs w:val="false"/>
                <w:color w:val="0D6E7D"/>
                <w:sz w:val="16"/>
                <w:szCs w:val="16"/>
              </w:rPr>
              <w:t xml:space="preserve">VR</w:t>
            </w:r>
          </w:p>
        </w:tc>
        <w:tc>
          <w:tcPr>
            <w:tcW w:type="dxa" w:w="1440"/>
            <w:tcMar>
              <w:top w:type="dxa" w:w="100"/>
              <w:left w:type="dxa" w:w="100"/>
              <w:bottom w:type="dxa" w:w="100"/>
              <w:right w:type="dxa" w:w="100"/>
            </w:tcMar>
            <w:vAlign w:val="top"/>
          </w:tcPr>
          <w:p>
            <w:pPr>
              <w:spacing w:after="30" w:before="30" w:line="240"/>
              <w:jc w:val="left"/>
            </w:pPr>
            <w:r>
              <w:rPr>
                <w:rFonts w:ascii="Consolas" w:cs="Consolas" w:eastAsia="Consolas" w:hAnsi="Consolas"/>
                <w:b w:val="false"/>
                <w:bCs w:val="false"/>
                <w:i w:val="false"/>
                <w:iCs w:val="false"/>
                <w:color w:val="141414"/>
                <w:sz w:val="17"/>
                <w:szCs w:val="17"/>
              </w:rPr>
              <w:t xml:space="preserve">2026</w:t>
            </w:r>
          </w:p>
        </w:tc>
        <w:tc>
          <w:tcPr>
            <w:tcW w:type="dxa" w:w="3240"/>
            <w:tcMar>
              <w:top w:type="dxa" w:w="100"/>
              <w:left w:type="dxa" w:w="100"/>
              <w:bottom w:type="dxa" w:w="100"/>
              <w:right w:type="dxa" w:w="100"/>
            </w:tcMar>
            <w:vAlign w:val="top"/>
          </w:tcPr>
          <w:p>
            <w:pPr>
              <w:spacing w:after="30" w:before="30" w:line="240"/>
              <w:jc w:val="left"/>
            </w:pPr>
            <w:r>
              <w:rPr>
                <w:rFonts w:ascii="Georgia" w:cs="Georgia" w:eastAsia="Georgia" w:hAnsi="Georgia"/>
                <w:b/>
                <w:bCs/>
                <w:i w:val="false"/>
                <w:iCs w:val="false"/>
                <w:color w:val="141414"/>
                <w:sz w:val="18"/>
                <w:szCs w:val="18"/>
              </w:rPr>
              <w:t xml:space="preserve">Today (May 2026)</w:t>
            </w:r>
          </w:p>
        </w:tc>
        <w:tc>
          <w:tcPr>
            <w:tcW w:type="dxa" w:w="7560"/>
            <w:tcMar>
              <w:top w:type="dxa" w:w="100"/>
              <w:left w:type="dxa" w:w="100"/>
              <w:bottom w:type="dxa" w:w="100"/>
              <w:right w:type="dxa" w:w="100"/>
            </w:tcMar>
            <w:vAlign w:val="top"/>
          </w:tcPr>
          <w:p>
            <w:pPr>
              <w:spacing w:after="30" w:before="30" w:line="240"/>
              <w:jc w:val="left"/>
            </w:pPr>
            <w:r>
              <w:rPr>
                <w:rFonts w:ascii="Georgia" w:cs="Georgia" w:eastAsia="Georgia" w:hAnsi="Georgia"/>
                <w:b w:val="false"/>
                <w:bCs w:val="false"/>
                <w:i w:val="false"/>
                <w:iCs w:val="false"/>
                <w:color w:val="141414"/>
                <w:sz w:val="17"/>
                <w:szCs w:val="17"/>
              </w:rPr>
              <w:t xml:space="preserve">Apple has cut Vision Pro production. Meta has pivoted to Quest 3S at $299 — the low-end mainstream play. The metaverse winter is real but partial; the underlying technology continues to improve while public enthusiasm has migrated to AI.</w:t>
            </w:r>
          </w:p>
        </w:tc>
      </w:tr>
    </w:tbl>
    <w:sectPr>
      <w:footerReference w:type="default" r:id="rId7"/>
      <w:pgSz w:w="15840" w:h="12240" w:orient="landscape"/>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760"/>
        <w:sz w:val="18"/>
        <w:szCs w:val="18"/>
      </w:rPr>
      <w:t xml:space="preserve">— </w:t>
    </w:r>
    <w:r>
      <w:rPr>
        <w:rFonts w:ascii="Consolas" w:cs="Consolas" w:eastAsia="Consolas" w:hAnsi="Consolas"/>
        <w:color w:val="6B6760"/>
        <w:sz w:val="18"/>
        <w:szCs w:val="18"/>
      </w:rPr>
      <w:fldChar w:fldCharType="begin"/>
      <w:instrText xml:space="preserve">PAGE</w:instrText>
      <w:fldChar w:fldCharType="separate"/>
      <w:fldChar w:fldCharType="end"/>
    </w:r>
    <w:r>
      <w:rPr>
        <w:color w:val="6B676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4eda404c1cbe0f111b08d931168905de23e817e.png"/><Relationship Id="rId9" Type="http://schemas.openxmlformats.org/officeDocument/2006/relationships/image" Target="media/f27ba0f3fd7cf65e0b0fce7c32d7e3a642686653.png"/><Relationship Id="rId10" Type="http://schemas.openxmlformats.org/officeDocument/2006/relationships/image" Target="media/507759da0f707ff4e18d83cb2887e1acf0fb1d8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 VR — Eight Decades of Cycles</dc:title>
  <dc:creator>Dr. George Papagiannakis</dc:creator>
  <cp:lastModifiedBy>Un-named</cp:lastModifiedBy>
  <cp:revision>1</cp:revision>
  <dcterms:created xsi:type="dcterms:W3CDTF">2026-05-16T17:21:12.647Z</dcterms:created>
  <dcterms:modified xsi:type="dcterms:W3CDTF">2026-05-16T17:21:12.661Z</dcterms:modified>
</cp:coreProperties>
</file>

<file path=docProps/custom.xml><?xml version="1.0" encoding="utf-8"?>
<Properties xmlns="http://schemas.openxmlformats.org/officeDocument/2006/custom-properties" xmlns:vt="http://schemas.openxmlformats.org/officeDocument/2006/docPropsVTypes"/>
</file>