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TARGET — RAWAEA CENTRAL INVENTORY &amp; STOCK MOVEMENT DESIGN</w:t>
      </w:r>
    </w:p>
    <w:p>
      <w:pPr>
        <w:jc w:val="center"/>
      </w:pPr>
      <w:r>
        <w:rPr>
          <w:b w:val="0"/>
        </w:rPr>
        <w:t>Target Design Reference — Inventory Domain</w:t>
      </w:r>
    </w:p>
    <w:p>
      <w:pPr>
        <w:jc w:val="center"/>
      </w:pPr>
      <w:r>
        <w:rPr>
          <w:b w:val="0"/>
        </w:rPr>
        <w:t>Status: DESIGN BASELINE — قبل العودة إلى الكود</w:t>
      </w:r>
    </w:p>
    <w:p>
      <w:pPr>
        <w:jc w:val="center"/>
      </w:pPr>
      <w:r>
        <w:rPr>
          <w:b w:val="0"/>
        </w:rPr>
        <w:t>Scope: Central Inventory + Manual Stock Vouchers + Direct Custody Movement</w:t>
      </w:r>
    </w:p>
    <w:p>
      <w:r>
        <w:br w:type="page"/>
      </w:r>
    </w:p>
    <w:p>
      <w:pPr>
        <w:pStyle w:val="Heading1"/>
      </w:pPr>
      <w:r>
        <w:t>1. Purpose</w:t>
      </w:r>
    </w:p>
    <w:p>
      <w:r>
        <w:rPr>
          <w:b w:val="0"/>
        </w:rPr>
        <w:t>هذه الوثيقة هي المرجع التصميمي المستهدف لنطاق المخزون المركزي وحركات المخزون والأذونات المخزنية اليدوية قبل تعديل أي Edge Function أو Migration. الهدف هو تثبيت النموذج الصحيح أولاً، ثم إثبات توافق الـSchema والكود معه، ثم التنفيذ والاختبار.</w:t>
      </w:r>
    </w:p>
    <w:p>
      <w:r>
        <w:rPr>
          <w:b w:val="0"/>
        </w:rPr>
        <w:t>المنهج المعتمد هو: Understand → Prove → Design → Implement → Validate → Close.</w:t>
      </w:r>
    </w:p>
    <w:p>
      <w:r>
        <w:rPr>
          <w:b w:val="0"/>
        </w:rPr>
        <w:t>النظام تحت الإنشاء، ولا توجد بيانات تشغيلية فعلية يجب الحفاظ عليها؛ لذلك لا يُعتبر السلوك التاريخي الخاطئ مرجعًا للحفاظ عليه. المرجع هو Target Design، مع استخدام الكود والـSchema لإثبات ما هو موجود فعليًا.</w:t>
      </w:r>
    </w:p>
    <w:p>
      <w:pPr>
        <w:pStyle w:val="Heading1"/>
      </w:pPr>
      <w:r>
        <w:t>2. Design Principles</w:t>
      </w:r>
    </w:p>
    <w:p>
      <w:pPr>
        <w:pStyle w:val="ListBullet"/>
      </w:pPr>
      <w:r>
        <w:t>Inventory movement is a domain operation, not UI-owned logic.</w:t>
      </w:r>
    </w:p>
    <w:p>
      <w:pPr>
        <w:pStyle w:val="ListBullet"/>
      </w:pPr>
      <w:r>
        <w:t>There is one central business core for stock movement. Applications initiate business intent; they do not implement independent inventory rules.</w:t>
      </w:r>
    </w:p>
    <w:p>
      <w:pPr>
        <w:pStyle w:val="ListBullet"/>
      </w:pPr>
      <w:r>
        <w:t>A stock movement must produce its physical stock effect and inventory audit record atomically.</w:t>
      </w:r>
    </w:p>
    <w:p>
      <w:pPr>
        <w:pStyle w:val="ListBullet"/>
      </w:pPr>
      <w:r>
        <w:t>Movement types are a closed domain vocabulary, not free-form text.</w:t>
      </w:r>
    </w:p>
    <w:p>
      <w:pPr>
        <w:pStyle w:val="ListBullet"/>
      </w:pPr>
      <w:r>
        <w:t>allocated_qty is reservation state, not a physical stock movement, and is handled separately.</w:t>
      </w:r>
    </w:p>
    <w:p>
      <w:pPr>
        <w:pStyle w:val="ListBullet"/>
      </w:pPr>
      <w:r>
        <w:t>Manual Stock Vouchers represent custody/stock movements between defined parties or locations; they are not a Runsheet.</w:t>
      </w:r>
    </w:p>
    <w:p>
      <w:pPr>
        <w:pStyle w:val="ListBullet"/>
      </w:pPr>
      <w:r>
        <w:t>DirectSale is a custody-loading movement to a vehicle/representative, not the customer sale itself.</w:t>
      </w:r>
    </w:p>
    <w:p>
      <w:pPr>
        <w:pStyle w:val="ListBullet"/>
      </w:pPr>
      <w:r>
        <w:t>The subsequent Van Sale consumes stock from the vehicle/representative custody.</w:t>
      </w:r>
    </w:p>
    <w:p>
      <w:pPr>
        <w:pStyle w:val="ListBullet"/>
      </w:pPr>
      <w:r>
        <w:t>DirectReturn represents the return of remaining/returned custody stock from vehicle/representative to the warehouse.</w:t>
      </w:r>
    </w:p>
    <w:p>
      <w:pPr>
        <w:pStyle w:val="ListBullet"/>
      </w:pPr>
      <w:r>
        <w:t>No application may become a second source of truth for stock quantities or movement history.</w:t>
      </w:r>
    </w:p>
    <w:p>
      <w:pPr>
        <w:pStyle w:val="Heading1"/>
      </w:pPr>
      <w:r>
        <w:t>3. Central Inventory Business Core</w:t>
      </w:r>
    </w:p>
    <w:p>
      <w:r>
        <w:rPr>
          <w:b w:val="0"/>
        </w:rPr>
        <w:t>الهدف هو Business Core واحد لحركات المخزون، ممثلًا بعملية مركزية من نوع post_stock_movement. هو حد التنفيذ الموثوق للحركات الفيزيائية.</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Responsibility</w:t>
            </w:r>
          </w:p>
        </w:tc>
        <w:tc>
          <w:tcPr>
            <w:tcW w:type="dxa" w:w="4968"/>
          </w:tcPr>
          <w:p>
            <w:r>
              <w:rPr>
                <w:b/>
              </w:rPr>
              <w:t>Target Owner</w:t>
            </w:r>
          </w:p>
        </w:tc>
      </w:tr>
      <w:tr>
        <w:tc>
          <w:tcPr>
            <w:tcW w:type="dxa" w:w="4968"/>
            <w:vAlign w:val="top"/>
          </w:tcPr>
          <w:p>
            <w:r>
              <w:t>Validate movement request</w:t>
            </w:r>
          </w:p>
        </w:tc>
        <w:tc>
          <w:tcPr>
            <w:tcW w:type="dxa" w:w="4968"/>
            <w:vAlign w:val="top"/>
          </w:tcPr>
          <w:p>
            <w:r>
              <w:t>Central Inventory Business Core</w:t>
            </w:r>
          </w:p>
        </w:tc>
      </w:tr>
      <w:tr>
        <w:tc>
          <w:tcPr>
            <w:tcW w:type="dxa" w:w="4968"/>
            <w:vAlign w:val="top"/>
          </w:tcPr>
          <w:p>
            <w:r>
              <w:t>Check source availability</w:t>
            </w:r>
          </w:p>
        </w:tc>
        <w:tc>
          <w:tcPr>
            <w:tcW w:type="dxa" w:w="4968"/>
            <w:vAlign w:val="top"/>
          </w:tcPr>
          <w:p>
            <w:r>
              <w:t>Central Inventory Business Core</w:t>
            </w:r>
          </w:p>
        </w:tc>
      </w:tr>
      <w:tr>
        <w:tc>
          <w:tcPr>
            <w:tcW w:type="dxa" w:w="4968"/>
            <w:vAlign w:val="top"/>
          </w:tcPr>
          <w:p>
            <w:r>
              <w:t>Apply physical qty changes</w:t>
            </w:r>
          </w:p>
        </w:tc>
        <w:tc>
          <w:tcPr>
            <w:tcW w:type="dxa" w:w="4968"/>
            <w:vAlign w:val="top"/>
          </w:tcPr>
          <w:p>
            <w:r>
              <w:t>Central Inventory Business Core</w:t>
            </w:r>
          </w:p>
        </w:tc>
      </w:tr>
      <w:tr>
        <w:tc>
          <w:tcPr>
            <w:tcW w:type="dxa" w:w="4968"/>
            <w:vAlign w:val="top"/>
          </w:tcPr>
          <w:p>
            <w:r>
              <w:t>Write inventory movement/audit record</w:t>
            </w:r>
          </w:p>
        </w:tc>
        <w:tc>
          <w:tcPr>
            <w:tcW w:type="dxa" w:w="4968"/>
            <w:vAlign w:val="top"/>
          </w:tcPr>
          <w:p>
            <w:r>
              <w:t>Central Inventory Business Core</w:t>
            </w:r>
          </w:p>
        </w:tc>
      </w:tr>
      <w:tr>
        <w:tc>
          <w:tcPr>
            <w:tcW w:type="dxa" w:w="4968"/>
            <w:vAlign w:val="top"/>
          </w:tcPr>
          <w:p>
            <w:r>
              <w:t>Enforce movement semantics</w:t>
            </w:r>
          </w:p>
        </w:tc>
        <w:tc>
          <w:tcPr>
            <w:tcW w:type="dxa" w:w="4968"/>
            <w:vAlign w:val="top"/>
          </w:tcPr>
          <w:p>
            <w:r>
              <w:t>Central Inventory Business Core + DB constraints</w:t>
            </w:r>
          </w:p>
        </w:tc>
      </w:tr>
      <w:tr>
        <w:tc>
          <w:tcPr>
            <w:tcW w:type="dxa" w:w="4968"/>
            <w:vAlign w:val="top"/>
          </w:tcPr>
          <w:p>
            <w:r>
              <w:t>Reservation / allocated_qty</w:t>
            </w:r>
          </w:p>
        </w:tc>
        <w:tc>
          <w:tcPr>
            <w:tcW w:type="dxa" w:w="4968"/>
            <w:vAlign w:val="top"/>
          </w:tcPr>
          <w:p>
            <w:r>
              <w:t>Separate reservation operation</w:t>
            </w:r>
          </w:p>
        </w:tc>
      </w:tr>
      <w:tr>
        <w:tc>
          <w:tcPr>
            <w:tcW w:type="dxa" w:w="4968"/>
            <w:vAlign w:val="top"/>
          </w:tcPr>
          <w:p>
            <w:r>
              <w:t>UI workflow/state transitions</w:t>
            </w:r>
          </w:p>
        </w:tc>
        <w:tc>
          <w:tcPr>
            <w:tcW w:type="dxa" w:w="4968"/>
            <w:vAlign w:val="top"/>
          </w:tcPr>
          <w:p>
            <w:r>
              <w:t>Voucher/domain functions subject to domain rules</w:t>
            </w:r>
          </w:p>
        </w:tc>
      </w:tr>
    </w:tbl>
    <w:p/>
    <w:p>
      <w:r>
        <w:rPr>
          <w:b w:val="0"/>
        </w:rPr>
        <w:t>Applications such as warehouse, van-sales, purchasing, returns, and voucher screens collect intent and request domain actions; they do not reproduce stock mutation logic.</w:t>
      </w:r>
    </w:p>
    <w:p>
      <w:pPr>
        <w:pStyle w:val="Heading1"/>
      </w:pPr>
      <w:r>
        <w:t>4. Target Inventory State Model</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Target Meaning</w:t>
            </w:r>
          </w:p>
        </w:tc>
      </w:tr>
      <w:tr>
        <w:tc>
          <w:tcPr>
            <w:tcW w:type="dxa" w:w="4968"/>
            <w:vAlign w:val="top"/>
          </w:tcPr>
          <w:p>
            <w:r>
              <w:t>stock_branches.qty</w:t>
            </w:r>
          </w:p>
        </w:tc>
        <w:tc>
          <w:tcPr>
            <w:tcW w:type="dxa" w:w="4968"/>
            <w:vAlign w:val="top"/>
          </w:tcPr>
          <w:p>
            <w:r>
              <w:t>Physical quantity held by the branch/custody location.</w:t>
            </w:r>
          </w:p>
        </w:tc>
      </w:tr>
      <w:tr>
        <w:tc>
          <w:tcPr>
            <w:tcW w:type="dxa" w:w="4968"/>
            <w:vAlign w:val="top"/>
          </w:tcPr>
          <w:p>
            <w:r>
              <w:t>stock_branches.allocated_qty</w:t>
            </w:r>
          </w:p>
        </w:tc>
        <w:tc>
          <w:tcPr>
            <w:tcW w:type="dxa" w:w="4968"/>
            <w:vAlign w:val="top"/>
          </w:tcPr>
          <w:p>
            <w:r>
              <w:t>Reserved quantity; not itself a physical movement.</w:t>
            </w:r>
          </w:p>
        </w:tc>
      </w:tr>
      <w:tr>
        <w:tc>
          <w:tcPr>
            <w:tcW w:type="dxa" w:w="4968"/>
            <w:vAlign w:val="top"/>
          </w:tcPr>
          <w:p>
            <w:r>
              <w:t>available_qty</w:t>
            </w:r>
          </w:p>
        </w:tc>
        <w:tc>
          <w:tcPr>
            <w:tcW w:type="dxa" w:w="4968"/>
            <w:vAlign w:val="top"/>
          </w:tcPr>
          <w:p>
            <w:r>
              <w:t>Derived availability: physical quantity minus reserved quantity.</w:t>
            </w:r>
          </w:p>
        </w:tc>
      </w:tr>
      <w:tr>
        <w:tc>
          <w:tcPr>
            <w:tcW w:type="dxa" w:w="4968"/>
            <w:vAlign w:val="top"/>
          </w:tcPr>
          <w:p>
            <w:r>
              <w:t>inventory_log</w:t>
            </w:r>
          </w:p>
        </w:tc>
        <w:tc>
          <w:tcPr>
            <w:tcW w:type="dxa" w:w="4968"/>
            <w:vAlign w:val="top"/>
          </w:tcPr>
          <w:p>
            <w:r>
              <w:t>Auditable record of posted inventory movements.</w:t>
            </w:r>
          </w:p>
        </w:tc>
      </w:tr>
    </w:tbl>
    <w:p/>
    <w:p>
      <w:r>
        <w:rPr>
          <w:b w:val="0"/>
        </w:rPr>
        <w:t>No movement may treat allocated_qty as if it were a physical movement quantity.</w:t>
      </w:r>
    </w:p>
    <w:p>
      <w:pPr>
        <w:pStyle w:val="Heading1"/>
      </w:pPr>
      <w:r>
        <w:t>5. Target Movement Vocabulary</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Movement Type</w:t>
            </w:r>
          </w:p>
        </w:tc>
        <w:tc>
          <w:tcPr>
            <w:tcW w:type="dxa" w:w="4968"/>
          </w:tcPr>
          <w:p>
            <w:r>
              <w:rPr>
                <w:b/>
              </w:rPr>
              <w:t>Target Business Meaning</w:t>
            </w:r>
          </w:p>
        </w:tc>
      </w:tr>
      <w:tr>
        <w:tc>
          <w:tcPr>
            <w:tcW w:type="dxa" w:w="4968"/>
            <w:vAlign w:val="top"/>
          </w:tcPr>
          <w:p>
            <w:r>
              <w:t>PurchaseIn</w:t>
            </w:r>
          </w:p>
        </w:tc>
        <w:tc>
          <w:tcPr>
            <w:tcW w:type="dxa" w:w="4968"/>
            <w:vAlign w:val="top"/>
          </w:tcPr>
          <w:p>
            <w:r>
              <w:t>Stock enters inventory from purchasing/receiving.</w:t>
            </w:r>
          </w:p>
        </w:tc>
      </w:tr>
      <w:tr>
        <w:tc>
          <w:tcPr>
            <w:tcW w:type="dxa" w:w="4968"/>
            <w:vAlign w:val="top"/>
          </w:tcPr>
          <w:p>
            <w:r>
              <w:t>TransferOut</w:t>
            </w:r>
          </w:p>
        </w:tc>
        <w:tc>
          <w:tcPr>
            <w:tcW w:type="dxa" w:w="4968"/>
            <w:vAlign w:val="top"/>
          </w:tcPr>
          <w:p>
            <w:r>
              <w:t>Stock leaves the source location as part of a transfer.</w:t>
            </w:r>
          </w:p>
        </w:tc>
      </w:tr>
      <w:tr>
        <w:tc>
          <w:tcPr>
            <w:tcW w:type="dxa" w:w="4968"/>
            <w:vAlign w:val="top"/>
          </w:tcPr>
          <w:p>
            <w:r>
              <w:t>TransferIn</w:t>
            </w:r>
          </w:p>
        </w:tc>
        <w:tc>
          <w:tcPr>
            <w:tcW w:type="dxa" w:w="4968"/>
            <w:vAlign w:val="top"/>
          </w:tcPr>
          <w:p>
            <w:r>
              <w:t>Stock enters the destination location as part of a transfer.</w:t>
            </w:r>
          </w:p>
        </w:tc>
      </w:tr>
      <w:tr>
        <w:tc>
          <w:tcPr>
            <w:tcW w:type="dxa" w:w="4968"/>
            <w:vAlign w:val="top"/>
          </w:tcPr>
          <w:p>
            <w:r>
              <w:t>Loading</w:t>
            </w:r>
          </w:p>
        </w:tc>
        <w:tc>
          <w:tcPr>
            <w:tcW w:type="dxa" w:w="4968"/>
            <w:vAlign w:val="top"/>
          </w:tcPr>
          <w:p>
            <w:r>
              <w:t>Stock is loaded into operational custody/location when explicitly modeled as loading.</w:t>
            </w:r>
          </w:p>
        </w:tc>
      </w:tr>
      <w:tr>
        <w:tc>
          <w:tcPr>
            <w:tcW w:type="dxa" w:w="4968"/>
            <w:vAlign w:val="top"/>
          </w:tcPr>
          <w:p>
            <w:r>
              <w:t>Unloading</w:t>
            </w:r>
          </w:p>
        </w:tc>
        <w:tc>
          <w:tcPr>
            <w:tcW w:type="dxa" w:w="4968"/>
            <w:vAlign w:val="top"/>
          </w:tcPr>
          <w:p>
            <w:r>
              <w:t>Stock returns from operational custody/location when explicitly modeled as unloading.</w:t>
            </w:r>
          </w:p>
        </w:tc>
      </w:tr>
      <w:tr>
        <w:tc>
          <w:tcPr>
            <w:tcW w:type="dxa" w:w="4968"/>
            <w:vAlign w:val="top"/>
          </w:tcPr>
          <w:p>
            <w:r>
              <w:t>POSSale</w:t>
            </w:r>
          </w:p>
        </w:tc>
        <w:tc>
          <w:tcPr>
            <w:tcW w:type="dxa" w:w="4968"/>
            <w:vAlign w:val="top"/>
          </w:tcPr>
          <w:p>
            <w:r>
              <w:t>Point-of-sale sale consumes stock from the selling location.</w:t>
            </w:r>
          </w:p>
        </w:tc>
      </w:tr>
      <w:tr>
        <w:tc>
          <w:tcPr>
            <w:tcW w:type="dxa" w:w="4968"/>
            <w:vAlign w:val="top"/>
          </w:tcPr>
          <w:p>
            <w:r>
              <w:t>VanSale</w:t>
            </w:r>
          </w:p>
        </w:tc>
        <w:tc>
          <w:tcPr>
            <w:tcW w:type="dxa" w:w="4968"/>
            <w:vAlign w:val="top"/>
          </w:tcPr>
          <w:p>
            <w:r>
              <w:t>Vehicle/representative sale consumes stock from vehicle custody.</w:t>
            </w:r>
          </w:p>
        </w:tc>
      </w:tr>
      <w:tr>
        <w:tc>
          <w:tcPr>
            <w:tcW w:type="dxa" w:w="4968"/>
            <w:vAlign w:val="top"/>
          </w:tcPr>
          <w:p>
            <w:r>
              <w:t>SalesReturn</w:t>
            </w:r>
          </w:p>
        </w:tc>
        <w:tc>
          <w:tcPr>
            <w:tcW w:type="dxa" w:w="4968"/>
            <w:vAlign w:val="top"/>
          </w:tcPr>
          <w:p>
            <w:r>
              <w:t>Customer sales return adds stock back according to the return event.</w:t>
            </w:r>
          </w:p>
        </w:tc>
      </w:tr>
      <w:tr>
        <w:tc>
          <w:tcPr>
            <w:tcW w:type="dxa" w:w="4968"/>
            <w:vAlign w:val="top"/>
          </w:tcPr>
          <w:p>
            <w:r>
              <w:t>PurchaseReturn</w:t>
            </w:r>
          </w:p>
        </w:tc>
        <w:tc>
          <w:tcPr>
            <w:tcW w:type="dxa" w:w="4968"/>
            <w:vAlign w:val="top"/>
          </w:tcPr>
          <w:p>
            <w:r>
              <w:t>Stock returned to supplier leaves inventory.</w:t>
            </w:r>
          </w:p>
        </w:tc>
      </w:tr>
      <w:tr>
        <w:tc>
          <w:tcPr>
            <w:tcW w:type="dxa" w:w="4968"/>
            <w:vAlign w:val="top"/>
          </w:tcPr>
          <w:p>
            <w:r>
              <w:t>InventoryIncrease</w:t>
            </w:r>
          </w:p>
        </w:tc>
        <w:tc>
          <w:tcPr>
            <w:tcW w:type="dxa" w:w="4968"/>
            <w:vAlign w:val="top"/>
          </w:tcPr>
          <w:p>
            <w:r>
              <w:t>Authorized inventory increase.</w:t>
            </w:r>
          </w:p>
        </w:tc>
      </w:tr>
      <w:tr>
        <w:tc>
          <w:tcPr>
            <w:tcW w:type="dxa" w:w="4968"/>
            <w:vAlign w:val="top"/>
          </w:tcPr>
          <w:p>
            <w:r>
              <w:t>InventoryDecrease</w:t>
            </w:r>
          </w:p>
        </w:tc>
        <w:tc>
          <w:tcPr>
            <w:tcW w:type="dxa" w:w="4968"/>
            <w:vAlign w:val="top"/>
          </w:tcPr>
          <w:p>
            <w:r>
              <w:t>Authorized inventory decrease.</w:t>
            </w:r>
          </w:p>
        </w:tc>
      </w:tr>
      <w:tr>
        <w:tc>
          <w:tcPr>
            <w:tcW w:type="dxa" w:w="4968"/>
            <w:vAlign w:val="top"/>
          </w:tcPr>
          <w:p>
            <w:r>
              <w:t>Adjustment</w:t>
            </w:r>
          </w:p>
        </w:tc>
        <w:tc>
          <w:tcPr>
            <w:tcW w:type="dxa" w:w="4968"/>
            <w:vAlign w:val="top"/>
          </w:tcPr>
          <w:p>
            <w:r>
              <w:t>Authorized stock adjustment.</w:t>
            </w:r>
          </w:p>
        </w:tc>
      </w:tr>
    </w:tbl>
    <w:p/>
    <w:p>
      <w:r>
        <w:rPr>
          <w:b w:val="0"/>
        </w:rPr>
        <w:t>The exact use of Loading/Unloading versus TransferOut/TransferIn in a workflow must be fixed by the domain event contract before implementation; applications may not invent alternate movement semantics.</w:t>
      </w:r>
    </w:p>
    <w:p>
      <w:pPr>
        <w:pStyle w:val="Heading1"/>
      </w:pPr>
      <w:r>
        <w:t>6. Manual Stock Voucher Domain</w:t>
      </w:r>
    </w:p>
    <w:p>
      <w:r>
        <w:rPr>
          <w:b w:val="0"/>
        </w:rPr>
        <w:t>Manual Stock Voucher is a formal document for moving stock/custody between defined parties or locations. It is not part of the Runsheet domain.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Voucher Type</w:t>
            </w:r>
          </w:p>
        </w:tc>
        <w:tc>
          <w:tcPr>
            <w:tcW w:type="dxa" w:w="4968"/>
          </w:tcPr>
          <w:p>
            <w:r>
              <w:rPr>
                <w:b/>
              </w:rPr>
              <w:t>Target Meaning</w:t>
            </w:r>
          </w:p>
        </w:tc>
      </w:tr>
      <w:tr>
        <w:tc>
          <w:tcPr>
            <w:tcW w:type="dxa" w:w="4968"/>
            <w:vAlign w:val="top"/>
          </w:tcPr>
          <w:p>
            <w:r>
              <w:t>Transfer</w:t>
            </w:r>
          </w:p>
        </w:tc>
        <w:tc>
          <w:tcPr>
            <w:tcW w:type="dxa" w:w="4968"/>
            <w:vAlign w:val="top"/>
          </w:tcPr>
          <w:p>
            <w:r>
              <w:t>Movement from one branch/location to another.</w:t>
            </w:r>
          </w:p>
        </w:tc>
      </w:tr>
      <w:tr>
        <w:tc>
          <w:tcPr>
            <w:tcW w:type="dxa" w:w="4968"/>
            <w:vAlign w:val="top"/>
          </w:tcPr>
          <w:p>
            <w:r>
              <w:t>DirectSale</w:t>
            </w:r>
          </w:p>
        </w:tc>
        <w:tc>
          <w:tcPr>
            <w:tcW w:type="dxa" w:w="4968"/>
            <w:vAlign w:val="top"/>
          </w:tcPr>
          <w:p>
            <w:r>
              <w:t>Direct custody issue: warehouse → vehicle/representative custody for field selling; not the customer sale.</w:t>
            </w:r>
          </w:p>
        </w:tc>
      </w:tr>
      <w:tr>
        <w:tc>
          <w:tcPr>
            <w:tcW w:type="dxa" w:w="4968"/>
            <w:vAlign w:val="top"/>
          </w:tcPr>
          <w:p>
            <w:r>
              <w:t>DirectReturn</w:t>
            </w:r>
          </w:p>
        </w:tc>
        <w:tc>
          <w:tcPr>
            <w:tcW w:type="dxa" w:w="4968"/>
            <w:vAlign w:val="top"/>
          </w:tcPr>
          <w:p>
            <w:r>
              <w:t>Direct custody return: vehicle/representative custody → warehouse.</w:t>
            </w:r>
          </w:p>
        </w:tc>
      </w:tr>
      <w:tr>
        <w:tc>
          <w:tcPr>
            <w:tcW w:type="dxa" w:w="4968"/>
            <w:vAlign w:val="top"/>
          </w:tcPr>
          <w:p>
            <w:r>
              <w:t>SupplierReturn</w:t>
            </w:r>
          </w:p>
        </w:tc>
        <w:tc>
          <w:tcPr>
            <w:tcW w:type="dxa" w:w="4968"/>
            <w:vAlign w:val="top"/>
          </w:tcPr>
          <w:p>
            <w:r>
              <w:t>Stock returned from warehouse to supplier.</w:t>
            </w:r>
          </w:p>
        </w:tc>
      </w:tr>
      <w:tr>
        <w:tc>
          <w:tcPr>
            <w:tcW w:type="dxa" w:w="4968"/>
            <w:vAlign w:val="top"/>
          </w:tcPr>
          <w:p>
            <w:r>
              <w:t>Scrap</w:t>
            </w:r>
          </w:p>
        </w:tc>
        <w:tc>
          <w:tcPr>
            <w:tcW w:type="dxa" w:w="4968"/>
            <w:vAlign w:val="top"/>
          </w:tcPr>
          <w:p>
            <w:r>
              <w:t>Authorized disposal/destruction movement.</w:t>
            </w:r>
          </w:p>
        </w:tc>
      </w:tr>
      <w:tr>
        <w:tc>
          <w:tcPr>
            <w:tcW w:type="dxa" w:w="4968"/>
            <w:vAlign w:val="top"/>
          </w:tcPr>
          <w:p>
            <w:r>
              <w:t>Adjustment</w:t>
            </w:r>
          </w:p>
        </w:tc>
        <w:tc>
          <w:tcPr>
            <w:tcW w:type="dxa" w:w="4968"/>
            <w:vAlign w:val="top"/>
          </w:tcPr>
          <w:p>
            <w:r>
              <w:t>Authorized stock adjustment/count reconciliation.</w:t>
            </w:r>
          </w:p>
        </w:tc>
      </w:tr>
    </w:tbl>
    <w:p/>
    <w:p>
      <w:pPr>
        <w:pStyle w:val="Heading1"/>
      </w:pPr>
      <w:r>
        <w:t>7. Voucher Lifecycle</w:t>
      </w:r>
    </w:p>
    <w:p>
      <w:r>
        <w:rPr>
          <w:b w:val="0"/>
        </w:rPr>
        <w:t>Create → Send → Receive → Complete → Cancel</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Stage</w:t>
            </w:r>
          </w:p>
        </w:tc>
        <w:tc>
          <w:tcPr>
            <w:tcW w:type="dxa" w:w="3312"/>
          </w:tcPr>
          <w:p>
            <w:r>
              <w:rPr>
                <w:b/>
              </w:rPr>
              <w:t>Target Responsibility</w:t>
            </w:r>
          </w:p>
        </w:tc>
        <w:tc>
          <w:tcPr>
            <w:tcW w:type="dxa" w:w="3312"/>
          </w:tcPr>
          <w:p>
            <w:r>
              <w:rPr>
                <w:b/>
              </w:rPr>
              <w:t>Inventory Effect</w:t>
            </w:r>
          </w:p>
        </w:tc>
      </w:tr>
      <w:tr>
        <w:tc>
          <w:tcPr>
            <w:tcW w:type="dxa" w:w="3312"/>
            <w:vAlign w:val="top"/>
          </w:tcPr>
          <w:p>
            <w:r>
              <w:t>Create</w:t>
            </w:r>
          </w:p>
        </w:tc>
        <w:tc>
          <w:tcPr>
            <w:tcW w:type="dxa" w:w="3312"/>
            <w:vAlign w:val="top"/>
          </w:tcPr>
          <w:p>
            <w:r>
              <w:t>Create a valid voucher in a pre-posting state.</w:t>
            </w:r>
          </w:p>
        </w:tc>
        <w:tc>
          <w:tcPr>
            <w:tcW w:type="dxa" w:w="3312"/>
            <w:vAlign w:val="top"/>
          </w:tcPr>
          <w:p>
            <w:r>
              <w:t>No physical stock movement.</w:t>
            </w:r>
          </w:p>
        </w:tc>
      </w:tr>
      <w:tr>
        <w:tc>
          <w:tcPr>
            <w:tcW w:type="dxa" w:w="3312"/>
            <w:vAlign w:val="top"/>
          </w:tcPr>
          <w:p>
            <w:r>
              <w:t>Send</w:t>
            </w:r>
          </w:p>
        </w:tc>
        <w:tc>
          <w:tcPr>
            <w:tcW w:type="dxa" w:w="3312"/>
            <w:vAlign w:val="top"/>
          </w:tcPr>
          <w:p>
            <w:r>
              <w:t>Validate and initiate the movement workflow.</w:t>
            </w:r>
          </w:p>
        </w:tc>
        <w:tc>
          <w:tcPr>
            <w:tcW w:type="dxa" w:w="3312"/>
            <w:vAlign w:val="top"/>
          </w:tcPr>
          <w:p>
            <w:r>
              <w:t>Only the defined posting event may create the movement.</w:t>
            </w:r>
          </w:p>
        </w:tc>
      </w:tr>
      <w:tr>
        <w:tc>
          <w:tcPr>
            <w:tcW w:type="dxa" w:w="3312"/>
            <w:vAlign w:val="top"/>
          </w:tcPr>
          <w:p>
            <w:r>
              <w:t>Receive</w:t>
            </w:r>
          </w:p>
        </w:tc>
        <w:tc>
          <w:tcPr>
            <w:tcW w:type="dxa" w:w="3312"/>
            <w:vAlign w:val="top"/>
          </w:tcPr>
          <w:p>
            <w:r>
              <w:t>Receiving party confirms receipt where required.</w:t>
            </w:r>
          </w:p>
        </w:tc>
        <w:tc>
          <w:tcPr>
            <w:tcW w:type="dxa" w:w="3312"/>
            <w:vAlign w:val="top"/>
          </w:tcPr>
          <w:p>
            <w:r>
              <w:t>Only the defined receiving event creates the receiving-side effect.</w:t>
            </w:r>
          </w:p>
        </w:tc>
      </w:tr>
      <w:tr>
        <w:tc>
          <w:tcPr>
            <w:tcW w:type="dxa" w:w="3312"/>
            <w:vAlign w:val="top"/>
          </w:tcPr>
          <w:p>
            <w:r>
              <w:t>Complete</w:t>
            </w:r>
          </w:p>
        </w:tc>
        <w:tc>
          <w:tcPr>
            <w:tcW w:type="dxa" w:w="3312"/>
            <w:vAlign w:val="top"/>
          </w:tcPr>
          <w:p>
            <w:r>
              <w:t>Finalize the document after required confirmations.</w:t>
            </w:r>
          </w:p>
        </w:tc>
        <w:tc>
          <w:tcPr>
            <w:tcW w:type="dxa" w:w="3312"/>
            <w:vAlign w:val="top"/>
          </w:tcPr>
          <w:p>
            <w:r>
              <w:t>No second physical movement merely because status becomes Complete.</w:t>
            </w:r>
          </w:p>
        </w:tc>
      </w:tr>
      <w:tr>
        <w:tc>
          <w:tcPr>
            <w:tcW w:type="dxa" w:w="3312"/>
            <w:vAlign w:val="top"/>
          </w:tcPr>
          <w:p>
            <w:r>
              <w:t>Cancel</w:t>
            </w:r>
          </w:p>
        </w:tc>
        <w:tc>
          <w:tcPr>
            <w:tcW w:type="dxa" w:w="3312"/>
            <w:vAlign w:val="top"/>
          </w:tcPr>
          <w:p>
            <w:r>
              <w:t>Cancel only when business rules permit.</w:t>
            </w:r>
          </w:p>
        </w:tc>
        <w:tc>
          <w:tcPr>
            <w:tcW w:type="dxa" w:w="3312"/>
            <w:vAlign w:val="top"/>
          </w:tcPr>
          <w:p>
            <w:r>
              <w:t>No movement if cancelled before posting; reversal semantics must be explicitly defined after posting.</w:t>
            </w:r>
          </w:p>
        </w:tc>
      </w:tr>
    </w:tbl>
    <w:p/>
    <w:p>
      <w:r>
        <w:rPr>
          <w:b w:val="0"/>
        </w:rPr>
        <w:t>A status transition must not accidentally become a second stock movement. Each physical movement is posted once by the central inventory engine.</w:t>
      </w:r>
    </w:p>
    <w:p>
      <w:pPr>
        <w:pStyle w:val="Heading1"/>
      </w:pPr>
      <w:r>
        <w:t>8. Target Flows</w:t>
      </w:r>
    </w:p>
    <w:p>
      <w:pPr>
        <w:pStyle w:val="Heading2"/>
      </w:pPr>
      <w:r>
        <w:t>8.1 Transfer</w:t>
      </w:r>
    </w:p>
    <w:p>
      <w:r>
        <w:rPr>
          <w:b w:val="0"/>
        </w:rPr>
        <w:t>Source Branch → Transfer Voucher → Destination Branch. Source decreases and destination increases, with an auditable movement record. The two sides belong to one business transaction/effect.</w:t>
      </w:r>
    </w:p>
    <w:p>
      <w:pPr>
        <w:pStyle w:val="Heading2"/>
      </w:pPr>
      <w:r>
        <w:t>8.2 Direct Sale / Custody Issue</w:t>
      </w:r>
    </w:p>
    <w:p>
      <w:r>
        <w:rPr>
          <w:b w:val="0"/>
        </w:rPr>
        <w:t>Warehouse → DirectSale Voucher → Vehicle/Representative Custody → Field Sale</w:t>
      </w:r>
    </w:p>
    <w:p>
      <w:r>
        <w:rPr>
          <w:b w:val="0"/>
        </w:rPr>
        <w:t>DirectSale is the custody-loading event, not the customer invoice. The vehicle/representative is temporary operational stock custody. The later Van Sale is a separate sales event consuming stock from that custody.</w:t>
      </w:r>
    </w:p>
    <w:p>
      <w:pPr>
        <w:pStyle w:val="Heading2"/>
      </w:pPr>
      <w:r>
        <w:t>8.3 Direct Return</w:t>
      </w:r>
    </w:p>
    <w:p>
      <w:r>
        <w:rPr>
          <w:b w:val="0"/>
        </w:rPr>
        <w:t>Vehicle/Representative Custody → DirectReturn Voucher → Warehouse</w:t>
      </w:r>
    </w:p>
    <w:p>
      <w:r>
        <w:rPr>
          <w:b w:val="0"/>
        </w:rPr>
        <w:t>DirectReturn is the return of remaining/returned custody stock and is distinct from a customer sales return.</w:t>
      </w:r>
    </w:p>
    <w:p>
      <w:pPr>
        <w:pStyle w:val="Heading2"/>
      </w:pPr>
      <w:r>
        <w:t>8.4 Supplier Return</w:t>
      </w:r>
    </w:p>
    <w:p>
      <w:r>
        <w:rPr>
          <w:b w:val="0"/>
        </w:rPr>
        <w:t>Warehouse → SupplierReturn → Supplier</w:t>
      </w:r>
    </w:p>
    <w:p>
      <w:r>
        <w:rPr>
          <w:b w:val="0"/>
        </w:rPr>
        <w:t>Supplier return is an inventory-out event with its own business/accounting consequences; UI code does not implement independent stock mutation.</w:t>
      </w:r>
    </w:p>
    <w:p>
      <w:pPr>
        <w:pStyle w:val="Heading1"/>
      </w:pPr>
      <w:r>
        <w:t>9. Source of Truth</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Domain</w:t>
            </w:r>
          </w:p>
        </w:tc>
        <w:tc>
          <w:tcPr>
            <w:tcW w:type="dxa" w:w="4968"/>
          </w:tcPr>
          <w:p>
            <w:r>
              <w:rPr>
                <w:b/>
              </w:rPr>
              <w:t>Target Source of Truth</w:t>
            </w:r>
          </w:p>
        </w:tc>
      </w:tr>
      <w:tr>
        <w:tc>
          <w:tcPr>
            <w:tcW w:type="dxa" w:w="4968"/>
            <w:vAlign w:val="top"/>
          </w:tcPr>
          <w:p>
            <w:r>
              <w:t>Physical branch/custody quantity</w:t>
            </w:r>
          </w:p>
        </w:tc>
        <w:tc>
          <w:tcPr>
            <w:tcW w:type="dxa" w:w="4968"/>
            <w:vAlign w:val="top"/>
          </w:tcPr>
          <w:p>
            <w:r>
              <w:t>stock_branches.qty</w:t>
            </w:r>
          </w:p>
        </w:tc>
      </w:tr>
      <w:tr>
        <w:tc>
          <w:tcPr>
            <w:tcW w:type="dxa" w:w="4968"/>
            <w:vAlign w:val="top"/>
          </w:tcPr>
          <w:p>
            <w:r>
              <w:t>Reserved quantity</w:t>
            </w:r>
          </w:p>
        </w:tc>
        <w:tc>
          <w:tcPr>
            <w:tcW w:type="dxa" w:w="4968"/>
            <w:vAlign w:val="top"/>
          </w:tcPr>
          <w:p>
            <w:r>
              <w:t>stock_branches.allocated_qty</w:t>
            </w:r>
          </w:p>
        </w:tc>
      </w:tr>
      <w:tr>
        <w:tc>
          <w:tcPr>
            <w:tcW w:type="dxa" w:w="4968"/>
            <w:vAlign w:val="top"/>
          </w:tcPr>
          <w:p>
            <w:r>
              <w:t>Available quantity</w:t>
            </w:r>
          </w:p>
        </w:tc>
        <w:tc>
          <w:tcPr>
            <w:tcW w:type="dxa" w:w="4968"/>
            <w:vAlign w:val="top"/>
          </w:tcPr>
          <w:p>
            <w:r>
              <w:t>Derived from physical minus reserved quantity</w:t>
            </w:r>
          </w:p>
        </w:tc>
      </w:tr>
      <w:tr>
        <w:tc>
          <w:tcPr>
            <w:tcW w:type="dxa" w:w="4968"/>
            <w:vAlign w:val="top"/>
          </w:tcPr>
          <w:p>
            <w:r>
              <w:t>Posted inventory movement history</w:t>
            </w:r>
          </w:p>
        </w:tc>
        <w:tc>
          <w:tcPr>
            <w:tcW w:type="dxa" w:w="4968"/>
            <w:vAlign w:val="top"/>
          </w:tcPr>
          <w:p>
            <w:r>
              <w:t>inventory_log</w:t>
            </w:r>
          </w:p>
        </w:tc>
      </w:tr>
      <w:tr>
        <w:tc>
          <w:tcPr>
            <w:tcW w:type="dxa" w:w="4968"/>
            <w:vAlign w:val="top"/>
          </w:tcPr>
          <w:p>
            <w:r>
              <w:t>Voucher document/header</w:t>
            </w:r>
          </w:p>
        </w:tc>
        <w:tc>
          <w:tcPr>
            <w:tcW w:type="dxa" w:w="4968"/>
            <w:vAlign w:val="top"/>
          </w:tcPr>
          <w:p>
            <w:r>
              <w:t>stock_vouchers</w:t>
            </w:r>
          </w:p>
        </w:tc>
      </w:tr>
      <w:tr>
        <w:tc>
          <w:tcPr>
            <w:tcW w:type="dxa" w:w="4968"/>
            <w:vAlign w:val="top"/>
          </w:tcPr>
          <w:p>
            <w:r>
              <w:t>Voucher line quantities</w:t>
            </w:r>
          </w:p>
        </w:tc>
        <w:tc>
          <w:tcPr>
            <w:tcW w:type="dxa" w:w="4968"/>
            <w:vAlign w:val="top"/>
          </w:tcPr>
          <w:p>
            <w:r>
              <w:t>stock_voucher_details</w:t>
            </w:r>
          </w:p>
        </w:tc>
      </w:tr>
      <w:tr>
        <w:tc>
          <w:tcPr>
            <w:tcW w:type="dxa" w:w="4968"/>
            <w:vAlign w:val="top"/>
          </w:tcPr>
          <w:p>
            <w:r>
              <w:t>Customer/sales transaction</w:t>
            </w:r>
          </w:p>
        </w:tc>
        <w:tc>
          <w:tcPr>
            <w:tcW w:type="dxa" w:w="4968"/>
            <w:vAlign w:val="top"/>
          </w:tcPr>
          <w:p>
            <w:r>
              <w:t>Sales domain tables (outside this movement-engine scope)</w:t>
            </w:r>
          </w:p>
        </w:tc>
      </w:tr>
      <w:tr>
        <w:tc>
          <w:tcPr>
            <w:tcW w:type="dxa" w:w="4968"/>
            <w:vAlign w:val="top"/>
          </w:tcPr>
          <w:p>
            <w:r>
              <w:t>Runsheet</w:t>
            </w:r>
          </w:p>
        </w:tc>
        <w:tc>
          <w:tcPr>
            <w:tcW w:type="dxa" w:w="4968"/>
            <w:vAlign w:val="top"/>
          </w:tcPr>
          <w:p>
            <w:r>
              <w:t>Runsheet domain (outside Manual Voucher ownership)</w:t>
            </w:r>
          </w:p>
        </w:tc>
      </w:tr>
    </w:tbl>
    <w:p/>
    <w:p>
      <w:r>
        <w:rPr>
          <w:b w:val="0"/>
        </w:rPr>
        <w:t>Detailed accounting balance ownership is outside this inventory design unless explicitly included by a later approved accounting Target Design.</w:t>
      </w:r>
    </w:p>
    <w:p>
      <w:pPr>
        <w:pStyle w:val="Heading1"/>
      </w:pPr>
      <w:r>
        <w:t>10. Atomicity and Transaction Boundary</w:t>
      </w:r>
    </w:p>
    <w:p>
      <w:r>
        <w:rPr>
          <w:b w:val="0"/>
        </w:rPr>
        <w:t>A posted inventory movement must be atomic: validation, stock mutation, and inventory movement recording succeed together or fail together.</w:t>
      </w:r>
    </w:p>
    <w:p>
      <w:r>
        <w:rPr>
          <w:b w:val="0"/>
        </w:rPr>
        <w:t>The target implementation boundary is a database-level atomic operation/RPC represented by post_stock_movement. The application layer must not split the physical update and inventory log into unrelated requests.</w:t>
      </w:r>
    </w:p>
    <w:p>
      <w:r>
        <w:rPr>
          <w:b w:val="0"/>
        </w:rPr>
        <w:t>The central operation must use appropriate row locking/concurrency control so simultaneous movements cannot both consume the same physical quantity.</w:t>
      </w:r>
    </w:p>
    <w:p>
      <w:pPr>
        <w:pStyle w:val="Heading1"/>
      </w:pPr>
      <w:r>
        <w:t>11. Reservation Boundary</w:t>
      </w:r>
    </w:p>
    <w:p>
      <w:r>
        <w:rPr>
          <w:b w:val="0"/>
        </w:rPr>
        <w:t>allocated_qty is not a substitute for posting a movement. Reservation and release are separate domain actions. The movement engine changes physical stock; a separate reservation operation manages allocated_qty.</w:t>
      </w:r>
    </w:p>
    <w:p>
      <w:pPr>
        <w:pStyle w:val="Heading1"/>
      </w:pPr>
      <w:r>
        <w:t>12. Application Boundaries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Application / Domain</w:t>
            </w:r>
          </w:p>
        </w:tc>
        <w:tc>
          <w:tcPr>
            <w:tcW w:type="dxa" w:w="3312"/>
          </w:tcPr>
          <w:p>
            <w:r>
              <w:rPr>
                <w:b/>
              </w:rPr>
              <w:t>May Do</w:t>
            </w:r>
          </w:p>
        </w:tc>
        <w:tc>
          <w:tcPr>
            <w:tcW w:type="dxa" w:w="3312"/>
          </w:tcPr>
          <w:p>
            <w:r>
              <w:rPr>
                <w:b/>
              </w:rPr>
              <w:t>Must Not Own</w:t>
            </w:r>
          </w:p>
        </w:tc>
      </w:tr>
      <w:tr>
        <w:tc>
          <w:tcPr>
            <w:tcW w:type="dxa" w:w="3312"/>
            <w:vAlign w:val="top"/>
          </w:tcPr>
          <w:p>
            <w:r>
              <w:t>Manual Stock Voucher UI</w:t>
            </w:r>
          </w:p>
        </w:tc>
        <w:tc>
          <w:tcPr>
            <w:tcW w:type="dxa" w:w="3312"/>
            <w:vAlign w:val="top"/>
          </w:tcPr>
          <w:p>
            <w:r>
              <w:t>Collect voucher data; request lifecycle actions.</w:t>
            </w:r>
          </w:p>
        </w:tc>
        <w:tc>
          <w:tcPr>
            <w:tcW w:type="dxa" w:w="3312"/>
            <w:vAlign w:val="top"/>
          </w:tcPr>
          <w:p>
            <w:r>
              <w:t>Independent stock mutation rules.</w:t>
            </w:r>
          </w:p>
        </w:tc>
      </w:tr>
      <w:tr>
        <w:tc>
          <w:tcPr>
            <w:tcW w:type="dxa" w:w="3312"/>
            <w:vAlign w:val="top"/>
          </w:tcPr>
          <w:p>
            <w:r>
              <w:t>Van Sales</w:t>
            </w:r>
          </w:p>
        </w:tc>
        <w:tc>
          <w:tcPr>
            <w:tcW w:type="dxa" w:w="3312"/>
            <w:vAlign w:val="top"/>
          </w:tcPr>
          <w:p>
            <w:r>
              <w:t>Perform van-sales workflows and request domain operations.</w:t>
            </w:r>
          </w:p>
        </w:tc>
        <w:tc>
          <w:tcPr>
            <w:tcW w:type="dxa" w:w="3312"/>
            <w:vAlign w:val="top"/>
          </w:tcPr>
          <w:p>
            <w:r>
              <w:t>Independent inventory movement rules.</w:t>
            </w:r>
          </w:p>
        </w:tc>
      </w:tr>
      <w:tr>
        <w:tc>
          <w:tcPr>
            <w:tcW w:type="dxa" w:w="3312"/>
            <w:vAlign w:val="top"/>
          </w:tcPr>
          <w:p>
            <w:r>
              <w:t>Warehouse</w:t>
            </w:r>
          </w:p>
        </w:tc>
        <w:tc>
          <w:tcPr>
            <w:tcW w:type="dxa" w:w="3312"/>
            <w:vAlign w:val="top"/>
          </w:tcPr>
          <w:p>
            <w:r>
              <w:t>Perform warehouse workflows and invoke approved inventory actions.</w:t>
            </w:r>
          </w:p>
        </w:tc>
        <w:tc>
          <w:tcPr>
            <w:tcW w:type="dxa" w:w="3312"/>
            <w:vAlign w:val="top"/>
          </w:tcPr>
          <w:p>
            <w:r>
              <w:t>A second inventory engine.</w:t>
            </w:r>
          </w:p>
        </w:tc>
      </w:tr>
      <w:tr>
        <w:tc>
          <w:tcPr>
            <w:tcW w:type="dxa" w:w="3312"/>
            <w:vAlign w:val="top"/>
          </w:tcPr>
          <w:p>
            <w:r>
              <w:t>Purchasing</w:t>
            </w:r>
          </w:p>
        </w:tc>
        <w:tc>
          <w:tcPr>
            <w:tcW w:type="dxa" w:w="3312"/>
            <w:vAlign w:val="top"/>
          </w:tcPr>
          <w:p>
            <w:r>
              <w:t>Initiate purchase receipt/return business events.</w:t>
            </w:r>
          </w:p>
        </w:tc>
        <w:tc>
          <w:tcPr>
            <w:tcW w:type="dxa" w:w="3312"/>
            <w:vAlign w:val="top"/>
          </w:tcPr>
          <w:p>
            <w:r>
              <w:t>Ad-hoc stock mutations.</w:t>
            </w:r>
          </w:p>
        </w:tc>
      </w:tr>
      <w:tr>
        <w:tc>
          <w:tcPr>
            <w:tcW w:type="dxa" w:w="3312"/>
            <w:vAlign w:val="top"/>
          </w:tcPr>
          <w:p>
            <w:r>
              <w:t>Returns</w:t>
            </w:r>
          </w:p>
        </w:tc>
        <w:tc>
          <w:tcPr>
            <w:tcW w:type="dxa" w:w="3312"/>
            <w:vAlign w:val="top"/>
          </w:tcPr>
          <w:p>
            <w:r>
              <w:t>Initiate approved return events.</w:t>
            </w:r>
          </w:p>
        </w:tc>
        <w:tc>
          <w:tcPr>
            <w:tcW w:type="dxa" w:w="3312"/>
            <w:vAlign w:val="top"/>
          </w:tcPr>
          <w:p>
            <w:r>
              <w:t>Independent stock truth.</w:t>
            </w:r>
          </w:p>
        </w:tc>
      </w:tr>
    </w:tbl>
    <w:p/>
    <w:p>
      <w:pPr>
        <w:pStyle w:val="Heading1"/>
      </w:pPr>
      <w:r>
        <w:t>13. Accounting Boundary</w:t>
      </w:r>
    </w:p>
    <w:p>
      <w:r>
        <w:rPr>
          <w:b w:val="0"/>
        </w:rPr>
        <w:t>Inventory movement and accounting are related but distinct domain responsibilities. The inventory engine owns the physical stock effect and inventory audit. Accounting posting must occur through the approved accounting domain engine and must not be duplicated across voucher, sales, settlement, and UI functions.</w:t>
      </w:r>
    </w:p>
    <w:p>
      <w:r>
        <w:rPr>
          <w:b w:val="0"/>
        </w:rPr>
        <w:t>This document deliberately does not freeze detailed chart-of-accounts mappings or journal-line rules; those belong to the accounting Target Design and must be proven before implementation.</w:t>
      </w:r>
    </w:p>
    <w:p>
      <w:pPr>
        <w:pStyle w:val="Heading1"/>
      </w:pPr>
      <w:r>
        <w:t>14. Van Sales Boundary</w:t>
      </w:r>
    </w:p>
    <w:p>
      <w:pPr>
        <w:pStyle w:val="ListBullet"/>
      </w:pPr>
      <w:r>
        <w:t>DirectSale = load custody.</w:t>
      </w:r>
    </w:p>
    <w:p>
      <w:pPr>
        <w:pStyle w:val="ListBullet"/>
      </w:pPr>
      <w:r>
        <w:t>VanSale = sell from custody.</w:t>
      </w:r>
    </w:p>
    <w:p>
      <w:pPr>
        <w:pStyle w:val="ListBullet"/>
      </w:pPr>
      <w:r>
        <w:t>DirectReturn = return remaining/returned custody.</w:t>
      </w:r>
    </w:p>
    <w:p>
      <w:pPr>
        <w:pStyle w:val="ListBullet"/>
      </w:pPr>
      <w:r>
        <w:t>Settlement = reconcile the operational result of van-sales activity.</w:t>
      </w:r>
    </w:p>
    <w:p>
      <w:r>
        <w:rPr>
          <w:b w:val="0"/>
        </w:rPr>
        <w:t>These are separate business events. Van Sales must not interpret DirectSale as a customer sale. Runsheet is a separate operational domain and must not become the hidden owner of DirectSale/DirectReturn custody movements.</w:t>
      </w:r>
    </w:p>
    <w:p>
      <w:pPr>
        <w:pStyle w:val="Heading1"/>
      </w:pPr>
      <w:r>
        <w:t>15. Core Invariants</w:t>
      </w:r>
    </w:p>
    <w:p>
      <w:pPr>
        <w:pStyle w:val="ListBullet"/>
      </w:pPr>
      <w:r>
        <w:t>Every physical stock mutation has one authoritative inventory posting path.</w:t>
      </w:r>
    </w:p>
    <w:p>
      <w:pPr>
        <w:pStyle w:val="ListBullet"/>
      </w:pPr>
      <w:r>
        <w:t>Every posted movement has an auditable inventory_log record.</w:t>
      </w:r>
    </w:p>
    <w:p>
      <w:pPr>
        <w:pStyle w:val="ListBullet"/>
      </w:pPr>
      <w:r>
        <w:t>A movement is never posted twice because two voucher statuses changed.</w:t>
      </w:r>
    </w:p>
    <w:p>
      <w:pPr>
        <w:pStyle w:val="ListBullet"/>
      </w:pPr>
      <w:r>
        <w:t>DirectSale never means customer sale; it means custody issue.</w:t>
      </w:r>
    </w:p>
    <w:p>
      <w:pPr>
        <w:pStyle w:val="ListBullet"/>
      </w:pPr>
      <w:r>
        <w:t>DirectReturn never means customer sales return; it means custody return.</w:t>
      </w:r>
    </w:p>
    <w:p>
      <w:pPr>
        <w:pStyle w:val="ListBullet"/>
      </w:pPr>
      <w:r>
        <w:t>VanSale consumes vehicle/representative custody; it does not create that custody.</w:t>
      </w:r>
    </w:p>
    <w:p>
      <w:pPr>
        <w:pStyle w:val="ListBullet"/>
      </w:pPr>
      <w:r>
        <w:t>allocated_qty is reservation state, not physical movement.</w:t>
      </w:r>
    </w:p>
    <w:p>
      <w:pPr>
        <w:pStyle w:val="ListBullet"/>
      </w:pPr>
      <w:r>
        <w:t>Applications cannot become alternative sources of truth for qty.</w:t>
      </w:r>
    </w:p>
    <w:p>
      <w:pPr>
        <w:pStyle w:val="ListBullet"/>
      </w:pPr>
      <w:r>
        <w:t>Runsheet does not own Manual Stock Voucher semantics.</w:t>
      </w:r>
    </w:p>
    <w:p>
      <w:pPr>
        <w:pStyle w:val="ListBullet"/>
      </w:pPr>
      <w:r>
        <w:t>No implementation proceeds until required Schema and code evidence is mapped to this target.</w:t>
      </w:r>
    </w:p>
    <w:p>
      <w:pPr>
        <w:pStyle w:val="Heading1"/>
      </w:pPr>
      <w:r>
        <w:t>16. Validation Contract Before Implementation</w:t>
      </w:r>
    </w:p>
    <w:p>
      <w:pPr>
        <w:pStyle w:val="ListBullet"/>
      </w:pPr>
      <w:r>
        <w:t>Map all inventory-affecting Edge Functions to the target movement vocabulary.</w:t>
      </w:r>
    </w:p>
    <w:p>
      <w:pPr>
        <w:pStyle w:val="ListBullet"/>
      </w:pPr>
      <w:r>
        <w:t>Identify all writes to stock_branches.qty.</w:t>
      </w:r>
    </w:p>
    <w:p>
      <w:pPr>
        <w:pStyle w:val="ListBullet"/>
      </w:pPr>
      <w:r>
        <w:t>Identify all writes to stock_branches.allocated_qty separately.</w:t>
      </w:r>
    </w:p>
    <w:p>
      <w:pPr>
        <w:pStyle w:val="ListBullet"/>
      </w:pPr>
      <w:r>
        <w:t>Identify all writes to inventory_log.</w:t>
      </w:r>
    </w:p>
    <w:p>
      <w:pPr>
        <w:pStyle w:val="ListBullet"/>
      </w:pPr>
      <w:r>
        <w:t>Identify all voucher lifecycle functions.</w:t>
      </w:r>
    </w:p>
    <w:p>
      <w:pPr>
        <w:pStyle w:val="ListBullet"/>
      </w:pPr>
      <w:r>
        <w:t>Identify DirectSale and DirectReturn end-to-end.</w:t>
      </w:r>
    </w:p>
    <w:p>
      <w:pPr>
        <w:pStyle w:val="ListBullet"/>
      </w:pPr>
      <w:r>
        <w:t>Identify VanSale stock consumption separately from custody loading.</w:t>
      </w:r>
    </w:p>
    <w:p>
      <w:pPr>
        <w:pStyle w:val="ListBullet"/>
      </w:pPr>
      <w:r>
        <w:t>Separate Runsheet movements from Manual Voucher ownership.</w:t>
      </w:r>
    </w:p>
    <w:p>
      <w:pPr>
        <w:pStyle w:val="ListBullet"/>
      </w:pPr>
      <w:r>
        <w:t>Map accounting side effects without assuming current implementation is the target.</w:t>
      </w:r>
    </w:p>
    <w:p>
      <w:pPr>
        <w:pStyle w:val="ListBullet"/>
      </w:pPr>
      <w:r>
        <w:t>Prove concurrency and atomicity behavior before implementation.</w:t>
      </w:r>
    </w:p>
    <w:p>
      <w:r>
        <w:rPr>
          <w:b w:val="0"/>
        </w:rPr>
        <w:t>Anything not proven from Database Schema, Edge Functions, applications, or explicit approved Target Design remains UNKNOWN and is not filled by assumption.</w:t>
      </w:r>
    </w:p>
    <w:p>
      <w:pPr>
        <w:pStyle w:val="Heading1"/>
      </w:pPr>
      <w:r>
        <w:t>17. Implementation Gate</w:t>
      </w:r>
    </w:p>
    <w:p>
      <w:r>
        <w:rPr>
          <w:b w:val="0"/>
        </w:rPr>
        <w:t>No Edge Function is modified merely because it currently behaves incorrectly. Modification occurs only after its intended event, source of truth, movement type, transaction boundary, inputs, outputs, and side effects are proven against this target design.</w:t>
      </w:r>
    </w:p>
    <w:p>
      <w:r>
        <w:rPr>
          <w:b w:val="0"/>
        </w:rPr>
        <w:t>Target Design → Evidence Matrix → Schema Verification → Function Mapping → Implementation → Test Contract → Validation → Close</w:t>
      </w:r>
    </w:p>
    <w:p>
      <w:pPr>
        <w:pStyle w:val="Heading1"/>
      </w:pPr>
      <w:r>
        <w:t>18. Explicit Out-of-Scope</w:t>
      </w:r>
    </w:p>
    <w:p>
      <w:pPr>
        <w:pStyle w:val="ListBullet"/>
      </w:pPr>
      <w:r>
        <w:t>Detailed sales-order architecture.</w:t>
      </w:r>
    </w:p>
    <w:p>
      <w:pPr>
        <w:pStyle w:val="ListBullet"/>
      </w:pPr>
      <w:r>
        <w:t>Detailed Runsheet architecture.</w:t>
      </w:r>
    </w:p>
    <w:p>
      <w:pPr>
        <w:pStyle w:val="ListBullet"/>
      </w:pPr>
      <w:r>
        <w:t>Full accounting chart and journal design.</w:t>
      </w:r>
    </w:p>
    <w:p>
      <w:pPr>
        <w:pStyle w:val="ListBullet"/>
      </w:pPr>
      <w:r>
        <w:t>Driver ledger target design.</w:t>
      </w:r>
    </w:p>
    <w:p>
      <w:pPr>
        <w:pStyle w:val="ListBullet"/>
      </w:pPr>
      <w:r>
        <w:t>UI redesign.</w:t>
      </w:r>
    </w:p>
    <w:p>
      <w:pPr>
        <w:pStyle w:val="ListBullet"/>
      </w:pPr>
      <w:r>
        <w:t>PWA implementation details.</w:t>
      </w:r>
    </w:p>
    <w:p>
      <w:pPr>
        <w:pStyle w:val="ListBullet"/>
      </w:pPr>
      <w:r>
        <w:t>Historical data migration/cleanup.</w:t>
      </w:r>
    </w:p>
    <w:p>
      <w:pPr>
        <w:pStyle w:val="ListBullet"/>
      </w:pPr>
      <w:r>
        <w:t>Performance tuning unrelated to the inventory movement boundary.</w:t>
      </w:r>
    </w:p>
    <w:p>
      <w:pPr>
        <w:pStyle w:val="Heading1"/>
      </w:pPr>
      <w:r>
        <w:t>19. Design Decision Summary</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Decision</w:t>
            </w:r>
          </w:p>
        </w:tc>
        <w:tc>
          <w:tcPr>
            <w:tcW w:type="dxa" w:w="4968"/>
          </w:tcPr>
          <w:p>
            <w:r>
              <w:rPr>
                <w:b/>
              </w:rPr>
              <w:t>Target</w:t>
            </w:r>
          </w:p>
        </w:tc>
      </w:tr>
      <w:tr>
        <w:tc>
          <w:tcPr>
            <w:tcW w:type="dxa" w:w="4968"/>
            <w:vAlign w:val="top"/>
          </w:tcPr>
          <w:p>
            <w:r>
              <w:t>Inventory core</w:t>
            </w:r>
          </w:p>
        </w:tc>
        <w:tc>
          <w:tcPr>
            <w:tcW w:type="dxa" w:w="4968"/>
            <w:vAlign w:val="top"/>
          </w:tcPr>
          <w:p>
            <w:r>
              <w:t>One central business core.</w:t>
            </w:r>
          </w:p>
        </w:tc>
      </w:tr>
      <w:tr>
        <w:tc>
          <w:tcPr>
            <w:tcW w:type="dxa" w:w="4968"/>
            <w:vAlign w:val="top"/>
          </w:tcPr>
          <w:p>
            <w:r>
              <w:t>Physical movement authority</w:t>
            </w:r>
          </w:p>
        </w:tc>
        <w:tc>
          <w:tcPr>
            <w:tcW w:type="dxa" w:w="4968"/>
            <w:vAlign w:val="top"/>
          </w:tcPr>
          <w:p>
            <w:r>
              <w:t>Central inventory movement operation.</w:t>
            </w:r>
          </w:p>
        </w:tc>
      </w:tr>
      <w:tr>
        <w:tc>
          <w:tcPr>
            <w:tcW w:type="dxa" w:w="4968"/>
            <w:vAlign w:val="top"/>
          </w:tcPr>
          <w:p>
            <w:r>
              <w:t>Physical stock truth</w:t>
            </w:r>
          </w:p>
        </w:tc>
        <w:tc>
          <w:tcPr>
            <w:tcW w:type="dxa" w:w="4968"/>
            <w:vAlign w:val="top"/>
          </w:tcPr>
          <w:p>
            <w:r>
              <w:t>stock_branches.qty</w:t>
            </w:r>
          </w:p>
        </w:tc>
      </w:tr>
      <w:tr>
        <w:tc>
          <w:tcPr>
            <w:tcW w:type="dxa" w:w="4968"/>
            <w:vAlign w:val="top"/>
          </w:tcPr>
          <w:p>
            <w:r>
              <w:t>Reservation truth</w:t>
            </w:r>
          </w:p>
        </w:tc>
        <w:tc>
          <w:tcPr>
            <w:tcW w:type="dxa" w:w="4968"/>
            <w:vAlign w:val="top"/>
          </w:tcPr>
          <w:p>
            <w:r>
              <w:t>stock_branches.allocated_qty</w:t>
            </w:r>
          </w:p>
        </w:tc>
      </w:tr>
      <w:tr>
        <w:tc>
          <w:tcPr>
            <w:tcW w:type="dxa" w:w="4968"/>
            <w:vAlign w:val="top"/>
          </w:tcPr>
          <w:p>
            <w:r>
              <w:t>Movement audit</w:t>
            </w:r>
          </w:p>
        </w:tc>
        <w:tc>
          <w:tcPr>
            <w:tcW w:type="dxa" w:w="4968"/>
            <w:vAlign w:val="top"/>
          </w:tcPr>
          <w:p>
            <w:r>
              <w:t>inventory_log</w:t>
            </w:r>
          </w:p>
        </w:tc>
      </w:tr>
      <w:tr>
        <w:tc>
          <w:tcPr>
            <w:tcW w:type="dxa" w:w="4968"/>
            <w:vAlign w:val="top"/>
          </w:tcPr>
          <w:p>
            <w:r>
              <w:t>Voucher header</w:t>
            </w:r>
          </w:p>
        </w:tc>
        <w:tc>
          <w:tcPr>
            <w:tcW w:type="dxa" w:w="4968"/>
            <w:vAlign w:val="top"/>
          </w:tcPr>
          <w:p>
            <w:r>
              <w:t>stock_vouchers</w:t>
            </w:r>
          </w:p>
        </w:tc>
      </w:tr>
      <w:tr>
        <w:tc>
          <w:tcPr>
            <w:tcW w:type="dxa" w:w="4968"/>
            <w:vAlign w:val="top"/>
          </w:tcPr>
          <w:p>
            <w:r>
              <w:t>Voucher details</w:t>
            </w:r>
          </w:p>
        </w:tc>
        <w:tc>
          <w:tcPr>
            <w:tcW w:type="dxa" w:w="4968"/>
            <w:vAlign w:val="top"/>
          </w:tcPr>
          <w:p>
            <w:r>
              <w:t>stock_voucher_details</w:t>
            </w:r>
          </w:p>
        </w:tc>
      </w:tr>
      <w:tr>
        <w:tc>
          <w:tcPr>
            <w:tcW w:type="dxa" w:w="4968"/>
            <w:vAlign w:val="top"/>
          </w:tcPr>
          <w:p>
            <w:r>
              <w:t>Voucher lifecycle</w:t>
            </w:r>
          </w:p>
        </w:tc>
        <w:tc>
          <w:tcPr>
            <w:tcW w:type="dxa" w:w="4968"/>
            <w:vAlign w:val="top"/>
          </w:tcPr>
          <w:p>
            <w:r>
              <w:t>Create → Send → Receive → Complete → Cancel</w:t>
            </w:r>
          </w:p>
        </w:tc>
      </w:tr>
      <w:tr>
        <w:tc>
          <w:tcPr>
            <w:tcW w:type="dxa" w:w="4968"/>
            <w:vAlign w:val="top"/>
          </w:tcPr>
          <w:p>
            <w:r>
              <w:t>DirectSale</w:t>
            </w:r>
          </w:p>
        </w:tc>
        <w:tc>
          <w:tcPr>
            <w:tcW w:type="dxa" w:w="4968"/>
            <w:vAlign w:val="top"/>
          </w:tcPr>
          <w:p>
            <w:r>
              <w:t>Custody issue to vehicle/representative.</w:t>
            </w:r>
          </w:p>
        </w:tc>
      </w:tr>
      <w:tr>
        <w:tc>
          <w:tcPr>
            <w:tcW w:type="dxa" w:w="4968"/>
            <w:vAlign w:val="top"/>
          </w:tcPr>
          <w:p>
            <w:r>
              <w:t>VanSale</w:t>
            </w:r>
          </w:p>
        </w:tc>
        <w:tc>
          <w:tcPr>
            <w:tcW w:type="dxa" w:w="4968"/>
            <w:vAlign w:val="top"/>
          </w:tcPr>
          <w:p>
            <w:r>
              <w:t>Separate sale consuming custody stock.</w:t>
            </w:r>
          </w:p>
        </w:tc>
      </w:tr>
      <w:tr>
        <w:tc>
          <w:tcPr>
            <w:tcW w:type="dxa" w:w="4968"/>
            <w:vAlign w:val="top"/>
          </w:tcPr>
          <w:p>
            <w:r>
              <w:t>DirectReturn</w:t>
            </w:r>
          </w:p>
        </w:tc>
        <w:tc>
          <w:tcPr>
            <w:tcW w:type="dxa" w:w="4968"/>
            <w:vAlign w:val="top"/>
          </w:tcPr>
          <w:p>
            <w:r>
              <w:t>Custody return to warehouse.</w:t>
            </w:r>
          </w:p>
        </w:tc>
      </w:tr>
      <w:tr>
        <w:tc>
          <w:tcPr>
            <w:tcW w:type="dxa" w:w="4968"/>
            <w:vAlign w:val="top"/>
          </w:tcPr>
          <w:p>
            <w:r>
              <w:t>Runsheet</w:t>
            </w:r>
          </w:p>
        </w:tc>
        <w:tc>
          <w:tcPr>
            <w:tcW w:type="dxa" w:w="4968"/>
            <w:vAlign w:val="top"/>
          </w:tcPr>
          <w:p>
            <w:r>
              <w:t>Separate operational domain.</w:t>
            </w:r>
          </w:p>
        </w:tc>
      </w:tr>
      <w:tr>
        <w:tc>
          <w:tcPr>
            <w:tcW w:type="dxa" w:w="4968"/>
            <w:vAlign w:val="top"/>
          </w:tcPr>
          <w:p>
            <w:r>
              <w:t>Implementation method</w:t>
            </w:r>
          </w:p>
        </w:tc>
        <w:tc>
          <w:tcPr>
            <w:tcW w:type="dxa" w:w="4968"/>
            <w:vAlign w:val="top"/>
          </w:tcPr>
          <w:p>
            <w:r>
              <w:t>Prove → Design → Implement → Validate.</w:t>
            </w:r>
          </w:p>
        </w:tc>
      </w:tr>
    </w:tbl>
    <w:p/>
    <w:p>
      <w:pPr>
        <w:pStyle w:val="Heading1"/>
      </w:pPr>
      <w:r>
        <w:t>20. Final Target Principle</w:t>
      </w:r>
    </w:p>
    <w:p>
      <w:r>
        <w:rPr>
          <w:b w:val="0"/>
        </w:rPr>
        <w:t>RAWAEA inventory must have one authoritative business core for physical stock movement. Applications express business intent; they do not own independent inventory logic. Manual Stock Vouchers manage formal custody/stock movements, while Van Sales consumes and reconciles the custody created by those movements. The target is established before code repair so no function is repaired against an unstable or accidental business model.</w:t>
      </w:r>
    </w:p>
    <w:p>
      <w:pPr>
        <w:pStyle w:val="Heading1"/>
      </w:pPr>
      <w:r>
        <w:t>21. Evidence Basis</w:t>
      </w:r>
    </w:p>
    <w:p>
      <w:pPr>
        <w:pStyle w:val="ListBullet"/>
      </w:pPr>
      <w:r>
        <w:t>Architecture/الأذونات المخزنية اليدوية.md</w:t>
      </w:r>
    </w:p>
    <w:p>
      <w:pPr>
        <w:pStyle w:val="ListBullet"/>
      </w:pPr>
      <w:r>
        <w:t>Edge_Function_Reports/_HISTORICAL/van-sales report.md</w:t>
      </w:r>
    </w:p>
    <w:p>
      <w:pPr>
        <w:pStyle w:val="ListBullet"/>
      </w:pPr>
      <w:r>
        <w:t>Previously established project Target Design direction for a central inventory movement engine.</w:t>
      </w:r>
    </w:p>
    <w:p>
      <w:pPr>
        <w:pStyle w:val="ListBullet"/>
      </w:pPr>
      <w:r>
        <w:t>Explicit project instruction that the system is under construction and Target Design is the decision reference.</w:t>
      </w:r>
    </w:p>
    <w:p>
      <w:r>
        <w:rPr>
          <w:b w:val="0"/>
        </w:rPr>
        <w:t>Where the references do not establish a final implementation detail, this document deliberately leaves the detail open for the subsequent Prove stage rather than inventing a rule.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