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MANUAL ROLL PACKING</w:t>
      </w:r>
    </w:p>
    <w:p>
      <w:pPr>
        <w:jc w:val="center"/>
      </w:pPr>
      <w:r>
        <w:rPr>
          <w:b/>
          <w:sz w:val="44"/>
        </w:rPr>
        <w:t>Ergonomic Feasibility Study</w:t>
      </w:r>
    </w:p>
    <w:p>
      <w:pPr>
        <w:jc w:val="center"/>
      </w:pPr>
      <w:r>
        <w:rPr>
          <w:sz w:val="28"/>
        </w:rPr>
        <w:br/>
        <w:t>Two-Person Handling of 15-ft and 25-ft Rolled Material</w:t>
        <w:br/>
      </w:r>
      <w:r>
        <w:rPr>
          <w:sz w:val="24"/>
        </w:rPr>
        <w:t>Ontario Industrial Setting</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vAlign w:val="center"/>
          </w:tcPr>
          <w:p>
            <w:r>
              <w:rPr>
                <w:b/>
                <w:sz w:val="18"/>
              </w:rPr>
              <w:t>Document Status</w:t>
            </w:r>
          </w:p>
        </w:tc>
        <w:tc>
          <w:tcPr>
            <w:tcW w:type="dxa" w:w="6624"/>
            <w:shd w:fill="D9EAF7"/>
            <w:vAlign w:val="center"/>
          </w:tcPr>
          <w:p>
            <w:r>
              <w:rPr>
                <w:b/>
                <w:sz w:val="18"/>
              </w:rPr>
              <w:t>Value</w:t>
            </w:r>
          </w:p>
        </w:tc>
      </w:tr>
      <w:tr>
        <w:tc>
          <w:tcPr>
            <w:tcW w:type="dxa" w:w="3168"/>
            <w:vAlign w:val="center"/>
          </w:tcPr>
          <w:p>
            <w:r>
              <w:rPr>
                <w:sz w:val="18"/>
              </w:rPr>
              <w:t>Assessment type</w:t>
            </w:r>
          </w:p>
        </w:tc>
        <w:tc>
          <w:tcPr>
            <w:tcW w:type="dxa" w:w="6624"/>
            <w:vAlign w:val="center"/>
          </w:tcPr>
          <w:p>
            <w:r>
              <w:rPr>
                <w:sz w:val="18"/>
              </w:rPr>
              <w:t>Preliminary engineering ergonomics feasibility study</w:t>
            </w:r>
          </w:p>
        </w:tc>
      </w:tr>
      <w:tr>
        <w:tc>
          <w:tcPr>
            <w:tcW w:type="dxa" w:w="3168"/>
            <w:vAlign w:val="center"/>
          </w:tcPr>
          <w:p>
            <w:r>
              <w:rPr>
                <w:sz w:val="18"/>
              </w:rPr>
              <w:t>25-ft roll weight</w:t>
            </w:r>
          </w:p>
        </w:tc>
        <w:tc>
          <w:tcPr>
            <w:tcW w:type="dxa" w:w="6624"/>
            <w:vAlign w:val="center"/>
          </w:tcPr>
          <w:p>
            <w:r>
              <w:rPr>
                <w:sz w:val="18"/>
              </w:rPr>
              <w:t>145 lb (65.8 kg)</w:t>
            </w:r>
          </w:p>
        </w:tc>
      </w:tr>
      <w:tr>
        <w:tc>
          <w:tcPr>
            <w:tcW w:type="dxa" w:w="3168"/>
            <w:vAlign w:val="center"/>
          </w:tcPr>
          <w:p>
            <w:r>
              <w:rPr>
                <w:sz w:val="18"/>
              </w:rPr>
              <w:t>15-ft roll weight</w:t>
            </w:r>
          </w:p>
        </w:tc>
        <w:tc>
          <w:tcPr>
            <w:tcW w:type="dxa" w:w="6624"/>
            <w:vAlign w:val="center"/>
          </w:tcPr>
          <w:p>
            <w:r>
              <w:rPr>
                <w:sz w:val="18"/>
              </w:rPr>
              <w:t>To be measured</w:t>
            </w:r>
          </w:p>
        </w:tc>
      </w:tr>
      <w:tr>
        <w:tc>
          <w:tcPr>
            <w:tcW w:type="dxa" w:w="3168"/>
            <w:vAlign w:val="center"/>
          </w:tcPr>
          <w:p>
            <w:r>
              <w:rPr>
                <w:sz w:val="18"/>
              </w:rPr>
              <w:t>Crew</w:t>
            </w:r>
          </w:p>
        </w:tc>
        <w:tc>
          <w:tcPr>
            <w:tcW w:type="dxa" w:w="6624"/>
            <w:vAlign w:val="center"/>
          </w:tcPr>
          <w:p>
            <w:r>
              <w:rPr>
                <w:sz w:val="18"/>
              </w:rPr>
              <w:t>2 workers</w:t>
            </w:r>
          </w:p>
        </w:tc>
      </w:tr>
      <w:tr>
        <w:tc>
          <w:tcPr>
            <w:tcW w:type="dxa" w:w="3168"/>
            <w:vAlign w:val="center"/>
          </w:tcPr>
          <w:p>
            <w:r>
              <w:rPr>
                <w:sz w:val="18"/>
              </w:rPr>
              <w:t>Shift</w:t>
            </w:r>
          </w:p>
        </w:tc>
        <w:tc>
          <w:tcPr>
            <w:tcW w:type="dxa" w:w="6624"/>
            <w:vAlign w:val="center"/>
          </w:tcPr>
          <w:p>
            <w:r>
              <w:rPr>
                <w:sz w:val="18"/>
              </w:rPr>
              <w:t>12 hours including breaks and setup</w:t>
            </w:r>
          </w:p>
        </w:tc>
      </w:tr>
      <w:tr>
        <w:tc>
          <w:tcPr>
            <w:tcW w:type="dxa" w:w="3168"/>
            <w:vAlign w:val="center"/>
          </w:tcPr>
          <w:p>
            <w:r>
              <w:rPr>
                <w:sz w:val="18"/>
              </w:rPr>
              <w:t>Prepared for</w:t>
            </w:r>
          </w:p>
        </w:tc>
        <w:tc>
          <w:tcPr>
            <w:tcW w:type="dxa" w:w="6624"/>
            <w:vAlign w:val="center"/>
          </w:tcPr>
          <w:p>
            <w:r>
              <w:rPr>
                <w:sz w:val="18"/>
              </w:rPr>
              <w:t>Internal engineering / Health &amp; Safety review</w:t>
            </w:r>
          </w:p>
        </w:tc>
      </w:tr>
    </w:tbl>
    <w:p/>
    <w:p>
      <w:pPr>
        <w:jc w:val="center"/>
      </w:pPr>
      <w:r>
        <w:rPr>
          <w:i/>
          <w:sz w:val="18"/>
        </w:rPr>
        <w:t>Important: This report is a preliminary engineering assessment. Final acceptance requires field measurements of the missing task variables and review under the workplace's formal Health &amp; Safety process.</w:t>
      </w:r>
    </w:p>
    <w:p>
      <w:r>
        <w:br w:type="page"/>
      </w:r>
    </w:p>
    <w:p>
      <w:pPr>
        <w:pStyle w:val="Heading1"/>
      </w:pPr>
      <w:r>
        <w:t>1. Executive Summary</w:t>
      </w:r>
    </w:p>
    <w:p>
      <w:r>
        <w:t>This study evaluates the feasibility of using two workers to manually lift, move and pack cylindrical rolls of material. The finished rolls are approximately 48 in wide and 12-15 in in outside diameter. The material length wound on the core is either 15 ft or 25 ft; it is not the physical width of the finished roll. The 25-ft product weighs approximately 145 lb (65.8 kg), while the 15-ft product weight remains to be measured.</w:t>
      </w:r>
    </w:p>
    <w:p>
      <w:r>
        <w:t>The 25-ft roll cannot be considered ergonomically acceptable simply because two workers can physically lift it. A nominal 50/50 load split gives 72.5 lb per worker, but team lifting does not guarantee equal loading throughout pickup, carrying, turning and placement. The current concept therefore requires quantitative and observational assessment before it is approved as a routine manual-handling method.</w:t>
      </w:r>
    </w:p>
    <w:p>
      <w:r>
        <w:t>The approximately 36-in handling height is favorable. The main concerns are load magnitude, horizontal reach, grip/coupling, team coordination, final placement height, possible trunk rotation, cumulative exposure over a 12-hour shift, and acute hazards such as dropped rolls, rolling and finger pinch points.</w:t>
      </w:r>
    </w:p>
    <w:p>
      <w:pPr>
        <w:pStyle w:val="Heading1"/>
      </w:pPr>
      <w:r>
        <w:t>2. Scope and Known Task Data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shd w:fill="D9EAF7"/>
            <w:vAlign w:val="center"/>
          </w:tcPr>
          <w:p>
            <w:r>
              <w:rPr>
                <w:b/>
                <w:sz w:val="18"/>
              </w:rPr>
              <w:t>Parameter</w:t>
            </w:r>
          </w:p>
        </w:tc>
        <w:tc>
          <w:tcPr>
            <w:tcW w:type="dxa" w:w="3024"/>
            <w:shd w:fill="D9EAF7"/>
            <w:vAlign w:val="center"/>
          </w:tcPr>
          <w:p>
            <w:r>
              <w:rPr>
                <w:b/>
                <w:sz w:val="18"/>
              </w:rPr>
              <w:t>15-ft Product</w:t>
            </w:r>
          </w:p>
        </w:tc>
        <w:tc>
          <w:tcPr>
            <w:tcW w:type="dxa" w:w="3024"/>
            <w:shd w:fill="D9EAF7"/>
            <w:vAlign w:val="center"/>
          </w:tcPr>
          <w:p>
            <w:r>
              <w:rPr>
                <w:b/>
                <w:sz w:val="18"/>
              </w:rPr>
              <w:t>25-ft Product</w:t>
            </w:r>
          </w:p>
        </w:tc>
      </w:tr>
      <w:tr>
        <w:tc>
          <w:tcPr>
            <w:tcW w:type="dxa" w:w="3312"/>
            <w:vAlign w:val="center"/>
          </w:tcPr>
          <w:p>
            <w:r>
              <w:rPr>
                <w:sz w:val="18"/>
              </w:rPr>
              <w:t>Material length wound on core</w:t>
            </w:r>
          </w:p>
        </w:tc>
        <w:tc>
          <w:tcPr>
            <w:tcW w:type="dxa" w:w="3024"/>
            <w:vAlign w:val="center"/>
          </w:tcPr>
          <w:p>
            <w:r>
              <w:rPr>
                <w:sz w:val="18"/>
              </w:rPr>
              <w:t>15 ft</w:t>
            </w:r>
          </w:p>
        </w:tc>
        <w:tc>
          <w:tcPr>
            <w:tcW w:type="dxa" w:w="3024"/>
            <w:vAlign w:val="center"/>
          </w:tcPr>
          <w:p>
            <w:r>
              <w:rPr>
                <w:sz w:val="18"/>
              </w:rPr>
              <w:t>25 ft</w:t>
            </w:r>
          </w:p>
        </w:tc>
      </w:tr>
      <w:tr>
        <w:tc>
          <w:tcPr>
            <w:tcW w:type="dxa" w:w="3312"/>
            <w:vAlign w:val="center"/>
          </w:tcPr>
          <w:p>
            <w:r>
              <w:rPr>
                <w:sz w:val="18"/>
              </w:rPr>
              <w:t>Finished roll width</w:t>
            </w:r>
          </w:p>
        </w:tc>
        <w:tc>
          <w:tcPr>
            <w:tcW w:type="dxa" w:w="3024"/>
            <w:vAlign w:val="center"/>
          </w:tcPr>
          <w:p>
            <w:r>
              <w:rPr>
                <w:sz w:val="18"/>
              </w:rPr>
              <w:t>~48 in</w:t>
            </w:r>
          </w:p>
        </w:tc>
        <w:tc>
          <w:tcPr>
            <w:tcW w:type="dxa" w:w="3024"/>
            <w:vAlign w:val="center"/>
          </w:tcPr>
          <w:p>
            <w:r>
              <w:rPr>
                <w:sz w:val="18"/>
              </w:rPr>
              <w:t>~48 in</w:t>
            </w:r>
          </w:p>
        </w:tc>
      </w:tr>
      <w:tr>
        <w:tc>
          <w:tcPr>
            <w:tcW w:type="dxa" w:w="3312"/>
            <w:vAlign w:val="center"/>
          </w:tcPr>
          <w:p>
            <w:r>
              <w:rPr>
                <w:sz w:val="18"/>
              </w:rPr>
              <w:t>Outside diameter</w:t>
            </w:r>
          </w:p>
        </w:tc>
        <w:tc>
          <w:tcPr>
            <w:tcW w:type="dxa" w:w="3024"/>
            <w:vAlign w:val="center"/>
          </w:tcPr>
          <w:p>
            <w:r>
              <w:rPr>
                <w:sz w:val="18"/>
              </w:rPr>
              <w:t>12-15 in</w:t>
            </w:r>
          </w:p>
        </w:tc>
        <w:tc>
          <w:tcPr>
            <w:tcW w:type="dxa" w:w="3024"/>
            <w:vAlign w:val="center"/>
          </w:tcPr>
          <w:p>
            <w:r>
              <w:rPr>
                <w:sz w:val="18"/>
              </w:rPr>
              <w:t>12-15 in</w:t>
            </w:r>
          </w:p>
        </w:tc>
      </w:tr>
      <w:tr>
        <w:tc>
          <w:tcPr>
            <w:tcW w:type="dxa" w:w="3312"/>
            <w:vAlign w:val="center"/>
          </w:tcPr>
          <w:p>
            <w:r>
              <w:rPr>
                <w:sz w:val="18"/>
              </w:rPr>
              <w:t>Core diameter</w:t>
            </w:r>
          </w:p>
        </w:tc>
        <w:tc>
          <w:tcPr>
            <w:tcW w:type="dxa" w:w="3024"/>
            <w:vAlign w:val="center"/>
          </w:tcPr>
          <w:p>
            <w:r>
              <w:rPr>
                <w:sz w:val="18"/>
              </w:rPr>
              <w:t>3 in</w:t>
            </w:r>
          </w:p>
        </w:tc>
        <w:tc>
          <w:tcPr>
            <w:tcW w:type="dxa" w:w="3024"/>
            <w:vAlign w:val="center"/>
          </w:tcPr>
          <w:p>
            <w:r>
              <w:rPr>
                <w:sz w:val="18"/>
              </w:rPr>
              <w:t>5 in</w:t>
            </w:r>
          </w:p>
        </w:tc>
      </w:tr>
      <w:tr>
        <w:tc>
          <w:tcPr>
            <w:tcW w:type="dxa" w:w="3312"/>
            <w:vAlign w:val="center"/>
          </w:tcPr>
          <w:p>
            <w:r>
              <w:rPr>
                <w:sz w:val="18"/>
              </w:rPr>
              <w:t>Roll weight</w:t>
            </w:r>
          </w:p>
        </w:tc>
        <w:tc>
          <w:tcPr>
            <w:tcW w:type="dxa" w:w="3024"/>
            <w:vAlign w:val="center"/>
          </w:tcPr>
          <w:p>
            <w:r>
              <w:rPr>
                <w:sz w:val="18"/>
              </w:rPr>
              <w:t>TBD</w:t>
            </w:r>
          </w:p>
        </w:tc>
        <w:tc>
          <w:tcPr>
            <w:tcW w:type="dxa" w:w="3024"/>
            <w:vAlign w:val="center"/>
          </w:tcPr>
          <w:p>
            <w:r>
              <w:rPr>
                <w:sz w:val="18"/>
              </w:rPr>
              <w:t>145 lb / 65.8 kg</w:t>
            </w:r>
          </w:p>
        </w:tc>
      </w:tr>
      <w:tr>
        <w:tc>
          <w:tcPr>
            <w:tcW w:type="dxa" w:w="3312"/>
            <w:vAlign w:val="center"/>
          </w:tcPr>
          <w:p>
            <w:r>
              <w:rPr>
                <w:sz w:val="18"/>
              </w:rPr>
              <w:t>Workers</w:t>
            </w:r>
          </w:p>
        </w:tc>
        <w:tc>
          <w:tcPr>
            <w:tcW w:type="dxa" w:w="3024"/>
            <w:vAlign w:val="center"/>
          </w:tcPr>
          <w:p>
            <w:r>
              <w:rPr>
                <w:sz w:val="18"/>
              </w:rPr>
              <w:t>2</w:t>
            </w:r>
          </w:p>
        </w:tc>
        <w:tc>
          <w:tcPr>
            <w:tcW w:type="dxa" w:w="3024"/>
            <w:vAlign w:val="center"/>
          </w:tcPr>
          <w:p>
            <w:r>
              <w:rPr>
                <w:sz w:val="18"/>
              </w:rPr>
              <w:t>2</w:t>
            </w:r>
          </w:p>
        </w:tc>
      </w:tr>
      <w:tr>
        <w:tc>
          <w:tcPr>
            <w:tcW w:type="dxa" w:w="3312"/>
            <w:vAlign w:val="center"/>
          </w:tcPr>
          <w:p>
            <w:r>
              <w:rPr>
                <w:sz w:val="18"/>
              </w:rPr>
              <w:t>Approx. handling height</w:t>
            </w:r>
          </w:p>
        </w:tc>
        <w:tc>
          <w:tcPr>
            <w:tcW w:type="dxa" w:w="3024"/>
            <w:vAlign w:val="center"/>
          </w:tcPr>
          <w:p>
            <w:r>
              <w:rPr>
                <w:sz w:val="18"/>
              </w:rPr>
              <w:t>~36 in</w:t>
            </w:r>
          </w:p>
        </w:tc>
        <w:tc>
          <w:tcPr>
            <w:tcW w:type="dxa" w:w="3024"/>
            <w:vAlign w:val="center"/>
          </w:tcPr>
          <w:p>
            <w:r>
              <w:rPr>
                <w:sz w:val="18"/>
              </w:rPr>
              <w:t>~36 in</w:t>
            </w:r>
          </w:p>
        </w:tc>
      </w:tr>
      <w:tr>
        <w:tc>
          <w:tcPr>
            <w:tcW w:type="dxa" w:w="3312"/>
            <w:vAlign w:val="center"/>
          </w:tcPr>
          <w:p>
            <w:r>
              <w:rPr>
                <w:sz w:val="18"/>
              </w:rPr>
              <w:t>Production target</w:t>
            </w:r>
          </w:p>
        </w:tc>
        <w:tc>
          <w:tcPr>
            <w:tcW w:type="dxa" w:w="3024"/>
            <w:vAlign w:val="center"/>
          </w:tcPr>
          <w:p>
            <w:r>
              <w:rPr>
                <w:sz w:val="18"/>
              </w:rPr>
              <w:t>85-100 rolls/shift</w:t>
            </w:r>
          </w:p>
        </w:tc>
        <w:tc>
          <w:tcPr>
            <w:tcW w:type="dxa" w:w="3024"/>
            <w:vAlign w:val="center"/>
          </w:tcPr>
          <w:p>
            <w:r>
              <w:rPr>
                <w:sz w:val="18"/>
              </w:rPr>
              <w:t>65 rolls/shift</w:t>
            </w:r>
          </w:p>
        </w:tc>
      </w:tr>
      <w:tr>
        <w:tc>
          <w:tcPr>
            <w:tcW w:type="dxa" w:w="3312"/>
            <w:vAlign w:val="center"/>
          </w:tcPr>
          <w:p>
            <w:r>
              <w:rPr>
                <w:sz w:val="18"/>
              </w:rPr>
              <w:t>Shift duration</w:t>
            </w:r>
          </w:p>
        </w:tc>
        <w:tc>
          <w:tcPr>
            <w:tcW w:type="dxa" w:w="3024"/>
            <w:vAlign w:val="center"/>
          </w:tcPr>
          <w:p>
            <w:r>
              <w:rPr>
                <w:sz w:val="18"/>
              </w:rPr>
              <w:t>12 h incl. breaks/setup</w:t>
            </w:r>
          </w:p>
        </w:tc>
        <w:tc>
          <w:tcPr>
            <w:tcW w:type="dxa" w:w="3024"/>
            <w:vAlign w:val="center"/>
          </w:tcPr>
          <w:p>
            <w:r>
              <w:rPr>
                <w:sz w:val="18"/>
              </w:rPr>
              <w:t>12 h incl. breaks/setup</w:t>
            </w:r>
          </w:p>
        </w:tc>
      </w:tr>
    </w:tbl>
    <w:p/>
    <w:p>
      <w:pPr>
        <w:pStyle w:val="Heading1"/>
      </w:pPr>
      <w:r>
        <w:t>3. Regulatory and Engineering Framework</w:t>
      </w:r>
    </w:p>
    <w:p>
      <w:r>
        <w:t>Ontario does not use a single universal legal maximum lifting weight for industrial workplaces. The relevant legal approach is hazard-based: material must be lifted, carried or moved using precautions and safeguards so that workers are not endangered. Cylindrical materials also require controls against unintended rolling or movement when stored.</w:t>
      </w:r>
    </w:p>
    <w:p>
      <w:r>
        <w:t>The study therefore uses recognized ergonomics methods as engineering evidence rather than treating any one numerical value as a legal lifting limit.</w:t>
      </w:r>
    </w:p>
    <w:p>
      <w:pPr>
        <w:pStyle w:val="ListBullet"/>
      </w:pPr>
      <w:r>
        <w:t>Ontario Occupational Health and Safety Act framework and Ontario Regulation 851 (Industrial Establishments), including material-handling safeguards.</w:t>
      </w:r>
    </w:p>
    <w:p>
      <w:pPr>
        <w:pStyle w:val="ListBullet"/>
      </w:pPr>
      <w:r>
        <w:t>NIOSH Revised Lifting Equation (RNLE) as a screening method for suitable two-handed individual lifting tasks.</w:t>
      </w:r>
    </w:p>
    <w:p>
      <w:pPr>
        <w:pStyle w:val="ListBullet"/>
      </w:pPr>
      <w:r>
        <w:t>Liberty Mutual Manual Materials Handling / Snook psychophysical methodology for population capability.</w:t>
      </w:r>
    </w:p>
    <w:p>
      <w:pPr>
        <w:pStyle w:val="ListBullet"/>
      </w:pPr>
      <w:r>
        <w:t>Team-lifting and general manual-material-handling guidance from CCOHS.</w:t>
      </w:r>
    </w:p>
    <w:p>
      <w:pPr>
        <w:pStyle w:val="ListBullet"/>
      </w:pPr>
      <w:r>
        <w:t>Task-specific biomechanical assessment of reach, posture, grip, balance, coordination, pinch/crush and dropped-load hazards.</w:t>
      </w:r>
    </w:p>
    <w:p>
      <w:pPr>
        <w:pStyle w:val="Heading1"/>
      </w:pPr>
      <w:r>
        <w:t>4. NIOSH Revised Lifting Equation - Theory</w:t>
      </w:r>
    </w:p>
    <w:p>
      <w:r>
        <w:t>The RNLE begins with a 51-lb (23-kg) load constant under idealized conditions. Multipliers reduce this value as the actual task departs from favorable conditions.</w:t>
      </w:r>
    </w:p>
    <w:p>
      <w:pPr>
        <w:jc w:val="center"/>
      </w:pPr>
      <w:r>
        <w:rPr>
          <w:b/>
          <w:sz w:val="26"/>
        </w:rPr>
        <w:t>RWL = LC x HM x VM x DM x AM x FM x CM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shd w:fill="D9EAF7"/>
            <w:vAlign w:val="center"/>
          </w:tcPr>
          <w:p>
            <w:r>
              <w:rPr>
                <w:b/>
                <w:sz w:val="18"/>
              </w:rPr>
              <w:t>Term</w:t>
            </w:r>
          </w:p>
        </w:tc>
        <w:tc>
          <w:tcPr>
            <w:tcW w:type="dxa" w:w="2448"/>
            <w:shd w:fill="D9EAF7"/>
            <w:vAlign w:val="center"/>
          </w:tcPr>
          <w:p>
            <w:r>
              <w:rPr>
                <w:b/>
                <w:sz w:val="18"/>
              </w:rPr>
              <w:t>Meaning</w:t>
            </w:r>
          </w:p>
        </w:tc>
        <w:tc>
          <w:tcPr>
            <w:tcW w:type="dxa" w:w="6048"/>
            <w:shd w:fill="D9EAF7"/>
            <w:vAlign w:val="center"/>
          </w:tcPr>
          <w:p>
            <w:r>
              <w:rPr>
                <w:b/>
                <w:sz w:val="18"/>
              </w:rPr>
              <w:t>Engineering Interpretation</w:t>
            </w:r>
          </w:p>
        </w:tc>
      </w:tr>
      <w:tr>
        <w:tc>
          <w:tcPr>
            <w:tcW w:type="dxa" w:w="1008"/>
            <w:vAlign w:val="center"/>
          </w:tcPr>
          <w:p>
            <w:r>
              <w:rPr>
                <w:sz w:val="18"/>
              </w:rPr>
              <w:t>LC</w:t>
            </w:r>
          </w:p>
        </w:tc>
        <w:tc>
          <w:tcPr>
            <w:tcW w:type="dxa" w:w="2448"/>
            <w:vAlign w:val="center"/>
          </w:tcPr>
          <w:p>
            <w:r>
              <w:rPr>
                <w:sz w:val="18"/>
              </w:rPr>
              <w:t>Load Constant</w:t>
            </w:r>
          </w:p>
        </w:tc>
        <w:tc>
          <w:tcPr>
            <w:tcW w:type="dxa" w:w="6048"/>
            <w:vAlign w:val="center"/>
          </w:tcPr>
          <w:p>
            <w:r>
              <w:rPr>
                <w:sz w:val="18"/>
              </w:rPr>
              <w:t>51 lb starting value under ideal conditions</w:t>
            </w:r>
          </w:p>
        </w:tc>
      </w:tr>
      <w:tr>
        <w:tc>
          <w:tcPr>
            <w:tcW w:type="dxa" w:w="1008"/>
            <w:vAlign w:val="center"/>
          </w:tcPr>
          <w:p>
            <w:r>
              <w:rPr>
                <w:sz w:val="18"/>
              </w:rPr>
              <w:t>HM</w:t>
            </w:r>
          </w:p>
        </w:tc>
        <w:tc>
          <w:tcPr>
            <w:tcW w:type="dxa" w:w="2448"/>
            <w:vAlign w:val="center"/>
          </w:tcPr>
          <w:p>
            <w:r>
              <w:rPr>
                <w:sz w:val="18"/>
              </w:rPr>
              <w:t>Horizontal Multiplier</w:t>
            </w:r>
          </w:p>
        </w:tc>
        <w:tc>
          <w:tcPr>
            <w:tcW w:type="dxa" w:w="6048"/>
            <w:vAlign w:val="center"/>
          </w:tcPr>
          <w:p>
            <w:r>
              <w:rPr>
                <w:sz w:val="18"/>
              </w:rPr>
              <w:t>Penalty for reaching away from the body</w:t>
            </w:r>
          </w:p>
        </w:tc>
      </w:tr>
      <w:tr>
        <w:tc>
          <w:tcPr>
            <w:tcW w:type="dxa" w:w="1008"/>
            <w:vAlign w:val="center"/>
          </w:tcPr>
          <w:p>
            <w:r>
              <w:rPr>
                <w:sz w:val="18"/>
              </w:rPr>
              <w:t>VM</w:t>
            </w:r>
          </w:p>
        </w:tc>
        <w:tc>
          <w:tcPr>
            <w:tcW w:type="dxa" w:w="2448"/>
            <w:vAlign w:val="center"/>
          </w:tcPr>
          <w:p>
            <w:r>
              <w:rPr>
                <w:sz w:val="18"/>
              </w:rPr>
              <w:t>Vertical Multiplier</w:t>
            </w:r>
          </w:p>
        </w:tc>
        <w:tc>
          <w:tcPr>
            <w:tcW w:type="dxa" w:w="6048"/>
            <w:vAlign w:val="center"/>
          </w:tcPr>
          <w:p>
            <w:r>
              <w:rPr>
                <w:sz w:val="18"/>
              </w:rPr>
              <w:t>Penalty for unfavorable hand height</w:t>
            </w:r>
          </w:p>
        </w:tc>
      </w:tr>
      <w:tr>
        <w:tc>
          <w:tcPr>
            <w:tcW w:type="dxa" w:w="1008"/>
            <w:vAlign w:val="center"/>
          </w:tcPr>
          <w:p>
            <w:r>
              <w:rPr>
                <w:sz w:val="18"/>
              </w:rPr>
              <w:t>DM</w:t>
            </w:r>
          </w:p>
        </w:tc>
        <w:tc>
          <w:tcPr>
            <w:tcW w:type="dxa" w:w="2448"/>
            <w:vAlign w:val="center"/>
          </w:tcPr>
          <w:p>
            <w:r>
              <w:rPr>
                <w:sz w:val="18"/>
              </w:rPr>
              <w:t>Distance Multiplier</w:t>
            </w:r>
          </w:p>
        </w:tc>
        <w:tc>
          <w:tcPr>
            <w:tcW w:type="dxa" w:w="6048"/>
            <w:vAlign w:val="center"/>
          </w:tcPr>
          <w:p>
            <w:r>
              <w:rPr>
                <w:sz w:val="18"/>
              </w:rPr>
              <w:t>Accounts for vertical travel distance</w:t>
            </w:r>
          </w:p>
        </w:tc>
      </w:tr>
      <w:tr>
        <w:tc>
          <w:tcPr>
            <w:tcW w:type="dxa" w:w="1008"/>
            <w:vAlign w:val="center"/>
          </w:tcPr>
          <w:p>
            <w:r>
              <w:rPr>
                <w:sz w:val="18"/>
              </w:rPr>
              <w:t>AM</w:t>
            </w:r>
          </w:p>
        </w:tc>
        <w:tc>
          <w:tcPr>
            <w:tcW w:type="dxa" w:w="2448"/>
            <w:vAlign w:val="center"/>
          </w:tcPr>
          <w:p>
            <w:r>
              <w:rPr>
                <w:sz w:val="18"/>
              </w:rPr>
              <w:t>Asymmetric Multiplier</w:t>
            </w:r>
          </w:p>
        </w:tc>
        <w:tc>
          <w:tcPr>
            <w:tcW w:type="dxa" w:w="6048"/>
            <w:vAlign w:val="center"/>
          </w:tcPr>
          <w:p>
            <w:r>
              <w:rPr>
                <w:sz w:val="18"/>
              </w:rPr>
              <w:t>Penalty for twisting/asymmetric posture</w:t>
            </w:r>
          </w:p>
        </w:tc>
      </w:tr>
      <w:tr>
        <w:tc>
          <w:tcPr>
            <w:tcW w:type="dxa" w:w="1008"/>
            <w:vAlign w:val="center"/>
          </w:tcPr>
          <w:p>
            <w:r>
              <w:rPr>
                <w:sz w:val="18"/>
              </w:rPr>
              <w:t>FM</w:t>
            </w:r>
          </w:p>
        </w:tc>
        <w:tc>
          <w:tcPr>
            <w:tcW w:type="dxa" w:w="2448"/>
            <w:vAlign w:val="center"/>
          </w:tcPr>
          <w:p>
            <w:r>
              <w:rPr>
                <w:sz w:val="18"/>
              </w:rPr>
              <w:t>Frequency Multiplier</w:t>
            </w:r>
          </w:p>
        </w:tc>
        <w:tc>
          <w:tcPr>
            <w:tcW w:type="dxa" w:w="6048"/>
            <w:vAlign w:val="center"/>
          </w:tcPr>
          <w:p>
            <w:r>
              <w:rPr>
                <w:sz w:val="18"/>
              </w:rPr>
              <w:t>Accounts for lift frequency and duration</w:t>
            </w:r>
          </w:p>
        </w:tc>
      </w:tr>
      <w:tr>
        <w:tc>
          <w:tcPr>
            <w:tcW w:type="dxa" w:w="1008"/>
            <w:vAlign w:val="center"/>
          </w:tcPr>
          <w:p>
            <w:r>
              <w:rPr>
                <w:sz w:val="18"/>
              </w:rPr>
              <w:t>CM</w:t>
            </w:r>
          </w:p>
        </w:tc>
        <w:tc>
          <w:tcPr>
            <w:tcW w:type="dxa" w:w="2448"/>
            <w:vAlign w:val="center"/>
          </w:tcPr>
          <w:p>
            <w:r>
              <w:rPr>
                <w:sz w:val="18"/>
              </w:rPr>
              <w:t>Coupling Multiplier</w:t>
            </w:r>
          </w:p>
        </w:tc>
        <w:tc>
          <w:tcPr>
            <w:tcW w:type="dxa" w:w="6048"/>
            <w:vAlign w:val="center"/>
          </w:tcPr>
          <w:p>
            <w:r>
              <w:rPr>
                <w:sz w:val="18"/>
              </w:rPr>
              <w:t>Accounts for grip/hand coupling quality</w:t>
            </w:r>
          </w:p>
        </w:tc>
      </w:tr>
    </w:tbl>
    <w:p/>
    <w:p>
      <w:pPr>
        <w:jc w:val="center"/>
      </w:pPr>
      <w:r>
        <w:rPr>
          <w:b/>
          <w:sz w:val="24"/>
        </w:rPr>
        <w:t>Lifting Index (LI) = Actual Load / Recommended Weight Limit (RWL)</w:t>
      </w:r>
    </w:p>
    <w:p>
      <w:r>
        <w:t>Interpretation: LI = 1 means the evaluated load equals the calculated RWL. LI = 2 means the actual load is twice the calculated RWL. The LI is not an injury probability and should not be interpreted as a percentage chance of injury.</w:t>
      </w:r>
    </w:p>
    <w:p>
      <w:pPr>
        <w:pStyle w:val="Heading1"/>
      </w:pPr>
      <w:r>
        <w:t>5. Important Limitation: Team Lifting</w:t>
      </w:r>
    </w:p>
    <w:p>
      <w:r>
        <w:t>The RNLE is fundamentally an individual two-handed lifting assessment. The current operation uses two workers. It is therefore not technically valid to divide 145 lb by two, enter 72.5 lb into RNLE and treat the resulting number as proof that the team lift is safe.</w:t>
      </w:r>
    </w:p>
    <w:p>
      <w:r>
        <w:t>The 72.5-lb figure is useful only as a nominal static load-sharing estimate. Actual load sharing changes when one worker initiates the lift first, one end is lowered first, workers differ in height, one worker walks backward, the roll is not centered, or one worker's grip changes.</w:t>
      </w:r>
    </w:p>
    <w:p>
      <w:pPr>
        <w:pStyle w:val="Heading1"/>
      </w:pPr>
      <w:r>
        <w:t>6. Preliminary 25-ft Load Analysis</w:t>
      </w:r>
    </w:p>
    <w:p>
      <w:r>
        <w:t>Total roll weight = 145 lb. With two workers, the nominal equal share is:</w:t>
      </w:r>
    </w:p>
    <w:p>
      <w:pPr>
        <w:jc w:val="center"/>
      </w:pPr>
      <w:r>
        <w:rPr>
          <w:b/>
        </w:rPr>
        <w:t>145 lb / 2 = 72.5 lb per worker (nominal only)</w:t>
      </w:r>
    </w:p>
    <w:p>
      <w:r>
        <w:t>For context, if a 145-lb load were assessed as a single-person lift under mathematically ideal RNLE conditions, the theoretical minimum Lifting Index would be 145/51 = 2.84. Real multipliers can only reduce the RWL from the ideal 51-lb starting value. This is not the final team-lift score; it demonstrates the magnitude of the total load.</w:t>
      </w:r>
    </w:p>
    <w:p>
      <w:pPr>
        <w:pStyle w:val="Heading1"/>
      </w:pPr>
      <w:r>
        <w:t>7. Horizontal Reach and Biomechanics</w:t>
      </w:r>
    </w:p>
    <w:p>
      <w:r>
        <w:t>Horizontal reach is expected to be one of the most important variables because the roll is 12-15 in in diameter. As a load moves farther from the worker's body, the external bending moment increases. A simplified relationship is:</w:t>
      </w:r>
    </w:p>
    <w:p>
      <w:pPr>
        <w:jc w:val="center"/>
      </w:pPr>
      <w:r>
        <w:rPr>
          <w:b/>
        </w:rPr>
        <w:t>Moment = Force x Distance</w:t>
      </w:r>
    </w:p>
    <w:p>
      <w:r>
        <w:t>Using the nominal 72.5-lb share for illustration only, a 10-in moment arm produces 725 lb-in, while a 20-in moment arm produces 1,450 lb-in. The load has not changed, but the external moment has approximately doubled.</w:t>
      </w:r>
    </w:p>
    <w:p>
      <w:r>
        <w:t>The RNLE horizontal multiplier is HM = 10/H (within the equation's defined range). If the measured horizontal hand distance were 15 in, HM would be about 0.667. This example shows why actual hand position must be measured rather than estimated.</w:t>
      </w:r>
    </w:p>
    <w:p>
      <w:pPr>
        <w:pStyle w:val="Heading1"/>
      </w:pPr>
      <w:r>
        <w:t>8. Vertical Height, Rotation and Grip</w:t>
      </w:r>
    </w:p>
    <w:p>
      <w:r>
        <w:t>The reported handling height of approximately 36 in is relatively favorable because it is near the waist/knuckle region. However, the destination height remains unknown. A 36-in pickup followed by lowering near floor level or stacking high would materially change the exposure.</w:t>
      </w:r>
    </w:p>
    <w:p>
      <w:pPr>
        <w:pStyle w:val="ListBullet"/>
      </w:pPr>
      <w:r>
        <w:t>Measure start and end hand height, not only the height of the supporting surface.</w:t>
      </w:r>
    </w:p>
    <w:p>
      <w:pPr>
        <w:pStyle w:val="ListBullet"/>
      </w:pPr>
      <w:r>
        <w:t>Observe whether workers rotate their trunks while holding the roll.</w:t>
      </w:r>
    </w:p>
    <w:p>
      <w:pPr>
        <w:pStyle w:val="ListBullet"/>
      </w:pPr>
      <w:r>
        <w:t>Record whether one worker must walk backward.</w:t>
      </w:r>
    </w:p>
    <w:p>
      <w:pPr>
        <w:pStyle w:val="ListBullet"/>
      </w:pPr>
      <w:r>
        <w:t>Determine whether workers grip the core, outside diameter, underside of the roll, or a dedicated handle.</w:t>
      </w:r>
    </w:p>
    <w:p>
      <w:pPr>
        <w:pStyle w:val="ListBullet"/>
      </w:pPr>
      <w:r>
        <w:t>Assess wrist deviation and finger/pinch exposure during final placement.</w:t>
      </w:r>
    </w:p>
    <w:p>
      <w:pPr>
        <w:pStyle w:val="Heading1"/>
      </w:pPr>
      <w:r>
        <w:t>9. Snook / Liberty Mutual Psychophysical Method</w:t>
      </w:r>
    </w:p>
    <w:p>
      <w:r>
        <w:t>The Liberty Mutual Manual Materials Handling method, developed from the Snook/Ciriello psychophysical research tradition, approaches the problem differently from RNLE. Instead of producing only a recommended weight, it estimates the percentage of a reference working population expected to perform a specified manual-handling task without perceived overexertion.</w:t>
      </w:r>
    </w:p>
    <w:p>
      <w:r>
        <w:t>A higher population percentage is better. For example, a 90% result means the modeled task is acceptable to a much larger proportion of the reference population than a 30% result. Liberty Mutual recommends designing for a high female population percentile because this provides a more inclusive design basis for the overall workforce.</w:t>
      </w:r>
    </w:p>
    <w:p>
      <w:r>
        <w:t>The method can evaluate lifting/lowering, carrying, and pushing/pulling using variables such as load, frequency, hand height, horizontal reach, distance and coupling. It does not eliminate the need to assess twisting, balance, pinch hazards or team coordination.</w:t>
      </w:r>
    </w:p>
    <w:p>
      <w:pPr>
        <w:pStyle w:val="Heading1"/>
      </w:pPr>
      <w:r>
        <w:t>10. Production Frequency and Exposure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fill="D9EAF7"/>
            <w:vAlign w:val="center"/>
          </w:tcPr>
          <w:p>
            <w:r>
              <w:rPr>
                <w:b/>
                <w:sz w:val="18"/>
              </w:rPr>
              <w:t>Product</w:t>
            </w:r>
          </w:p>
        </w:tc>
        <w:tc>
          <w:tcPr>
            <w:tcW w:type="dxa" w:w="1872"/>
            <w:shd w:fill="D9EAF7"/>
            <w:vAlign w:val="center"/>
          </w:tcPr>
          <w:p>
            <w:r>
              <w:rPr>
                <w:b/>
                <w:sz w:val="18"/>
              </w:rPr>
              <w:t>Target</w:t>
            </w:r>
          </w:p>
        </w:tc>
        <w:tc>
          <w:tcPr>
            <w:tcW w:type="dxa" w:w="2592"/>
            <w:shd w:fill="D9EAF7"/>
            <w:vAlign w:val="center"/>
          </w:tcPr>
          <w:p>
            <w:r>
              <w:rPr>
                <w:b/>
                <w:sz w:val="18"/>
              </w:rPr>
              <w:t>Average over 12 h</w:t>
            </w:r>
          </w:p>
        </w:tc>
        <w:tc>
          <w:tcPr>
            <w:tcW w:type="dxa" w:w="2592"/>
            <w:shd w:fill="D9EAF7"/>
            <w:vAlign w:val="center"/>
          </w:tcPr>
          <w:p>
            <w:r>
              <w:rPr>
                <w:b/>
                <w:sz w:val="18"/>
              </w:rPr>
              <w:t>Average Interval</w:t>
            </w:r>
          </w:p>
        </w:tc>
      </w:tr>
      <w:tr>
        <w:tc>
          <w:tcPr>
            <w:tcW w:type="dxa" w:w="1584"/>
            <w:vAlign w:val="center"/>
          </w:tcPr>
          <w:p>
            <w:r>
              <w:rPr>
                <w:sz w:val="18"/>
              </w:rPr>
              <w:t>15-ft</w:t>
            </w:r>
          </w:p>
        </w:tc>
        <w:tc>
          <w:tcPr>
            <w:tcW w:type="dxa" w:w="1872"/>
            <w:vAlign w:val="center"/>
          </w:tcPr>
          <w:p>
            <w:r>
              <w:rPr>
                <w:sz w:val="18"/>
              </w:rPr>
              <w:t>85 rolls</w:t>
            </w:r>
          </w:p>
        </w:tc>
        <w:tc>
          <w:tcPr>
            <w:tcW w:type="dxa" w:w="2592"/>
            <w:vAlign w:val="center"/>
          </w:tcPr>
          <w:p>
            <w:r>
              <w:rPr>
                <w:sz w:val="18"/>
              </w:rPr>
              <w:t>7.08 rolls/h</w:t>
            </w:r>
          </w:p>
        </w:tc>
        <w:tc>
          <w:tcPr>
            <w:tcW w:type="dxa" w:w="2592"/>
            <w:vAlign w:val="center"/>
          </w:tcPr>
          <w:p>
            <w:r>
              <w:rPr>
                <w:sz w:val="18"/>
              </w:rPr>
              <w:t>~8.5 min/roll</w:t>
            </w:r>
          </w:p>
        </w:tc>
      </w:tr>
      <w:tr>
        <w:tc>
          <w:tcPr>
            <w:tcW w:type="dxa" w:w="1584"/>
            <w:vAlign w:val="center"/>
          </w:tcPr>
          <w:p>
            <w:r>
              <w:rPr>
                <w:sz w:val="18"/>
              </w:rPr>
              <w:t>15-ft</w:t>
            </w:r>
          </w:p>
        </w:tc>
        <w:tc>
          <w:tcPr>
            <w:tcW w:type="dxa" w:w="1872"/>
            <w:vAlign w:val="center"/>
          </w:tcPr>
          <w:p>
            <w:r>
              <w:rPr>
                <w:sz w:val="18"/>
              </w:rPr>
              <w:t>100 rolls</w:t>
            </w:r>
          </w:p>
        </w:tc>
        <w:tc>
          <w:tcPr>
            <w:tcW w:type="dxa" w:w="2592"/>
            <w:vAlign w:val="center"/>
          </w:tcPr>
          <w:p>
            <w:r>
              <w:rPr>
                <w:sz w:val="18"/>
              </w:rPr>
              <w:t>8.33 rolls/h</w:t>
            </w:r>
          </w:p>
        </w:tc>
        <w:tc>
          <w:tcPr>
            <w:tcW w:type="dxa" w:w="2592"/>
            <w:vAlign w:val="center"/>
          </w:tcPr>
          <w:p>
            <w:r>
              <w:rPr>
                <w:sz w:val="18"/>
              </w:rPr>
              <w:t>~7.2 min/roll</w:t>
            </w:r>
          </w:p>
        </w:tc>
      </w:tr>
      <w:tr>
        <w:tc>
          <w:tcPr>
            <w:tcW w:type="dxa" w:w="1584"/>
            <w:vAlign w:val="center"/>
          </w:tcPr>
          <w:p>
            <w:r>
              <w:rPr>
                <w:sz w:val="18"/>
              </w:rPr>
              <w:t>25-ft</w:t>
            </w:r>
          </w:p>
        </w:tc>
        <w:tc>
          <w:tcPr>
            <w:tcW w:type="dxa" w:w="1872"/>
            <w:vAlign w:val="center"/>
          </w:tcPr>
          <w:p>
            <w:r>
              <w:rPr>
                <w:sz w:val="18"/>
              </w:rPr>
              <w:t>65 rolls</w:t>
            </w:r>
          </w:p>
        </w:tc>
        <w:tc>
          <w:tcPr>
            <w:tcW w:type="dxa" w:w="2592"/>
            <w:vAlign w:val="center"/>
          </w:tcPr>
          <w:p>
            <w:r>
              <w:rPr>
                <w:sz w:val="18"/>
              </w:rPr>
              <w:t>5.42 rolls/h</w:t>
            </w:r>
          </w:p>
        </w:tc>
        <w:tc>
          <w:tcPr>
            <w:tcW w:type="dxa" w:w="2592"/>
            <w:vAlign w:val="center"/>
          </w:tcPr>
          <w:p>
            <w:r>
              <w:rPr>
                <w:sz w:val="18"/>
              </w:rPr>
              <w:t>~11.1 min/roll</w:t>
            </w:r>
          </w:p>
        </w:tc>
      </w:tr>
    </w:tbl>
    <w:p/>
    <w:p>
      <w:r>
        <w:t>These are shift averages only. They should not be used as the final ergonomics frequency because the 12-hour shift includes breaks, setup, changeovers and downtime. The correct value is the handling frequency during active production. A 30-60 minute representative production observation should be used to establish lifts or handling cycles per minute.</w:t>
      </w:r>
    </w:p>
    <w:p>
      <w:pPr>
        <w:pStyle w:val="Heading1"/>
      </w:pPr>
      <w:r>
        <w:t>11. Cumulative Material Handled</w:t>
      </w:r>
    </w:p>
    <w:p>
      <w:r>
        <w:t>For the 25-ft product:</w:t>
      </w:r>
    </w:p>
    <w:p>
      <w:pPr>
        <w:jc w:val="center"/>
      </w:pPr>
      <w:r>
        <w:rPr>
          <w:b/>
        </w:rPr>
        <w:t>145 lb x 65 rolls = 9,425 lb (4,275 kg) handled by the team per shift</w:t>
      </w:r>
    </w:p>
    <w:p>
      <w:r>
        <w:t>If the load were perfectly divided, this corresponds nominally to 4,712.5 lb (2,137 kg) per worker per shift. Cumulative tonnage is not itself an ergonomic exposure limit; it is included to describe the magnitude of the work and the importance of controlling fatigue and individual high-force events.</w:t>
      </w:r>
    </w:p>
    <w:p>
      <w:pPr>
        <w:pStyle w:val="Heading1"/>
      </w:pPr>
      <w:r>
        <w:t>12. Acute Safety Hazards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AF7"/>
            <w:vAlign w:val="center"/>
          </w:tcPr>
          <w:p>
            <w:r>
              <w:rPr>
                <w:b/>
                <w:sz w:val="18"/>
              </w:rPr>
              <w:t>Hazard</w:t>
            </w:r>
          </w:p>
        </w:tc>
        <w:tc>
          <w:tcPr>
            <w:tcW w:type="dxa" w:w="3168"/>
            <w:shd w:fill="D9EAF7"/>
            <w:vAlign w:val="center"/>
          </w:tcPr>
          <w:p>
            <w:r>
              <w:rPr>
                <w:b/>
                <w:sz w:val="18"/>
              </w:rPr>
              <w:t>Potential Consequence</w:t>
            </w:r>
          </w:p>
        </w:tc>
        <w:tc>
          <w:tcPr>
            <w:tcW w:type="dxa" w:w="4320"/>
            <w:shd w:fill="D9EAF7"/>
            <w:vAlign w:val="center"/>
          </w:tcPr>
          <w:p>
            <w:r>
              <w:rPr>
                <w:b/>
                <w:sz w:val="18"/>
              </w:rPr>
              <w:t>Control Considerations</w:t>
            </w:r>
          </w:p>
        </w:tc>
      </w:tr>
      <w:tr>
        <w:tc>
          <w:tcPr>
            <w:tcW w:type="dxa" w:w="2016"/>
            <w:vAlign w:val="center"/>
          </w:tcPr>
          <w:p>
            <w:r>
              <w:rPr>
                <w:sz w:val="18"/>
              </w:rPr>
              <w:t>Dropped roll</w:t>
            </w:r>
          </w:p>
        </w:tc>
        <w:tc>
          <w:tcPr>
            <w:tcW w:type="dxa" w:w="3168"/>
            <w:vAlign w:val="center"/>
          </w:tcPr>
          <w:p>
            <w:r>
              <w:rPr>
                <w:sz w:val="18"/>
              </w:rPr>
              <w:t>Foot/ankle injury; crush injury</w:t>
            </w:r>
          </w:p>
        </w:tc>
        <w:tc>
          <w:tcPr>
            <w:tcW w:type="dxa" w:w="4320"/>
            <w:vAlign w:val="center"/>
          </w:tcPr>
          <w:p>
            <w:r>
              <w:rPr>
                <w:sz w:val="18"/>
              </w:rPr>
              <w:t>Supported transfer, footwear, lift assist, controlled placement</w:t>
            </w:r>
          </w:p>
        </w:tc>
      </w:tr>
      <w:tr>
        <w:tc>
          <w:tcPr>
            <w:tcW w:type="dxa" w:w="2016"/>
            <w:vAlign w:val="center"/>
          </w:tcPr>
          <w:p>
            <w:r>
              <w:rPr>
                <w:sz w:val="18"/>
              </w:rPr>
              <w:t>Uncontrolled rolling</w:t>
            </w:r>
          </w:p>
        </w:tc>
        <w:tc>
          <w:tcPr>
            <w:tcW w:type="dxa" w:w="3168"/>
            <w:vAlign w:val="center"/>
          </w:tcPr>
          <w:p>
            <w:r>
              <w:rPr>
                <w:sz w:val="18"/>
              </w:rPr>
              <w:t>Impact/crush; product movement</w:t>
            </w:r>
          </w:p>
        </w:tc>
        <w:tc>
          <w:tcPr>
            <w:tcW w:type="dxa" w:w="4320"/>
            <w:vAlign w:val="center"/>
          </w:tcPr>
          <w:p>
            <w:r>
              <w:rPr>
                <w:sz w:val="18"/>
              </w:rPr>
              <w:t>Cradles, stops, chocks, roller controls</w:t>
            </w:r>
          </w:p>
        </w:tc>
      </w:tr>
      <w:tr>
        <w:tc>
          <w:tcPr>
            <w:tcW w:type="dxa" w:w="2016"/>
            <w:vAlign w:val="center"/>
          </w:tcPr>
          <w:p>
            <w:r>
              <w:rPr>
                <w:sz w:val="18"/>
              </w:rPr>
              <w:t>Finger pinch</w:t>
            </w:r>
          </w:p>
        </w:tc>
        <w:tc>
          <w:tcPr>
            <w:tcW w:type="dxa" w:w="3168"/>
            <w:vAlign w:val="center"/>
          </w:tcPr>
          <w:p>
            <w:r>
              <w:rPr>
                <w:sz w:val="18"/>
              </w:rPr>
              <w:t>Hand/finger injury</w:t>
            </w:r>
          </w:p>
        </w:tc>
        <w:tc>
          <w:tcPr>
            <w:tcW w:type="dxa" w:w="4320"/>
            <w:vAlign w:val="center"/>
          </w:tcPr>
          <w:p>
            <w:r>
              <w:rPr>
                <w:sz w:val="18"/>
              </w:rPr>
              <w:t>Hands-clear placement, handles, spacing, fixtures</w:t>
            </w:r>
          </w:p>
        </w:tc>
      </w:tr>
      <w:tr>
        <w:tc>
          <w:tcPr>
            <w:tcW w:type="dxa" w:w="2016"/>
            <w:vAlign w:val="center"/>
          </w:tcPr>
          <w:p>
            <w:r>
              <w:rPr>
                <w:sz w:val="18"/>
              </w:rPr>
              <w:t>Unequal team lift</w:t>
            </w:r>
          </w:p>
        </w:tc>
        <w:tc>
          <w:tcPr>
            <w:tcW w:type="dxa" w:w="3168"/>
            <w:vAlign w:val="center"/>
          </w:tcPr>
          <w:p>
            <w:r>
              <w:rPr>
                <w:sz w:val="18"/>
              </w:rPr>
              <w:t>Sudden overload/back or shoulder strain</w:t>
            </w:r>
          </w:p>
        </w:tc>
        <w:tc>
          <w:tcPr>
            <w:tcW w:type="dxa" w:w="4320"/>
            <w:vAlign w:val="center"/>
          </w:tcPr>
          <w:p>
            <w:r>
              <w:rPr>
                <w:sz w:val="18"/>
              </w:rPr>
              <w:t>Standardized commands, positioning, engineering assist</w:t>
            </w:r>
          </w:p>
        </w:tc>
      </w:tr>
      <w:tr>
        <w:tc>
          <w:tcPr>
            <w:tcW w:type="dxa" w:w="2016"/>
            <w:vAlign w:val="center"/>
          </w:tcPr>
          <w:p>
            <w:r>
              <w:rPr>
                <w:sz w:val="18"/>
              </w:rPr>
              <w:t>Slip/trip while carrying</w:t>
            </w:r>
          </w:p>
        </w:tc>
        <w:tc>
          <w:tcPr>
            <w:tcW w:type="dxa" w:w="3168"/>
            <w:vAlign w:val="center"/>
          </w:tcPr>
          <w:p>
            <w:r>
              <w:rPr>
                <w:sz w:val="18"/>
              </w:rPr>
              <w:t>Fall while supporting heavy load</w:t>
            </w:r>
          </w:p>
        </w:tc>
        <w:tc>
          <w:tcPr>
            <w:tcW w:type="dxa" w:w="4320"/>
            <w:vAlign w:val="center"/>
          </w:tcPr>
          <w:p>
            <w:r>
              <w:rPr>
                <w:sz w:val="18"/>
              </w:rPr>
              <w:t>Clear travel path; preferably eliminate carrying</w:t>
            </w:r>
          </w:p>
        </w:tc>
      </w:tr>
      <w:tr>
        <w:tc>
          <w:tcPr>
            <w:tcW w:type="dxa" w:w="2016"/>
            <w:vAlign w:val="center"/>
          </w:tcPr>
          <w:p>
            <w:r>
              <w:rPr>
                <w:sz w:val="18"/>
              </w:rPr>
              <w:t>Twisting under load</w:t>
            </w:r>
          </w:p>
        </w:tc>
        <w:tc>
          <w:tcPr>
            <w:tcW w:type="dxa" w:w="3168"/>
            <w:vAlign w:val="center"/>
          </w:tcPr>
          <w:p>
            <w:r>
              <w:rPr>
                <w:sz w:val="18"/>
              </w:rPr>
              <w:t>Increased trunk loading</w:t>
            </w:r>
          </w:p>
        </w:tc>
        <w:tc>
          <w:tcPr>
            <w:tcW w:type="dxa" w:w="4320"/>
            <w:vAlign w:val="center"/>
          </w:tcPr>
          <w:p>
            <w:r>
              <w:rPr>
                <w:sz w:val="18"/>
              </w:rPr>
              <w:t>Reorient workstation; straight-line transfer</w:t>
            </w:r>
          </w:p>
        </w:tc>
      </w:tr>
    </w:tbl>
    <w:p/>
    <w:p>
      <w:pPr>
        <w:pStyle w:val="Heading1"/>
      </w:pPr>
      <w:r>
        <w:t>13. Preliminary Risk Assessment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D9EAF7"/>
            <w:vAlign w:val="center"/>
          </w:tcPr>
          <w:p>
            <w:r>
              <w:rPr>
                <w:b/>
                <w:sz w:val="18"/>
              </w:rPr>
              <w:t>Factor</w:t>
            </w:r>
          </w:p>
        </w:tc>
        <w:tc>
          <w:tcPr>
            <w:tcW w:type="dxa" w:w="3168"/>
            <w:shd w:fill="D9EAF7"/>
            <w:vAlign w:val="center"/>
          </w:tcPr>
          <w:p>
            <w:r>
              <w:rPr>
                <w:b/>
                <w:sz w:val="18"/>
              </w:rPr>
              <w:t>15-ft Roll</w:t>
            </w:r>
          </w:p>
        </w:tc>
        <w:tc>
          <w:tcPr>
            <w:tcW w:type="dxa" w:w="3168"/>
            <w:shd w:fill="D9EAF7"/>
            <w:vAlign w:val="center"/>
          </w:tcPr>
          <w:p>
            <w:r>
              <w:rPr>
                <w:b/>
                <w:sz w:val="18"/>
              </w:rPr>
              <w:t>25-ft Roll</w:t>
            </w:r>
          </w:p>
        </w:tc>
      </w:tr>
      <w:tr>
        <w:tc>
          <w:tcPr>
            <w:tcW w:type="dxa" w:w="2880"/>
            <w:vAlign w:val="center"/>
          </w:tcPr>
          <w:p>
            <w:r>
              <w:rPr>
                <w:sz w:val="18"/>
              </w:rPr>
              <w:t>Load magnitude</w:t>
            </w:r>
          </w:p>
        </w:tc>
        <w:tc>
          <w:tcPr>
            <w:tcW w:type="dxa" w:w="3168"/>
            <w:vAlign w:val="center"/>
          </w:tcPr>
          <w:p>
            <w:r>
              <w:rPr>
                <w:sz w:val="18"/>
              </w:rPr>
              <w:t>Pending weight</w:t>
            </w:r>
          </w:p>
        </w:tc>
        <w:tc>
          <w:tcPr>
            <w:tcW w:type="dxa" w:w="3168"/>
            <w:vAlign w:val="center"/>
          </w:tcPr>
          <w:p>
            <w:r>
              <w:rPr>
                <w:sz w:val="18"/>
              </w:rPr>
              <w:t>High concern</w:t>
            </w:r>
          </w:p>
        </w:tc>
      </w:tr>
      <w:tr>
        <w:tc>
          <w:tcPr>
            <w:tcW w:type="dxa" w:w="2880"/>
            <w:vAlign w:val="center"/>
          </w:tcPr>
          <w:p>
            <w:r>
              <w:rPr>
                <w:sz w:val="18"/>
              </w:rPr>
              <w:t>Working height</w:t>
            </w:r>
          </w:p>
        </w:tc>
        <w:tc>
          <w:tcPr>
            <w:tcW w:type="dxa" w:w="3168"/>
            <w:vAlign w:val="center"/>
          </w:tcPr>
          <w:p>
            <w:r>
              <w:rPr>
                <w:sz w:val="18"/>
              </w:rPr>
              <w:t>Relatively favorable</w:t>
            </w:r>
          </w:p>
        </w:tc>
        <w:tc>
          <w:tcPr>
            <w:tcW w:type="dxa" w:w="3168"/>
            <w:vAlign w:val="center"/>
          </w:tcPr>
          <w:p>
            <w:r>
              <w:rPr>
                <w:sz w:val="18"/>
              </w:rPr>
              <w:t>Relatively favorable</w:t>
            </w:r>
          </w:p>
        </w:tc>
      </w:tr>
      <w:tr>
        <w:tc>
          <w:tcPr>
            <w:tcW w:type="dxa" w:w="2880"/>
            <w:vAlign w:val="center"/>
          </w:tcPr>
          <w:p>
            <w:r>
              <w:rPr>
                <w:sz w:val="18"/>
              </w:rPr>
              <w:t>Horizontal reach</w:t>
            </w:r>
          </w:p>
        </w:tc>
        <w:tc>
          <w:tcPr>
            <w:tcW w:type="dxa" w:w="3168"/>
            <w:vAlign w:val="center"/>
          </w:tcPr>
          <w:p>
            <w:r>
              <w:rPr>
                <w:sz w:val="18"/>
              </w:rPr>
              <w:t>Measure</w:t>
            </w:r>
          </w:p>
        </w:tc>
        <w:tc>
          <w:tcPr>
            <w:tcW w:type="dxa" w:w="3168"/>
            <w:vAlign w:val="center"/>
          </w:tcPr>
          <w:p>
            <w:r>
              <w:rPr>
                <w:sz w:val="18"/>
              </w:rPr>
              <w:t>Potentially significant</w:t>
            </w:r>
          </w:p>
        </w:tc>
      </w:tr>
      <w:tr>
        <w:tc>
          <w:tcPr>
            <w:tcW w:type="dxa" w:w="2880"/>
            <w:vAlign w:val="center"/>
          </w:tcPr>
          <w:p>
            <w:r>
              <w:rPr>
                <w:sz w:val="18"/>
              </w:rPr>
              <w:t>Grip/coupling</w:t>
            </w:r>
          </w:p>
        </w:tc>
        <w:tc>
          <w:tcPr>
            <w:tcW w:type="dxa" w:w="3168"/>
            <w:vAlign w:val="center"/>
          </w:tcPr>
          <w:p>
            <w:r>
              <w:rPr>
                <w:sz w:val="18"/>
              </w:rPr>
              <w:t>Observe</w:t>
            </w:r>
          </w:p>
        </w:tc>
        <w:tc>
          <w:tcPr>
            <w:tcW w:type="dxa" w:w="3168"/>
            <w:vAlign w:val="center"/>
          </w:tcPr>
          <w:p>
            <w:r>
              <w:rPr>
                <w:sz w:val="18"/>
              </w:rPr>
              <w:t>Observe</w:t>
            </w:r>
          </w:p>
        </w:tc>
      </w:tr>
      <w:tr>
        <w:tc>
          <w:tcPr>
            <w:tcW w:type="dxa" w:w="2880"/>
            <w:vAlign w:val="center"/>
          </w:tcPr>
          <w:p>
            <w:r>
              <w:rPr>
                <w:sz w:val="18"/>
              </w:rPr>
              <w:t>Repetition</w:t>
            </w:r>
          </w:p>
        </w:tc>
        <w:tc>
          <w:tcPr>
            <w:tcW w:type="dxa" w:w="3168"/>
            <w:vAlign w:val="center"/>
          </w:tcPr>
          <w:p>
            <w:r>
              <w:rPr>
                <w:sz w:val="18"/>
              </w:rPr>
              <w:t>Moderate; verify active rate</w:t>
            </w:r>
          </w:p>
        </w:tc>
        <w:tc>
          <w:tcPr>
            <w:tcW w:type="dxa" w:w="3168"/>
            <w:vAlign w:val="center"/>
          </w:tcPr>
          <w:p>
            <w:r>
              <w:rPr>
                <w:sz w:val="18"/>
              </w:rPr>
              <w:t>Moderate; verify active rate</w:t>
            </w:r>
          </w:p>
        </w:tc>
      </w:tr>
      <w:tr>
        <w:tc>
          <w:tcPr>
            <w:tcW w:type="dxa" w:w="2880"/>
            <w:vAlign w:val="center"/>
          </w:tcPr>
          <w:p>
            <w:r>
              <w:rPr>
                <w:sz w:val="18"/>
              </w:rPr>
              <w:t>12-h exposure</w:t>
            </w:r>
          </w:p>
        </w:tc>
        <w:tc>
          <w:tcPr>
            <w:tcW w:type="dxa" w:w="3168"/>
            <w:vAlign w:val="center"/>
          </w:tcPr>
          <w:p>
            <w:r>
              <w:rPr>
                <w:sz w:val="18"/>
              </w:rPr>
              <w:t>Significant consideration</w:t>
            </w:r>
          </w:p>
        </w:tc>
        <w:tc>
          <w:tcPr>
            <w:tcW w:type="dxa" w:w="3168"/>
            <w:vAlign w:val="center"/>
          </w:tcPr>
          <w:p>
            <w:r>
              <w:rPr>
                <w:sz w:val="18"/>
              </w:rPr>
              <w:t>Significant consideration</w:t>
            </w:r>
          </w:p>
        </w:tc>
      </w:tr>
      <w:tr>
        <w:tc>
          <w:tcPr>
            <w:tcW w:type="dxa" w:w="2880"/>
            <w:vAlign w:val="center"/>
          </w:tcPr>
          <w:p>
            <w:r>
              <w:rPr>
                <w:sz w:val="18"/>
              </w:rPr>
              <w:t>Team coordination</w:t>
            </w:r>
          </w:p>
        </w:tc>
        <w:tc>
          <w:tcPr>
            <w:tcW w:type="dxa" w:w="3168"/>
            <w:vAlign w:val="center"/>
          </w:tcPr>
          <w:p>
            <w:r>
              <w:rPr>
                <w:sz w:val="18"/>
              </w:rPr>
              <w:t>Significant</w:t>
            </w:r>
          </w:p>
        </w:tc>
        <w:tc>
          <w:tcPr>
            <w:tcW w:type="dxa" w:w="3168"/>
            <w:vAlign w:val="center"/>
          </w:tcPr>
          <w:p>
            <w:r>
              <w:rPr>
                <w:sz w:val="18"/>
              </w:rPr>
              <w:t>Significant</w:t>
            </w:r>
          </w:p>
        </w:tc>
      </w:tr>
      <w:tr>
        <w:tc>
          <w:tcPr>
            <w:tcW w:type="dxa" w:w="2880"/>
            <w:vAlign w:val="center"/>
          </w:tcPr>
          <w:p>
            <w:r>
              <w:rPr>
                <w:sz w:val="18"/>
              </w:rPr>
              <w:t>Dropped/rolling load</w:t>
            </w:r>
          </w:p>
        </w:tc>
        <w:tc>
          <w:tcPr>
            <w:tcW w:type="dxa" w:w="3168"/>
            <w:vAlign w:val="center"/>
          </w:tcPr>
          <w:p>
            <w:r>
              <w:rPr>
                <w:sz w:val="18"/>
              </w:rPr>
              <w:t>Significant</w:t>
            </w:r>
          </w:p>
        </w:tc>
        <w:tc>
          <w:tcPr>
            <w:tcW w:type="dxa" w:w="3168"/>
            <w:vAlign w:val="center"/>
          </w:tcPr>
          <w:p>
            <w:r>
              <w:rPr>
                <w:sz w:val="18"/>
              </w:rPr>
              <w:t>Significant</w:t>
            </w:r>
          </w:p>
        </w:tc>
      </w:tr>
      <w:tr>
        <w:tc>
          <w:tcPr>
            <w:tcW w:type="dxa" w:w="2880"/>
            <w:vAlign w:val="center"/>
          </w:tcPr>
          <w:p>
            <w:r>
              <w:rPr>
                <w:sz w:val="18"/>
              </w:rPr>
              <w:t>Overall status</w:t>
            </w:r>
          </w:p>
        </w:tc>
        <w:tc>
          <w:tcPr>
            <w:tcW w:type="dxa" w:w="3168"/>
            <w:vAlign w:val="center"/>
          </w:tcPr>
          <w:p>
            <w:r>
              <w:rPr>
                <w:sz w:val="18"/>
              </w:rPr>
              <w:t>Pending weight/data</w:t>
            </w:r>
          </w:p>
        </w:tc>
        <w:tc>
          <w:tcPr>
            <w:tcW w:type="dxa" w:w="3168"/>
            <w:vAlign w:val="center"/>
          </w:tcPr>
          <w:p>
            <w:r>
              <w:rPr>
                <w:sz w:val="18"/>
              </w:rPr>
              <w:t>Not yet ergonomically validated</w:t>
            </w:r>
          </w:p>
        </w:tc>
      </w:tr>
    </w:tbl>
    <w:p/>
    <w:p>
      <w:pPr>
        <w:pStyle w:val="Heading1"/>
      </w:pPr>
      <w:r>
        <w:t>14. Engineering Control Options</w:t>
      </w:r>
    </w:p>
    <w:p>
      <w:r>
        <w:t>The preferred strategy is to reduce or eliminate unsupported lifting rather than relying primarily on worker strength, training or job rotation.</w:t>
      </w:r>
    </w:p>
    <w:p>
      <w:pPr>
        <w:pStyle w:val="ListNumber"/>
      </w:pPr>
      <w:r>
        <w:t>Supported rolling/transfer: keep the roll supported and guide it between the process and packing station.</w:t>
      </w:r>
    </w:p>
    <w:p>
      <w:pPr>
        <w:pStyle w:val="ListNumber"/>
      </w:pPr>
      <w:r>
        <w:t>Height-matched roller conveyor: align discharge and packing elevations to minimize vertical lifting.</w:t>
      </w:r>
    </w:p>
    <w:p>
      <w:pPr>
        <w:pStyle w:val="ListNumber"/>
      </w:pPr>
      <w:r>
        <w:t>Roll cradle/cart: capture the roll in a stable cradle and move the supported load.</w:t>
      </w:r>
    </w:p>
    <w:p>
      <w:pPr>
        <w:pStyle w:val="ListNumber"/>
      </w:pPr>
      <w:r>
        <w:t>Lift table or tilting table: position the roll at a favorable height and orientation.</w:t>
      </w:r>
    </w:p>
    <w:p>
      <w:pPr>
        <w:pStyle w:val="ListNumber"/>
      </w:pPr>
      <w:r>
        <w:t>Hoist/manipulator/roll lifter: use mechanical assistance where unsupported lifting cannot be eliminated.</w:t>
      </w:r>
    </w:p>
    <w:p>
      <w:pPr>
        <w:pStyle w:val="ListNumber"/>
      </w:pPr>
      <w:r>
        <w:t>Dedicated handles or gripping fixtures: improve coupling and reduce pinch/finger loading where manual guidance remains necessary.</w:t>
      </w:r>
    </w:p>
    <w:p>
      <w:pPr>
        <w:pStyle w:val="Heading1"/>
      </w:pPr>
      <w:r>
        <w:t>15. Recommended Low-Complexity Concept</w:t>
      </w:r>
    </w:p>
    <w:p>
      <w:r>
        <w:t>A cradle-and-roller transfer should be investigated before purchasing more complex automation. If the roll exits the process near 36 in and the packing station can be positioned at approximately the same elevation, the roll could remain supported while workers guide, rotate and position it. This changes the primary ergonomic problem from a 145-lb team lift to a controlled push/pull/positioning task.</w:t>
      </w:r>
    </w:p>
    <w:p>
      <w:r>
        <w:t>If this concept is pursued, initial and sustained push/pull forces should be measured with a calibrated force gauge and evaluated using the Liberty Mutual push/pull methodology. Stops, guards and cradles should prevent uncontrolled rolling.</w:t>
      </w:r>
    </w:p>
    <w:p>
      <w:pPr>
        <w:pStyle w:val="Heading1"/>
      </w:pPr>
      <w:r>
        <w:t>16. Measurements Required Before Final Approval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6480"/>
            <w:shd w:fill="D9EAF7"/>
            <w:vAlign w:val="center"/>
          </w:tcPr>
          <w:p>
            <w:r>
              <w:rPr>
                <w:b/>
                <w:sz w:val="18"/>
              </w:rPr>
              <w:t>Measurement / Observation</w:t>
            </w:r>
          </w:p>
        </w:tc>
        <w:tc>
          <w:tcPr>
            <w:tcW w:type="dxa" w:w="2592"/>
            <w:shd w:fill="D9EAF7"/>
            <w:vAlign w:val="center"/>
          </w:tcPr>
          <w:p>
            <w:r>
              <w:rPr>
                <w:b/>
                <w:sz w:val="18"/>
              </w:rPr>
              <w:t>Status</w:t>
            </w:r>
          </w:p>
        </w:tc>
      </w:tr>
      <w:tr>
        <w:tc>
          <w:tcPr>
            <w:tcW w:type="dxa" w:w="6480"/>
            <w:vAlign w:val="center"/>
          </w:tcPr>
          <w:p>
            <w:r>
              <w:rPr>
                <w:sz w:val="18"/>
              </w:rPr>
              <w:t>15-ft roll weight</w:t>
            </w:r>
          </w:p>
        </w:tc>
        <w:tc>
          <w:tcPr>
            <w:tcW w:type="dxa" w:w="2592"/>
            <w:vAlign w:val="center"/>
          </w:tcPr>
          <w:p>
            <w:r>
              <w:rPr>
                <w:sz w:val="18"/>
              </w:rPr>
              <w:t>Required</w:t>
            </w:r>
          </w:p>
        </w:tc>
      </w:tr>
      <w:tr>
        <w:tc>
          <w:tcPr>
            <w:tcW w:type="dxa" w:w="6480"/>
            <w:vAlign w:val="center"/>
          </w:tcPr>
          <w:p>
            <w:r>
              <w:rPr>
                <w:sz w:val="18"/>
              </w:rPr>
              <w:t>Actual start hand height</w:t>
            </w:r>
          </w:p>
        </w:tc>
        <w:tc>
          <w:tcPr>
            <w:tcW w:type="dxa" w:w="2592"/>
            <w:vAlign w:val="center"/>
          </w:tcPr>
          <w:p>
            <w:r>
              <w:rPr>
                <w:sz w:val="18"/>
              </w:rPr>
              <w:t>Verify</w:t>
            </w:r>
          </w:p>
        </w:tc>
      </w:tr>
      <w:tr>
        <w:tc>
          <w:tcPr>
            <w:tcW w:type="dxa" w:w="6480"/>
            <w:vAlign w:val="center"/>
          </w:tcPr>
          <w:p>
            <w:r>
              <w:rPr>
                <w:sz w:val="18"/>
              </w:rPr>
              <w:t>Actual destination hand height</w:t>
            </w:r>
          </w:p>
        </w:tc>
        <w:tc>
          <w:tcPr>
            <w:tcW w:type="dxa" w:w="2592"/>
            <w:vAlign w:val="center"/>
          </w:tcPr>
          <w:p>
            <w:r>
              <w:rPr>
                <w:sz w:val="18"/>
              </w:rPr>
              <w:t>Required</w:t>
            </w:r>
          </w:p>
        </w:tc>
      </w:tr>
      <w:tr>
        <w:tc>
          <w:tcPr>
            <w:tcW w:type="dxa" w:w="6480"/>
            <w:vAlign w:val="center"/>
          </w:tcPr>
          <w:p>
            <w:r>
              <w:rPr>
                <w:sz w:val="18"/>
              </w:rPr>
              <w:t>Horizontal hand distance from ankles/body</w:t>
            </w:r>
          </w:p>
        </w:tc>
        <w:tc>
          <w:tcPr>
            <w:tcW w:type="dxa" w:w="2592"/>
            <w:vAlign w:val="center"/>
          </w:tcPr>
          <w:p>
            <w:r>
              <w:rPr>
                <w:sz w:val="18"/>
              </w:rPr>
              <w:t>Required</w:t>
            </w:r>
          </w:p>
        </w:tc>
      </w:tr>
      <w:tr>
        <w:tc>
          <w:tcPr>
            <w:tcW w:type="dxa" w:w="6480"/>
            <w:vAlign w:val="center"/>
          </w:tcPr>
          <w:p>
            <w:r>
              <w:rPr>
                <w:sz w:val="18"/>
              </w:rPr>
              <w:t>Vertical travel distance</w:t>
            </w:r>
          </w:p>
        </w:tc>
        <w:tc>
          <w:tcPr>
            <w:tcW w:type="dxa" w:w="2592"/>
            <w:vAlign w:val="center"/>
          </w:tcPr>
          <w:p>
            <w:r>
              <w:rPr>
                <w:sz w:val="18"/>
              </w:rPr>
              <w:t>Required</w:t>
            </w:r>
          </w:p>
        </w:tc>
      </w:tr>
      <w:tr>
        <w:tc>
          <w:tcPr>
            <w:tcW w:type="dxa" w:w="6480"/>
            <w:vAlign w:val="center"/>
          </w:tcPr>
          <w:p>
            <w:r>
              <w:rPr>
                <w:sz w:val="18"/>
              </w:rPr>
              <w:t>Carrying distance</w:t>
            </w:r>
          </w:p>
        </w:tc>
        <w:tc>
          <w:tcPr>
            <w:tcW w:type="dxa" w:w="2592"/>
            <w:vAlign w:val="center"/>
          </w:tcPr>
          <w:p>
            <w:r>
              <w:rPr>
                <w:sz w:val="18"/>
              </w:rPr>
              <w:t>Required</w:t>
            </w:r>
          </w:p>
        </w:tc>
      </w:tr>
      <w:tr>
        <w:tc>
          <w:tcPr>
            <w:tcW w:type="dxa" w:w="6480"/>
            <w:vAlign w:val="center"/>
          </w:tcPr>
          <w:p>
            <w:r>
              <w:rPr>
                <w:sz w:val="18"/>
              </w:rPr>
              <w:t>Trunk rotation / asymmetry angle</w:t>
            </w:r>
          </w:p>
        </w:tc>
        <w:tc>
          <w:tcPr>
            <w:tcW w:type="dxa" w:w="2592"/>
            <w:vAlign w:val="center"/>
          </w:tcPr>
          <w:p>
            <w:r>
              <w:rPr>
                <w:sz w:val="18"/>
              </w:rPr>
              <w:t>Required</w:t>
            </w:r>
          </w:p>
        </w:tc>
      </w:tr>
      <w:tr>
        <w:tc>
          <w:tcPr>
            <w:tcW w:type="dxa" w:w="6480"/>
            <w:vAlign w:val="center"/>
          </w:tcPr>
          <w:p>
            <w:r>
              <w:rPr>
                <w:sz w:val="18"/>
              </w:rPr>
              <w:t>Actual active-production handling frequency</w:t>
            </w:r>
          </w:p>
        </w:tc>
        <w:tc>
          <w:tcPr>
            <w:tcW w:type="dxa" w:w="2592"/>
            <w:vAlign w:val="center"/>
          </w:tcPr>
          <w:p>
            <w:r>
              <w:rPr>
                <w:sz w:val="18"/>
              </w:rPr>
              <w:t>Required</w:t>
            </w:r>
          </w:p>
        </w:tc>
      </w:tr>
      <w:tr>
        <w:tc>
          <w:tcPr>
            <w:tcW w:type="dxa" w:w="6480"/>
            <w:vAlign w:val="center"/>
          </w:tcPr>
          <w:p>
            <w:r>
              <w:rPr>
                <w:sz w:val="18"/>
              </w:rPr>
              <w:t>Grip location and coupling quality</w:t>
            </w:r>
          </w:p>
        </w:tc>
        <w:tc>
          <w:tcPr>
            <w:tcW w:type="dxa" w:w="2592"/>
            <w:vAlign w:val="center"/>
          </w:tcPr>
          <w:p>
            <w:r>
              <w:rPr>
                <w:sz w:val="18"/>
              </w:rPr>
              <w:t>Required</w:t>
            </w:r>
          </w:p>
        </w:tc>
      </w:tr>
      <w:tr>
        <w:tc>
          <w:tcPr>
            <w:tcW w:type="dxa" w:w="6480"/>
            <w:vAlign w:val="center"/>
          </w:tcPr>
          <w:p>
            <w:r>
              <w:rPr>
                <w:sz w:val="18"/>
              </w:rPr>
              <w:t>Whether one worker walks backward</w:t>
            </w:r>
          </w:p>
        </w:tc>
        <w:tc>
          <w:tcPr>
            <w:tcW w:type="dxa" w:w="2592"/>
            <w:vAlign w:val="center"/>
          </w:tcPr>
          <w:p>
            <w:r>
              <w:rPr>
                <w:sz w:val="18"/>
              </w:rPr>
              <w:t>Required</w:t>
            </w:r>
          </w:p>
        </w:tc>
      </w:tr>
      <w:tr>
        <w:tc>
          <w:tcPr>
            <w:tcW w:type="dxa" w:w="6480"/>
            <w:vAlign w:val="center"/>
          </w:tcPr>
          <w:p>
            <w:r>
              <w:rPr>
                <w:sz w:val="18"/>
              </w:rPr>
              <w:t>Actual packing cycle time</w:t>
            </w:r>
          </w:p>
        </w:tc>
        <w:tc>
          <w:tcPr>
            <w:tcW w:type="dxa" w:w="2592"/>
            <w:vAlign w:val="center"/>
          </w:tcPr>
          <w:p>
            <w:r>
              <w:rPr>
                <w:sz w:val="18"/>
              </w:rPr>
              <w:t>Required</w:t>
            </w:r>
          </w:p>
        </w:tc>
      </w:tr>
      <w:tr>
        <w:tc>
          <w:tcPr>
            <w:tcW w:type="dxa" w:w="6480"/>
            <w:vAlign w:val="center"/>
          </w:tcPr>
          <w:p>
            <w:r>
              <w:rPr>
                <w:sz w:val="18"/>
              </w:rPr>
              <w:t>Floor condition and travel path</w:t>
            </w:r>
          </w:p>
        </w:tc>
        <w:tc>
          <w:tcPr>
            <w:tcW w:type="dxa" w:w="2592"/>
            <w:vAlign w:val="center"/>
          </w:tcPr>
          <w:p>
            <w:r>
              <w:rPr>
                <w:sz w:val="18"/>
              </w:rPr>
              <w:t>Required</w:t>
            </w:r>
          </w:p>
        </w:tc>
      </w:tr>
      <w:tr>
        <w:tc>
          <w:tcPr>
            <w:tcW w:type="dxa" w:w="6480"/>
            <w:vAlign w:val="center"/>
          </w:tcPr>
          <w:p>
            <w:r>
              <w:rPr>
                <w:sz w:val="18"/>
              </w:rPr>
              <w:t>Observed worker posture</w:t>
            </w:r>
          </w:p>
        </w:tc>
        <w:tc>
          <w:tcPr>
            <w:tcW w:type="dxa" w:w="2592"/>
            <w:vAlign w:val="center"/>
          </w:tcPr>
          <w:p>
            <w:r>
              <w:rPr>
                <w:sz w:val="18"/>
              </w:rPr>
              <w:t>Required</w:t>
            </w:r>
          </w:p>
        </w:tc>
      </w:tr>
      <w:tr>
        <w:tc>
          <w:tcPr>
            <w:tcW w:type="dxa" w:w="6480"/>
            <w:vAlign w:val="center"/>
          </w:tcPr>
          <w:p>
            <w:r>
              <w:rPr>
                <w:sz w:val="18"/>
              </w:rPr>
              <w:t>Final roll placement method</w:t>
            </w:r>
          </w:p>
        </w:tc>
        <w:tc>
          <w:tcPr>
            <w:tcW w:type="dxa" w:w="2592"/>
            <w:vAlign w:val="center"/>
          </w:tcPr>
          <w:p>
            <w:r>
              <w:rPr>
                <w:sz w:val="18"/>
              </w:rPr>
              <w:t>Required</w:t>
            </w:r>
          </w:p>
        </w:tc>
      </w:tr>
    </w:tbl>
    <w:p/>
    <w:p>
      <w:pPr>
        <w:pStyle w:val="Heading1"/>
      </w:pPr>
      <w:r>
        <w:t>17. Acceptance and Interpretation Framework</w:t>
      </w:r>
    </w:p>
    <w:p>
      <w:r>
        <w:t>No single equation should be used as a pass/fail legal test. The final decision should combine the following evidence:</w:t>
      </w:r>
    </w:p>
    <w:p>
      <w:pPr>
        <w:pStyle w:val="ListBullet"/>
      </w:pPr>
      <w:r>
        <w:t>RNLE screening where the task falls within the equation's assumptions; interpret LI as demand relative to RWL, not injury probability.</w:t>
      </w:r>
    </w:p>
    <w:p>
      <w:pPr>
        <w:pStyle w:val="ListBullet"/>
      </w:pPr>
      <w:r>
        <w:t>Liberty Mutual/Snook population capability for applicable lifting, carrying or push/pull portions of the job.</w:t>
      </w:r>
    </w:p>
    <w:p>
      <w:pPr>
        <w:pStyle w:val="ListBullet"/>
      </w:pPr>
      <w:r>
        <w:t>Team-handling assessment recognizing that load sharing is variable and combined strength is not simply additive.</w:t>
      </w:r>
    </w:p>
    <w:p>
      <w:pPr>
        <w:pStyle w:val="ListBullet"/>
      </w:pPr>
      <w:r>
        <w:t>Biomechanical observation of reach, trunk flexion, rotation, shoulder posture, wrist posture and grip.</w:t>
      </w:r>
    </w:p>
    <w:p>
      <w:pPr>
        <w:pStyle w:val="ListBullet"/>
      </w:pPr>
      <w:r>
        <w:t>Acute hazard assessment for rolling, dropping, pinching, crushing and slips/trips.</w:t>
      </w:r>
    </w:p>
    <w:p>
      <w:pPr>
        <w:pStyle w:val="ListBullet"/>
      </w:pPr>
      <w:r>
        <w:t>Ontario legal requirement to use precautions and safeguards so material handling does not endanger workers.</w:t>
      </w:r>
    </w:p>
    <w:p>
      <w:pPr>
        <w:pStyle w:val="Heading1"/>
      </w:pPr>
      <w:r>
        <w:t>18. Preliminary Feasibility Conclusion</w:t>
      </w:r>
    </w:p>
    <w:p>
      <w:r>
        <w:t>15-ft roll: Feasibility remains pending because the roll weight has not yet been measured. Its higher production target of 85-100 rolls per shift means frequency may become an important factor even if the individual roll is substantially lighter than the 25-ft product.</w:t>
      </w:r>
    </w:p>
    <w:p>
      <w:r>
        <w:t>25-ft roll: The current two-person manual-handling concept is not yet ergonomically validated. The nominal 72.5-lb-per-worker division does not account for unequal load sharing, reach, grip, posture, placement height, team coordination or fatigue. The favorable approximately 36-in working height and relatively low shift-average cycle frequency are positive factors, but they do not by themselves demonstrate acceptable risk.</w:t>
      </w:r>
    </w:p>
    <w:p>
      <w:r>
        <w:t>The preferred next step is to collect the missing field measurements and evaluate whether unsupported lifting can be eliminated or substantially reduced using a height-matched cradle, roller transfer, cart, lift table or mechanical lifting aid. Final approval should be based on the completed quantitative assessment together with observed task conditions and the workplace's Health &amp; Safety review.</w:t>
      </w:r>
    </w:p>
    <w:p>
      <w:pPr>
        <w:pStyle w:val="Heading1"/>
      </w:pPr>
      <w:r>
        <w:t>19. References</w:t>
      </w:r>
    </w:p>
    <w:p>
      <w:pPr>
        <w:pStyle w:val="ListBullet"/>
      </w:pPr>
      <w:r>
        <w:t>Ontario Ministry of Labour, Immigration, Training and Skills Development. Ontario Regulation 851 - Industrial Establishments, material handling provisions.</w:t>
      </w:r>
    </w:p>
    <w:p>
      <w:pPr>
        <w:pStyle w:val="ListBullet"/>
      </w:pPr>
      <w:r>
        <w:t>Ontario Ministry of Labour, Immigration, Training and Skills Development. Manual Materials Handling / MSD prevention guidance.</w:t>
      </w:r>
    </w:p>
    <w:p>
      <w:pPr>
        <w:pStyle w:val="ListBullet"/>
      </w:pPr>
      <w:r>
        <w:t>NIOSH. Applications Manual for the Revised NIOSH Lifting Equation (RNLE), Publication No. 94-110 and subsequent revision.</w:t>
      </w:r>
    </w:p>
    <w:p>
      <w:pPr>
        <w:pStyle w:val="ListBullet"/>
      </w:pPr>
      <w:r>
        <w:t>Liberty Mutual Research Institute for Safety. Manual Materials Handling Tables / Equations and interpretation guidance.</w:t>
      </w:r>
    </w:p>
    <w:p>
      <w:pPr>
        <w:pStyle w:val="ListBullet"/>
      </w:pPr>
      <w:r>
        <w:t>Canadian Centre for Occupational Health and Safety (CCOHS). Team Handling and General Lifting guidance.</w:t>
      </w:r>
    </w:p>
    <w:p>
      <w:pPr>
        <w:pStyle w:val="Heading1"/>
      </w:pPr>
      <w:r>
        <w:t>Appendix A - Field Data Collection Sheet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456"/>
            <w:shd w:fill="D9EAF7"/>
            <w:vAlign w:val="center"/>
          </w:tcPr>
          <w:p>
            <w:r>
              <w:rPr>
                <w:b/>
                <w:sz w:val="18"/>
              </w:rPr>
              <w:t>Field Variable</w:t>
            </w:r>
          </w:p>
        </w:tc>
        <w:tc>
          <w:tcPr>
            <w:tcW w:type="dxa" w:w="1728"/>
            <w:shd w:fill="D9EAF7"/>
            <w:vAlign w:val="center"/>
          </w:tcPr>
          <w:p>
            <w:r>
              <w:rPr>
                <w:b/>
                <w:sz w:val="18"/>
              </w:rPr>
              <w:t>15-ft</w:t>
            </w:r>
          </w:p>
        </w:tc>
        <w:tc>
          <w:tcPr>
            <w:tcW w:type="dxa" w:w="1728"/>
            <w:shd w:fill="D9EAF7"/>
            <w:vAlign w:val="center"/>
          </w:tcPr>
          <w:p>
            <w:r>
              <w:rPr>
                <w:b/>
                <w:sz w:val="18"/>
              </w:rPr>
              <w:t>25-ft</w:t>
            </w:r>
          </w:p>
        </w:tc>
        <w:tc>
          <w:tcPr>
            <w:tcW w:type="dxa" w:w="2880"/>
            <w:shd w:fill="D9EAF7"/>
            <w:vAlign w:val="center"/>
          </w:tcPr>
          <w:p>
            <w:r>
              <w:rPr>
                <w:b/>
                <w:sz w:val="18"/>
              </w:rPr>
              <w:t>Notes</w:t>
            </w:r>
          </w:p>
        </w:tc>
      </w:tr>
      <w:tr>
        <w:tc>
          <w:tcPr>
            <w:tcW w:type="dxa" w:w="3456"/>
            <w:vAlign w:val="center"/>
          </w:tcPr>
          <w:p>
            <w:r>
              <w:rPr>
                <w:sz w:val="18"/>
              </w:rPr>
              <w:t>Roll weight (lb)</w:t>
            </w:r>
          </w:p>
        </w:tc>
        <w:tc>
          <w:tcPr>
            <w:tcW w:type="dxa" w:w="1728"/>
            <w:vAlign w:val="center"/>
          </w:tcPr>
          <w:p>
            <w:r>
              <w:rPr>
                <w:sz w:val="18"/>
              </w:rPr>
            </w:r>
          </w:p>
        </w:tc>
        <w:tc>
          <w:tcPr>
            <w:tcW w:type="dxa" w:w="1728"/>
            <w:vAlign w:val="center"/>
          </w:tcPr>
          <w:p>
            <w:r>
              <w:rPr>
                <w:sz w:val="18"/>
              </w:rPr>
              <w:t>145</w:t>
            </w:r>
          </w:p>
        </w:tc>
        <w:tc>
          <w:tcPr>
            <w:tcW w:type="dxa" w:w="2880"/>
            <w:vAlign w:val="center"/>
          </w:tcPr>
          <w:p>
            <w:r>
              <w:rPr>
                <w:sz w:val="18"/>
              </w:rPr>
            </w:r>
          </w:p>
        </w:tc>
      </w:tr>
      <w:tr>
        <w:tc>
          <w:tcPr>
            <w:tcW w:type="dxa" w:w="3456"/>
            <w:vAlign w:val="center"/>
          </w:tcPr>
          <w:p>
            <w:r>
              <w:rPr>
                <w:sz w:val="18"/>
              </w:rPr>
              <w:t>Start hand height (in)</w:t>
            </w:r>
          </w:p>
        </w:tc>
        <w:tc>
          <w:tcPr>
            <w:tcW w:type="dxa" w:w="1728"/>
            <w:vAlign w:val="center"/>
          </w:tcPr>
          <w:p>
            <w:r>
              <w:rPr>
                <w:sz w:val="18"/>
              </w:rPr>
            </w:r>
          </w:p>
        </w:tc>
        <w:tc>
          <w:tcPr>
            <w:tcW w:type="dxa" w:w="1728"/>
            <w:vAlign w:val="center"/>
          </w:tcPr>
          <w:p>
            <w:r>
              <w:rPr>
                <w:sz w:val="18"/>
              </w:rPr>
              <w:t>~36</w:t>
            </w:r>
          </w:p>
        </w:tc>
        <w:tc>
          <w:tcPr>
            <w:tcW w:type="dxa" w:w="2880"/>
            <w:vAlign w:val="center"/>
          </w:tcPr>
          <w:p>
            <w:r>
              <w:rPr>
                <w:sz w:val="18"/>
              </w:rPr>
            </w:r>
          </w:p>
        </w:tc>
      </w:tr>
      <w:tr>
        <w:tc>
          <w:tcPr>
            <w:tcW w:type="dxa" w:w="3456"/>
            <w:vAlign w:val="center"/>
          </w:tcPr>
          <w:p>
            <w:r>
              <w:rPr>
                <w:sz w:val="18"/>
              </w:rPr>
              <w:t>End hand height (in)</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Horizontal hand distance (in)</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Vertical travel (in)</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Carry distance (ft)</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Rotation angle (deg)</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Active cycles/min</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Grip/coupling</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Push/pull force if applicable (lb)</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One worker walks backward?</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r>
        <w:tc>
          <w:tcPr>
            <w:tcW w:type="dxa" w:w="3456"/>
            <w:vAlign w:val="center"/>
          </w:tcPr>
          <w:p>
            <w:r>
              <w:rPr>
                <w:sz w:val="18"/>
              </w:rPr>
              <w:t>Pinch/rolling hazards observed?</w:t>
            </w:r>
          </w:p>
        </w:tc>
        <w:tc>
          <w:tcPr>
            <w:tcW w:type="dxa" w:w="1728"/>
            <w:vAlign w:val="center"/>
          </w:tcPr>
          <w:p>
            <w:r>
              <w:rPr>
                <w:sz w:val="18"/>
              </w:rPr>
            </w:r>
          </w:p>
        </w:tc>
        <w:tc>
          <w:tcPr>
            <w:tcW w:type="dxa" w:w="1728"/>
            <w:vAlign w:val="center"/>
          </w:tcPr>
          <w:p>
            <w:r>
              <w:rPr>
                <w:sz w:val="18"/>
              </w:rPr>
            </w:r>
          </w:p>
        </w:tc>
        <w:tc>
          <w:tcPr>
            <w:tcW w:type="dxa" w:w="2880"/>
            <w:vAlign w:val="center"/>
          </w:tcPr>
          <w:p>
            <w:r>
              <w:rPr>
                <w:sz w:val="18"/>
              </w:rPr>
            </w:r>
          </w:p>
        </w:tc>
      </w:tr>
    </w:tbl>
    <w:p/>
    <w:p>
      <w:pPr>
        <w:pStyle w:val="Heading1"/>
      </w:pPr>
      <w:r>
        <w:t>Appendix B - Calculation Notes</w:t>
      </w:r>
    </w:p>
    <w:p>
      <w:r>
        <w:t>Known calculations used in this preliminary report:</w:t>
      </w:r>
    </w:p>
    <w:p>
      <w:pPr>
        <w:pStyle w:val="ListBullet"/>
      </w:pPr>
      <w:r>
        <w:t>25-ft nominal equal team share: 145 / 2 = 72.5 lb per worker.</w:t>
      </w:r>
    </w:p>
    <w:p>
      <w:pPr>
        <w:pStyle w:val="ListBullet"/>
      </w:pPr>
      <w:r>
        <w:t>25-ft theoretical single-person ideal RNLE comparison: 145 / 51 = 2.84.</w:t>
      </w:r>
    </w:p>
    <w:p>
      <w:pPr>
        <w:pStyle w:val="ListBullet"/>
      </w:pPr>
      <w:r>
        <w:t>25-ft shift-average rate: 65 / 12 = 5.42 rolls/hour, or approximately one roll every 11.1 minutes.</w:t>
      </w:r>
    </w:p>
    <w:p>
      <w:pPr>
        <w:pStyle w:val="ListBullet"/>
      </w:pPr>
      <w:r>
        <w:t>15-ft shift-average rate: 85-100 / 12 = 7.08-8.33 rolls/hour, or approximately one roll every 7.2-8.5 minutes.</w:t>
      </w:r>
    </w:p>
    <w:p>
      <w:pPr>
        <w:pStyle w:val="ListBullet"/>
      </w:pPr>
      <w:r>
        <w:t>25-ft cumulative team material: 145 x 65 = 9,425 lb (approximately 4,275 kg) per shift.</w:t>
      </w:r>
    </w:p>
    <w:p>
      <w:pPr>
        <w:pStyle w:val="ListBullet"/>
      </w:pPr>
      <w:r>
        <w:t>Illustrative moment comparison at nominal 72.5-lb share: 725 lb-in at 10 in; 1,450 lb-in at 20 in.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Preliminary Engineering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Manual Roll Packing Ergonomic Feasibility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