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rFonts w:ascii="Traditional Arabic" w:cs="Traditional Arabic" w:eastAsia="Traditional Arabic" w:hAnsi="Traditional Arabic"/>
          <w:b/>
          <w:bCs/>
          <w:color w:val="1F4D3A"/>
          <w:sz w:val="72"/>
          <w:szCs w:val="72"/>
        </w:rPr>
        <w:t xml:space="preserve">عِمَارَة</w:t>
      </w:r>
    </w:p>
    <w:p>
      <w:pPr>
        <w:spacing w:after="0" w:before="120"/>
        <w:jc w:val="center"/>
      </w:pPr>
      <w:r>
        <w:rPr>
          <w:rFonts w:ascii="Calibri" w:cs="Calibri" w:eastAsia="Calibri" w:hAnsi="Calibri"/>
          <w:b/>
          <w:bCs/>
          <w:color w:val="1F4D3A"/>
          <w:spacing w:val="40"/>
          <w:sz w:val="56"/>
          <w:szCs w:val="56"/>
        </w:rPr>
        <w:t xml:space="preserve">IMĀRAH</w:t>
      </w:r>
    </w:p>
    <w:p>
      <w:pPr>
        <w:spacing w:after="60" w:before="160"/>
        <w:jc w:val="center"/>
      </w:pPr>
      <w:r>
        <w:rPr>
          <w:rFonts w:ascii="Calibri" w:cs="Calibri" w:eastAsia="Calibri" w:hAnsi="Calibri"/>
          <w:i/>
          <w:iCs/>
          <w:color w:val="B08A3E"/>
          <w:sz w:val="26"/>
          <w:szCs w:val="26"/>
        </w:rPr>
        <w:t xml:space="preserve">Building Communities That Keep New Muslims</w:t>
      </w:r>
    </w:p>
    <w:p>
      <w:pPr>
        <w:spacing w:after="800" w:before="0"/>
        <w:jc w:val="center"/>
      </w:pPr>
      <w:r>
        <w:rPr>
          <w:rFonts w:ascii="Calibri" w:cs="Calibri" w:eastAsia="Calibri" w:hAnsi="Calibri"/>
          <w:color w:val="6B6B6B"/>
          <w:sz w:val="20"/>
          <w:szCs w:val="20"/>
        </w:rPr>
        <w:t xml:space="preserve">A Retention-Focused Da'wah Program for Latin America</w:t>
      </w:r>
    </w:p>
    <w:p>
      <w:pPr>
        <w:spacing w:after="0" w:before="200"/>
        <w:jc w:val="center"/>
      </w:pPr>
      <w:r>
        <w:rPr>
          <w:rFonts w:ascii="Calibri" w:cs="Calibri" w:eastAsia="Calibri" w:hAnsi="Calibri"/>
          <w:b/>
          <w:bCs/>
          <w:color w:val="2B2B2B"/>
          <w:spacing w:val="20"/>
          <w:sz w:val="18"/>
          <w:szCs w:val="18"/>
        </w:rPr>
        <w:t xml:space="preserve">PROGRAM &amp; FUNDING PROSPECTUS</w:t>
      </w:r>
    </w:p>
    <w:p>
      <w:pPr>
        <w:spacing w:after="0" w:before="1600"/>
        <w:jc w:val="center"/>
      </w:pPr>
      <w:r>
        <w:rPr>
          <w:rFonts w:ascii="Calibri" w:cs="Calibri" w:eastAsia="Calibri" w:hAnsi="Calibri"/>
          <w:color w:val="2B2B2B"/>
          <w:sz w:val="20"/>
          <w:szCs w:val="20"/>
        </w:rPr>
        <w:t xml:space="preserve">Headquartered in Playa del Carmen, Quintana Roo, Mexico</w:t>
      </w:r>
    </w:p>
    <w:p>
      <w:pPr>
        <w:spacing w:after="0" w:before="40"/>
        <w:jc w:val="center"/>
      </w:pPr>
      <w:r>
        <w:rPr>
          <w:rFonts w:ascii="Calibri" w:cs="Calibri" w:eastAsia="Calibri" w:hAnsi="Calibri"/>
          <w:color w:val="2B2B2B"/>
          <w:sz w:val="20"/>
          <w:szCs w:val="20"/>
        </w:rPr>
        <w:t xml:space="preserve">Serving new-Muslim communities across Latin America</w:t>
      </w:r>
    </w:p>
    <w:p>
      <w:pPr>
        <w:spacing w:after="0" w:before="40"/>
        <w:jc w:val="center"/>
      </w:pPr>
      <w:r>
        <w:rPr>
          <w:rFonts w:ascii="Calibri" w:cs="Calibri" w:eastAsia="Calibri" w:hAnsi="Calibri"/>
          <w:color w:val="6B6B6B"/>
          <w:sz w:val="18"/>
          <w:szCs w:val="18"/>
        </w:rPr>
        <w:t xml:space="preserve">August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B08A3E" w:sz="8" w:space="4"/>
        </w:pBdr>
        <w:spacing w:after="240" w:before="480"/>
      </w:pPr>
      <w:r>
        <w:rPr>
          <w:rFonts w:ascii="Calibri" w:cs="Calibri" w:eastAsia="Calibri" w:hAnsi="Calibri"/>
          <w:b/>
          <w:bCs/>
          <w:color w:val="1F4D3A"/>
          <w:sz w:val="30"/>
          <w:szCs w:val="30"/>
        </w:rPr>
        <w:t xml:space="preserve">Contents</w:t>
      </w:r>
    </w:p>
    <w:p>
      <w:pPr>
        <w:tabs>
          <w:tab w:val="right" w:pos="9350" w:leader="dot"/>
        </w:tabs>
        <w:spacing w:after="180"/>
      </w:pPr>
      <w:r>
        <w:rPr>
          <w:rFonts w:ascii="Calibri" w:cs="Calibri" w:eastAsia="Calibri" w:hAnsi="Calibri"/>
          <w:color w:val="2B2B2B"/>
          <w:sz w:val="22"/>
          <w:szCs w:val="22"/>
        </w:rPr>
        <w:t xml:space="preserve">1. Executive Summary</w:t>
      </w:r>
      <w:r>
        <w:ptab w:alignment="right" w:relativeTo="margin" w:leader="dot"/>
      </w:r>
      <w:r>
        <w:rPr>
          <w:rFonts w:ascii="Calibri" w:cs="Calibri" w:eastAsia="Calibri" w:hAnsi="Calibri"/>
          <w:color w:val="2B2B2B"/>
          <w:sz w:val="22"/>
          <w:szCs w:val="22"/>
        </w:rPr>
        <w:t xml:space="preserve">3</w:t>
      </w:r>
    </w:p>
    <w:p>
      <w:pPr>
        <w:tabs>
          <w:tab w:val="right" w:pos="9350" w:leader="dot"/>
        </w:tabs>
        <w:spacing w:after="180"/>
      </w:pPr>
      <w:r>
        <w:rPr>
          <w:rFonts w:ascii="Calibri" w:cs="Calibri" w:eastAsia="Calibri" w:hAnsi="Calibri"/>
          <w:color w:val="2B2B2B"/>
          <w:sz w:val="22"/>
          <w:szCs w:val="22"/>
        </w:rPr>
        <w:t xml:space="preserve">2. The Problem: We Are Winning Converts and Losing Them</w:t>
      </w:r>
      <w:r>
        <w:ptab w:alignment="right" w:relativeTo="margin" w:leader="dot"/>
      </w:r>
      <w:r>
        <w:rPr>
          <w:rFonts w:ascii="Calibri" w:cs="Calibri" w:eastAsia="Calibri" w:hAnsi="Calibri"/>
          <w:color w:val="2B2B2B"/>
          <w:sz w:val="22"/>
          <w:szCs w:val="22"/>
        </w:rPr>
        <w:t xml:space="preserve">3</w:t>
      </w:r>
    </w:p>
    <w:p>
      <w:pPr>
        <w:tabs>
          <w:tab w:val="right" w:pos="9350" w:leader="dot"/>
        </w:tabs>
        <w:spacing w:after="180"/>
      </w:pPr>
      <w:r>
        <w:rPr>
          <w:rFonts w:ascii="Calibri" w:cs="Calibri" w:eastAsia="Calibri" w:hAnsi="Calibri"/>
          <w:color w:val="2B2B2B"/>
          <w:sz w:val="22"/>
          <w:szCs w:val="22"/>
        </w:rPr>
        <w:t xml:space="preserve">3. Mission, Vision &amp; Values</w:t>
      </w:r>
      <w:r>
        <w:ptab w:alignment="right" w:relativeTo="margin" w:leader="dot"/>
      </w:r>
      <w:r>
        <w:rPr>
          <w:rFonts w:ascii="Calibri" w:cs="Calibri" w:eastAsia="Calibri" w:hAnsi="Calibri"/>
          <w:color w:val="2B2B2B"/>
          <w:sz w:val="22"/>
          <w:szCs w:val="22"/>
        </w:rPr>
        <w:t xml:space="preserve">4</w:t>
      </w:r>
    </w:p>
    <w:p>
      <w:pPr>
        <w:tabs>
          <w:tab w:val="right" w:pos="9350" w:leader="dot"/>
        </w:tabs>
        <w:spacing w:after="180"/>
      </w:pPr>
      <w:r>
        <w:rPr>
          <w:rFonts w:ascii="Calibri" w:cs="Calibri" w:eastAsia="Calibri" w:hAnsi="Calibri"/>
          <w:color w:val="2B2B2B"/>
          <w:sz w:val="22"/>
          <w:szCs w:val="22"/>
        </w:rPr>
        <w:t xml:space="preserve">4. Programs &amp; Activities</w:t>
      </w:r>
      <w:r>
        <w:ptab w:alignment="right" w:relativeTo="margin" w:leader="dot"/>
      </w:r>
      <w:r>
        <w:rPr>
          <w:rFonts w:ascii="Calibri" w:cs="Calibri" w:eastAsia="Calibri" w:hAnsi="Calibri"/>
          <w:color w:val="2B2B2B"/>
          <w:sz w:val="22"/>
          <w:szCs w:val="22"/>
        </w:rPr>
        <w:t xml:space="preserve">5</w:t>
      </w:r>
    </w:p>
    <w:p>
      <w:pPr>
        <w:tabs>
          <w:tab w:val="right" w:pos="9350" w:leader="dot"/>
        </w:tabs>
        <w:spacing w:after="180"/>
      </w:pPr>
      <w:r>
        <w:rPr>
          <w:rFonts w:ascii="Calibri" w:cs="Calibri" w:eastAsia="Calibri" w:hAnsi="Calibri"/>
          <w:color w:val="2B2B2B"/>
          <w:sz w:val="22"/>
          <w:szCs w:val="22"/>
        </w:rPr>
        <w:t xml:space="preserve">5. Target Region &amp; Rollout Plan</w:t>
      </w:r>
      <w:r>
        <w:ptab w:alignment="right" w:relativeTo="margin" w:leader="dot"/>
      </w:r>
      <w:r>
        <w:rPr>
          <w:rFonts w:ascii="Calibri" w:cs="Calibri" w:eastAsia="Calibri" w:hAnsi="Calibri"/>
          <w:color w:val="2B2B2B"/>
          <w:sz w:val="22"/>
          <w:szCs w:val="22"/>
        </w:rPr>
        <w:t xml:space="preserve">9</w:t>
      </w:r>
    </w:p>
    <w:p>
      <w:pPr>
        <w:tabs>
          <w:tab w:val="right" w:pos="9350" w:leader="dot"/>
        </w:tabs>
        <w:spacing w:after="180"/>
      </w:pPr>
      <w:r>
        <w:rPr>
          <w:rFonts w:ascii="Calibri" w:cs="Calibri" w:eastAsia="Calibri" w:hAnsi="Calibri"/>
          <w:color w:val="2B2B2B"/>
          <w:sz w:val="22"/>
          <w:szCs w:val="22"/>
        </w:rPr>
        <w:t xml:space="preserve">6. Organizational Structure &amp; Governance</w:t>
      </w:r>
      <w:r>
        <w:ptab w:alignment="right" w:relativeTo="margin" w:leader="dot"/>
      </w:r>
      <w:r>
        <w:rPr>
          <w:rFonts w:ascii="Calibri" w:cs="Calibri" w:eastAsia="Calibri" w:hAnsi="Calibri"/>
          <w:color w:val="2B2B2B"/>
          <w:sz w:val="22"/>
          <w:szCs w:val="22"/>
        </w:rPr>
        <w:t xml:space="preserve">10</w:t>
      </w:r>
    </w:p>
    <w:p>
      <w:pPr>
        <w:tabs>
          <w:tab w:val="right" w:pos="9350" w:leader="dot"/>
        </w:tabs>
        <w:spacing w:after="180"/>
      </w:pPr>
      <w:r>
        <w:rPr>
          <w:rFonts w:ascii="Calibri" w:cs="Calibri" w:eastAsia="Calibri" w:hAnsi="Calibri"/>
          <w:color w:val="2B2B2B"/>
          <w:sz w:val="22"/>
          <w:szCs w:val="22"/>
        </w:rPr>
        <w:t xml:space="preserve">7. Impact Measurement</w:t>
      </w:r>
      <w:r>
        <w:ptab w:alignment="right" w:relativeTo="margin" w:leader="dot"/>
      </w:r>
      <w:r>
        <w:rPr>
          <w:rFonts w:ascii="Calibri" w:cs="Calibri" w:eastAsia="Calibri" w:hAnsi="Calibri"/>
          <w:color w:val="2B2B2B"/>
          <w:sz w:val="22"/>
          <w:szCs w:val="22"/>
        </w:rPr>
        <w:t xml:space="preserve">10</w:t>
      </w:r>
    </w:p>
    <w:p>
      <w:pPr>
        <w:tabs>
          <w:tab w:val="right" w:pos="9350" w:leader="dot"/>
        </w:tabs>
        <w:spacing w:after="180"/>
      </w:pPr>
      <w:r>
        <w:rPr>
          <w:rFonts w:ascii="Calibri" w:cs="Calibri" w:eastAsia="Calibri" w:hAnsi="Calibri"/>
          <w:color w:val="2B2B2B"/>
          <w:sz w:val="22"/>
          <w:szCs w:val="22"/>
        </w:rPr>
        <w:t xml:space="preserve">8. What We Need to Build This</w:t>
      </w:r>
      <w:r>
        <w:ptab w:alignment="right" w:relativeTo="margin" w:leader="dot"/>
      </w:r>
      <w:r>
        <w:rPr>
          <w:rFonts w:ascii="Calibri" w:cs="Calibri" w:eastAsia="Calibri" w:hAnsi="Calibri"/>
          <w:color w:val="2B2B2B"/>
          <w:sz w:val="22"/>
          <w:szCs w:val="22"/>
        </w:rPr>
        <w:t xml:space="preserve">11</w:t>
      </w:r>
    </w:p>
    <w:p>
      <w:pPr>
        <w:tabs>
          <w:tab w:val="right" w:pos="9350" w:leader="dot"/>
        </w:tabs>
        <w:spacing w:after="180"/>
      </w:pPr>
      <w:r>
        <w:rPr>
          <w:rFonts w:ascii="Calibri" w:cs="Calibri" w:eastAsia="Calibri" w:hAnsi="Calibri"/>
          <w:color w:val="2B2B2B"/>
          <w:sz w:val="22"/>
          <w:szCs w:val="22"/>
        </w:rPr>
        <w:t xml:space="preserve">9. Roadmap</w:t>
      </w:r>
      <w:r>
        <w:ptab w:alignment="right" w:relativeTo="margin" w:leader="dot"/>
      </w:r>
      <w:r>
        <w:rPr>
          <w:rFonts w:ascii="Calibri" w:cs="Calibri" w:eastAsia="Calibri" w:hAnsi="Calibri"/>
          <w:color w:val="2B2B2B"/>
          <w:sz w:val="22"/>
          <w:szCs w:val="22"/>
        </w:rPr>
        <w:t xml:space="preserve">12</w:t>
      </w:r>
    </w:p>
    <w:p>
      <w:pPr>
        <w:tabs>
          <w:tab w:val="right" w:pos="9350" w:leader="dot"/>
        </w:tabs>
        <w:spacing w:after="180"/>
      </w:pPr>
      <w:r>
        <w:rPr>
          <w:rFonts w:ascii="Calibri" w:cs="Calibri" w:eastAsia="Calibri" w:hAnsi="Calibri"/>
          <w:color w:val="2B2B2B"/>
          <w:sz w:val="22"/>
          <w:szCs w:val="22"/>
        </w:rPr>
        <w:t xml:space="preserve">10. Join Us in Building This</w:t>
      </w:r>
      <w:r>
        <w:ptab w:alignment="right" w:relativeTo="margin" w:leader="dot"/>
      </w:r>
      <w:r>
        <w:rPr>
          <w:rFonts w:ascii="Calibri" w:cs="Calibri" w:eastAsia="Calibri" w:hAnsi="Calibri"/>
          <w:color w:val="2B2B2B"/>
          <w:sz w:val="22"/>
          <w:szCs w:val="22"/>
        </w:rPr>
        <w:t xml:space="preserve">12</w:t>
      </w:r>
    </w:p>
    <w:p>
      <w:r>
        <w:br w:type="page"/>
      </w:r>
    </w:p>
    <w:p>
      <w:pPr>
        <w:pStyle w:val="Heading1"/>
        <w:pBdr>
          <w:bottom w:val="single" w:color="B08A3E" w:sz="8" w:space="4"/>
        </w:pBdr>
        <w:spacing w:after="240" w:before="480"/>
      </w:pPr>
      <w:r>
        <w:rPr>
          <w:rFonts w:ascii="Calibri" w:cs="Calibri" w:eastAsia="Calibri" w:hAnsi="Calibri"/>
          <w:b/>
          <w:bCs/>
          <w:color w:val="1F4D3A"/>
          <w:sz w:val="30"/>
          <w:szCs w:val="30"/>
        </w:rPr>
        <w:t xml:space="preserve">1. Executive Summary</w:t>
      </w:r>
    </w:p>
    <w:p>
      <w:pPr>
        <w:spacing w:after="160" w:line="276"/>
        <w:jc w:val="left"/>
      </w:pPr>
      <w:r>
        <w:rPr>
          <w:rFonts w:ascii="Calibri" w:cs="Calibri" w:eastAsia="Calibri" w:hAnsi="Calibri"/>
          <w:i w:val="false"/>
          <w:iCs w:val="false"/>
          <w:color w:val="2B2B2B"/>
          <w:sz w:val="21"/>
          <w:szCs w:val="21"/>
        </w:rPr>
        <w:t xml:space="preserve">Imārah (عِمَارَة — Arabic for "cultivation," "building up," or "making a place flourish") is a non-profit association founded in Playa del Carmen, Mexico, to solve a problem that most da'wah work does not address: what happens to a person after they say the shahada.</w:t>
      </w:r>
    </w:p>
    <w:p>
      <w:pPr>
        <w:spacing w:after="160" w:line="276"/>
        <w:jc w:val="left"/>
      </w:pPr>
      <w:r>
        <w:rPr>
          <w:rFonts w:ascii="Calibri" w:cs="Calibri" w:eastAsia="Calibri" w:hAnsi="Calibri"/>
          <w:i w:val="false"/>
          <w:iCs w:val="false"/>
          <w:color w:val="2B2B2B"/>
          <w:sz w:val="21"/>
          <w:szCs w:val="21"/>
        </w:rPr>
        <w:t xml:space="preserve">Latin America is one of the fastest-growing frontiers for conversion to Islam, with community estimates ranging from tens of thousands to well over a hundred conversions a year across the region, and steady growth reported in Mexico, Brazil, Argentina, and beyond. But growth in numbers does not mean growth in community. New Muslims across the region routinely convert alone, with no Spanish- or Portuguese-language support, no mosque community built to receive them, and no structured path for what to learn, who to call, or where to belong. Anecdotally and organizationally, this is the single most cited reason new Muslims disengage or quietly leave the faith within their first year.</w:t>
      </w:r>
    </w:p>
    <w:p>
      <w:pPr>
        <w:spacing w:after="160" w:line="276"/>
        <w:jc w:val="left"/>
      </w:pPr>
      <w:r>
        <w:rPr>
          <w:rFonts w:ascii="Calibri" w:cs="Calibri" w:eastAsia="Calibri" w:hAnsi="Calibri"/>
          <w:i w:val="false"/>
          <w:iCs w:val="false"/>
          <w:color w:val="2B2B2B"/>
          <w:sz w:val="21"/>
          <w:szCs w:val="21"/>
        </w:rPr>
        <w:t xml:space="preserve">Imārah exists to close that gap — not through more invitation, but through retention. We build the infrastructure a new Muslim needs to stay: structured education, trained imams and teachers equipped to walk with converts (not just born Muslims), a genuine social community, a safety net for real material needs, and shared experiences — camps, trips, sports, and travel — that turn strangers into a family.</w:t>
      </w:r>
    </w:p>
    <w:p>
      <w:pPr>
        <w:spacing w:after="160" w:line="276"/>
        <w:jc w:val="left"/>
      </w:pPr>
      <w:r>
        <w:rPr>
          <w:rFonts w:ascii="Calibri" w:cs="Calibri" w:eastAsia="Calibri" w:hAnsi="Calibri"/>
          <w:i w:val="false"/>
          <w:iCs w:val="false"/>
          <w:color w:val="2B2B2B"/>
          <w:sz w:val="21"/>
          <w:szCs w:val="21"/>
        </w:rPr>
        <w:t xml:space="preserve">The organization is legally incorporated, with an operating bank account already in place. This document is our program blueprint and funding prospectus: what we do, why it matters, how it works on the ground, and what we need to build it — starting in Playa del Carmen and scaling across Latin America.</w:t>
      </w:r>
    </w:p>
    <w:p>
      <w:pPr>
        <w:pStyle w:val="Heading1"/>
        <w:pBdr>
          <w:bottom w:val="single" w:color="B08A3E" w:sz="8" w:space="4"/>
        </w:pBdr>
        <w:spacing w:after="240" w:before="480"/>
      </w:pPr>
      <w:r>
        <w:rPr>
          <w:rFonts w:ascii="Calibri" w:cs="Calibri" w:eastAsia="Calibri" w:hAnsi="Calibri"/>
          <w:b/>
          <w:bCs/>
          <w:color w:val="1F4D3A"/>
          <w:sz w:val="30"/>
          <w:szCs w:val="30"/>
        </w:rPr>
        <w:t xml:space="preserve">2. The Problem: We Are Winning Converts and Losing Them</w:t>
      </w:r>
    </w:p>
    <w:p>
      <w:pPr>
        <w:pStyle w:val="Heading2"/>
        <w:spacing w:after="160" w:before="320"/>
      </w:pPr>
      <w:r>
        <w:rPr>
          <w:rFonts w:ascii="Calibri" w:cs="Calibri" w:eastAsia="Calibri" w:hAnsi="Calibri"/>
          <w:b/>
          <w:bCs/>
          <w:color w:val="1F4D3A"/>
          <w:sz w:val="24"/>
          <w:szCs w:val="24"/>
        </w:rPr>
        <w:t xml:space="preserve">2.1 A growth story with a leak in it</w:t>
      </w:r>
    </w:p>
    <w:p>
      <w:pPr>
        <w:spacing w:after="160" w:line="276"/>
        <w:jc w:val="left"/>
      </w:pPr>
      <w:r>
        <w:rPr>
          <w:rFonts w:ascii="Calibri" w:cs="Calibri" w:eastAsia="Calibri" w:hAnsi="Calibri"/>
          <w:i w:val="false"/>
          <w:iCs w:val="false"/>
          <w:color w:val="2B2B2B"/>
          <w:sz w:val="21"/>
          <w:szCs w:val="21"/>
        </w:rPr>
        <w:t xml:space="preserve">Islam is frequently cited as the fastest-growing major religion globally, and Latin America is increasingly part of that story. Islamic organizations across the continent report tens of thousands of new conversions annually, with converts — rather than immigration — now representing the primary source of Islamic growth in the region, since immigration from Muslim-majority countries has slowed. Mexico specifically has seen a steady rise in native converts since the 1990s, accelerated by internet access to Islamic literature and a search among some Mexicans for an alternative to the Catholicism they grew up with.</w:t>
      </w:r>
    </w:p>
    <w:p>
      <w:pPr>
        <w:spacing w:after="160" w:line="276"/>
        <w:jc w:val="left"/>
      </w:pPr>
      <w:r>
        <w:rPr>
          <w:rFonts w:ascii="Calibri" w:cs="Calibri" w:eastAsia="Calibri" w:hAnsi="Calibri"/>
          <w:i w:val="false"/>
          <w:iCs w:val="false"/>
          <w:color w:val="2B2B2B"/>
          <w:sz w:val="21"/>
          <w:szCs w:val="21"/>
        </w:rPr>
        <w:t xml:space="preserve">Yet almost none of this growth is being captured by lasting community. Converts in Latin America are often the only Muslim in their family, their neighborhood, or their town. Formal support infrastructure — new-Muslim classes in Spanish or Portuguese, trained convert-focused teachers, structured mentorship — is scarce even in large cities, and close to non-existent outside them.</w:t>
      </w:r>
    </w:p>
    <w:p>
      <w:pPr>
        <w:pStyle w:val="Heading2"/>
        <w:spacing w:after="160" w:before="320"/>
      </w:pPr>
      <w:r>
        <w:rPr>
          <w:rFonts w:ascii="Calibri" w:cs="Calibri" w:eastAsia="Calibri" w:hAnsi="Calibri"/>
          <w:b/>
          <w:bCs/>
          <w:color w:val="1F4D3A"/>
          <w:sz w:val="24"/>
          <w:szCs w:val="24"/>
        </w:rPr>
        <w:t xml:space="preserve">2.2 What the data tells us</w:t>
      </w:r>
    </w:p>
    <w:p>
      <w:pPr>
        <w:pStyle w:val="ListParagraph"/>
        <w:numPr>
          <w:ilvl w:val="0"/>
          <w:numId w:val="2"/>
        </w:numPr>
        <w:spacing w:after="90" w:line="268"/>
      </w:pPr>
      <w:r>
        <w:rPr>
          <w:rFonts w:ascii="Calibri" w:cs="Calibri" w:eastAsia="Calibri" w:hAnsi="Calibri"/>
          <w:color w:val="2B2B2B"/>
          <w:sz w:val="21"/>
          <w:szCs w:val="21"/>
        </w:rPr>
        <w:t xml:space="preserve">Global retention research (Pew Research Center) shows that although Islam has one of the highest religious retention rates worldwide, the picture is very different for converts specifically. In the United States — the best-studied convert population — a substantial share of people raised outside Islam who later joined it do not remain, and Islam's net growth from conversion is close to a wash: almost as many people leave as join.</w:t>
      </w:r>
    </w:p>
    <w:p>
      <w:pPr>
        <w:pStyle w:val="ListParagraph"/>
        <w:numPr>
          <w:ilvl w:val="0"/>
          <w:numId w:val="2"/>
        </w:numPr>
        <w:spacing w:after="90" w:line="268"/>
      </w:pPr>
      <w:r>
        <w:rPr>
          <w:rFonts w:ascii="Calibri" w:cs="Calibri" w:eastAsia="Calibri" w:hAnsi="Calibri"/>
          <w:color w:val="2B2B2B"/>
          <w:sz w:val="21"/>
          <w:szCs w:val="21"/>
        </w:rPr>
        <w:t xml:space="preserve">Convert-support organizations in the West consistently identify the same root cause of disengagement: isolation. A person converts, is congratulated at the mosque, and is then left to figure out fasting, prayer, family conflict, and community entirely on their own.</w:t>
      </w:r>
    </w:p>
    <w:p>
      <w:pPr>
        <w:pStyle w:val="ListParagraph"/>
        <w:numPr>
          <w:ilvl w:val="0"/>
          <w:numId w:val="2"/>
        </w:numPr>
        <w:spacing w:after="90" w:line="268"/>
      </w:pPr>
      <w:r>
        <w:rPr>
          <w:rFonts w:ascii="Calibri" w:cs="Calibri" w:eastAsia="Calibri" w:hAnsi="Calibri"/>
          <w:color w:val="2B2B2B"/>
          <w:sz w:val="21"/>
          <w:szCs w:val="21"/>
        </w:rPr>
        <w:t xml:space="preserve">In Latin America specifically, converts are described by researchers as a distinct, under-served population layered on top of older immigrant-descended Muslim communities — sometimes with real friction between the two groups, and without dedicated programming built for the convert experience.</w:t>
      </w:r>
    </w:p>
    <w:p>
      <w:pPr>
        <w:pStyle w:val="ListParagraph"/>
        <w:numPr>
          <w:ilvl w:val="0"/>
          <w:numId w:val="2"/>
        </w:numPr>
        <w:spacing w:after="90" w:line="268"/>
      </w:pPr>
      <w:r>
        <w:rPr>
          <w:rFonts w:ascii="Calibri" w:cs="Calibri" w:eastAsia="Calibri" w:hAnsi="Calibri"/>
          <w:color w:val="2B2B2B"/>
          <w:sz w:val="21"/>
          <w:szCs w:val="21"/>
        </w:rPr>
        <w:t xml:space="preserve">Mexico's own numbers illustrate the scale problem: government and census figures put the number of Muslims as low as a few thousand, while outside estimates run far higher — a gap that itself reflects how little formal structure exists to track, support, or count new Muslims consistently.</w:t>
      </w:r>
    </w:p>
    <w:p>
      <w:pPr>
        <w:spacing w:after="240" w:before="80"/>
      </w:pPr>
      <w:r>
        <w:rPr>
          <w:rFonts w:ascii="Calibri" w:cs="Calibri" w:eastAsia="Calibri" w:hAnsi="Calibri"/>
          <w:i/>
          <w:iCs/>
          <w:color w:val="6B6B6B"/>
          <w:sz w:val="18"/>
          <w:szCs w:val="18"/>
        </w:rPr>
        <w:t xml:space="preserve">Sources: Pew Research Center, "Around the World, Many People Are Leaving Their Childhood Religions" (2025) and "The Share of Americans Who Leave Islam Is Offset by Those Who Become Muslim" (2018); Pew Research Center, "Islam and the Global War on Terrorism in Latin America" (2006); Wikipedia, "Islam in Mexico" (INEGI census data); UCLA Latin American Institute, "Cartographies of Islam in the Americas" (2009). Figures on conversions-per-year are community/organizational estimates rather than government statistics and are cited as directional, not precise.</w:t>
      </w:r>
    </w:p>
    <w:p>
      <w:pPr>
        <w:pStyle w:val="Heading2"/>
        <w:spacing w:after="160" w:before="320"/>
      </w:pPr>
      <w:r>
        <w:rPr>
          <w:rFonts w:ascii="Calibri" w:cs="Calibri" w:eastAsia="Calibri" w:hAnsi="Calibri"/>
          <w:b/>
          <w:bCs/>
          <w:color w:val="1F4D3A"/>
          <w:sz w:val="24"/>
          <w:szCs w:val="24"/>
        </w:rPr>
        <w:t xml:space="preserve">2.3 What we hear on the ground</w:t>
      </w:r>
    </w:p>
    <w:p>
      <w:pPr>
        <w:spacing w:after="160" w:line="276"/>
        <w:jc w:val="left"/>
      </w:pPr>
      <w:r>
        <w:rPr>
          <w:rFonts w:ascii="Calibri" w:cs="Calibri" w:eastAsia="Calibri" w:hAnsi="Calibri"/>
          <w:i w:val="false"/>
          <w:iCs w:val="false"/>
          <w:color w:val="2B2B2B"/>
          <w:sz w:val="21"/>
          <w:szCs w:val="21"/>
        </w:rPr>
        <w:t xml:space="preserve">The pattern our founding team has observed directly in Quintana Roo and heard echoed by imams and convert communities elsewhere in Latin America is consistent: a new Muslim says the shahada, receives warm congratulations, and then — within weeks — stops coming. Not because they stopped believing, but because nobody checked in, nobody taught them how to pray in a way they could follow, nobody invited them to eat, and nobody was there when a family member mocked them for converting or when they lost a job over wearing hijab. Da'wah, as it is usually practiced, optimizes for the moment of conversion. Almost nothing is built for the year after.</w:t>
      </w:r>
    </w:p>
    <w:p>
      <w:pPr>
        <w:pStyle w:val="Heading2"/>
        <w:spacing w:after="160" w:before="320"/>
      </w:pPr>
      <w:r>
        <w:rPr>
          <w:rFonts w:ascii="Calibri" w:cs="Calibri" w:eastAsia="Calibri" w:hAnsi="Calibri"/>
          <w:b/>
          <w:bCs/>
          <w:color w:val="1F4D3A"/>
          <w:sz w:val="24"/>
          <w:szCs w:val="24"/>
        </w:rPr>
        <w:t xml:space="preserve">2.4 Our thesis</w:t>
      </w:r>
    </w:p>
    <w:p>
      <w:pPr>
        <w:spacing w:after="160" w:line="276"/>
        <w:jc w:val="left"/>
      </w:pPr>
      <w:r>
        <w:rPr>
          <w:rFonts w:ascii="Calibri" w:cs="Calibri" w:eastAsia="Calibri" w:hAnsi="Calibri"/>
          <w:i w:val="false"/>
          <w:iCs w:val="false"/>
          <w:color w:val="2B2B2B"/>
          <w:sz w:val="21"/>
          <w:szCs w:val="21"/>
        </w:rPr>
        <w:t xml:space="preserve">Imārah's founding thesis is simple: retention is a da'wah problem, and it can be solved the same way any retention problem is solved — with structure, consistency, and community, not luck. If a new Muslim has a class to attend, a teacher who knows their name, friends who check on them, help when they're in need, and experiences that make Islam feel like a life rather than a rule set, they stay. Our programs are built around that thesis.</w:t>
      </w:r>
    </w:p>
    <w:p>
      <w:pPr>
        <w:pStyle w:val="Heading1"/>
        <w:pBdr>
          <w:bottom w:val="single" w:color="B08A3E" w:sz="8" w:space="4"/>
        </w:pBdr>
        <w:spacing w:after="240" w:before="480"/>
      </w:pPr>
      <w:r>
        <w:rPr>
          <w:rFonts w:ascii="Calibri" w:cs="Calibri" w:eastAsia="Calibri" w:hAnsi="Calibri"/>
          <w:b/>
          <w:bCs/>
          <w:color w:val="1F4D3A"/>
          <w:sz w:val="30"/>
          <w:szCs w:val="30"/>
        </w:rPr>
        <w:t xml:space="preserve">3. Mission, Vision &amp; Values</w:t>
      </w:r>
    </w:p>
    <w:p>
      <w:pPr>
        <w:pStyle w:val="Heading2"/>
        <w:spacing w:after="160" w:before="320"/>
      </w:pPr>
      <w:r>
        <w:rPr>
          <w:rFonts w:ascii="Calibri" w:cs="Calibri" w:eastAsia="Calibri" w:hAnsi="Calibri"/>
          <w:b/>
          <w:bCs/>
          <w:color w:val="1F4D3A"/>
          <w:sz w:val="24"/>
          <w:szCs w:val="24"/>
        </w:rPr>
        <w:t xml:space="preserve">3.1 Mission</w:t>
      </w:r>
    </w:p>
    <w:p>
      <w:pPr>
        <w:spacing w:after="160" w:line="276"/>
        <w:jc w:val="left"/>
      </w:pPr>
      <w:r>
        <w:rPr>
          <w:rFonts w:ascii="Calibri" w:cs="Calibri" w:eastAsia="Calibri" w:hAnsi="Calibri"/>
          <w:i w:val="false"/>
          <w:iCs w:val="false"/>
          <w:color w:val="2B2B2B"/>
          <w:sz w:val="21"/>
          <w:szCs w:val="21"/>
        </w:rPr>
        <w:t xml:space="preserve">To build the structures — educational, social, and material — that allow new Muslims across Latin America to stay in their faith and belong to a real community, from the day they convert onward.</w:t>
      </w:r>
    </w:p>
    <w:p>
      <w:pPr>
        <w:pStyle w:val="Heading2"/>
        <w:spacing w:after="160" w:before="320"/>
      </w:pPr>
      <w:r>
        <w:rPr>
          <w:rFonts w:ascii="Calibri" w:cs="Calibri" w:eastAsia="Calibri" w:hAnsi="Calibri"/>
          <w:b/>
          <w:bCs/>
          <w:color w:val="1F4D3A"/>
          <w:sz w:val="24"/>
          <w:szCs w:val="24"/>
        </w:rPr>
        <w:t xml:space="preserve">3.2 Vision</w:t>
      </w:r>
    </w:p>
    <w:p>
      <w:pPr>
        <w:spacing w:after="160" w:line="276"/>
        <w:jc w:val="left"/>
      </w:pPr>
      <w:r>
        <w:rPr>
          <w:rFonts w:ascii="Calibri" w:cs="Calibri" w:eastAsia="Calibri" w:hAnsi="Calibri"/>
          <w:i w:val="false"/>
          <w:iCs w:val="false"/>
          <w:color w:val="2B2B2B"/>
          <w:sz w:val="21"/>
          <w:szCs w:val="21"/>
        </w:rPr>
        <w:t xml:space="preserve">A Latin America where no new Muslim practices alone: where every major city has a trained team ready to receive, educate, and walk alongside its newest members, connected into one regional network that shares resources, people, and best practices.</w:t>
      </w:r>
    </w:p>
    <w:p>
      <w:pPr>
        <w:pStyle w:val="Heading2"/>
        <w:spacing w:after="160" w:before="320"/>
      </w:pPr>
      <w:r>
        <w:rPr>
          <w:rFonts w:ascii="Calibri" w:cs="Calibri" w:eastAsia="Calibri" w:hAnsi="Calibri"/>
          <w:b/>
          <w:bCs/>
          <w:color w:val="1F4D3A"/>
          <w:sz w:val="24"/>
          <w:szCs w:val="24"/>
        </w:rPr>
        <w:t xml:space="preserve">3.3 Why the name</w:t>
      </w:r>
    </w:p>
    <w:p>
      <w:pPr>
        <w:spacing w:after="160" w:line="276"/>
        <w:jc w:val="left"/>
      </w:pPr>
      <w:r>
        <w:rPr>
          <w:rFonts w:ascii="Calibri" w:cs="Calibri" w:eastAsia="Calibri" w:hAnsi="Calibri"/>
          <w:i w:val="false"/>
          <w:iCs w:val="false"/>
          <w:color w:val="2B2B2B"/>
          <w:sz w:val="21"/>
          <w:szCs w:val="21"/>
        </w:rPr>
        <w:t xml:space="preserve">Imārah (عِمَارَة) means cultivation, construction, and the act of making a place thrive and inhabited. We chose it because our mission is not to plant a single seed of conversion and walk away — it's to build (imārah) a lasting, inhabited community around every person who accepts Islam.</w:t>
      </w:r>
    </w:p>
    <w:p>
      <w:pPr>
        <w:pStyle w:val="Heading2"/>
        <w:spacing w:after="160" w:before="320"/>
      </w:pPr>
      <w:r>
        <w:rPr>
          <w:rFonts w:ascii="Calibri" w:cs="Calibri" w:eastAsia="Calibri" w:hAnsi="Calibri"/>
          <w:b/>
          <w:bCs/>
          <w:color w:val="1F4D3A"/>
          <w:sz w:val="24"/>
          <w:szCs w:val="24"/>
        </w:rPr>
        <w:t xml:space="preserve">3.4 Values</w:t>
      </w:r>
    </w:p>
    <w:p>
      <w:pPr>
        <w:pStyle w:val="ListParagraph"/>
        <w:numPr>
          <w:ilvl w:val="0"/>
          <w:numId w:val="2"/>
        </w:numPr>
        <w:spacing w:after="90" w:line="268"/>
      </w:pPr>
      <w:r>
        <w:rPr>
          <w:rFonts w:ascii="Calibri" w:cs="Calibri" w:eastAsia="Calibri" w:hAnsi="Calibri"/>
          <w:color w:val="2B2B2B"/>
          <w:sz w:val="21"/>
          <w:szCs w:val="21"/>
        </w:rPr>
        <w:t xml:space="preserve">People before numbers — one retained new Muslim matters more to us than ten uncontacted shahadas.</w:t>
      </w:r>
    </w:p>
    <w:p>
      <w:pPr>
        <w:pStyle w:val="ListParagraph"/>
        <w:numPr>
          <w:ilvl w:val="0"/>
          <w:numId w:val="2"/>
        </w:numPr>
        <w:spacing w:after="90" w:line="268"/>
      </w:pPr>
      <w:r>
        <w:rPr>
          <w:rFonts w:ascii="Calibri" w:cs="Calibri" w:eastAsia="Calibri" w:hAnsi="Calibri"/>
          <w:color w:val="2B2B2B"/>
          <w:sz w:val="21"/>
          <w:szCs w:val="21"/>
        </w:rPr>
        <w:t xml:space="preserve">Consistency over charisma — programs must survive staff turnover; they are built as systems, not personalities.</w:t>
      </w:r>
    </w:p>
    <w:p>
      <w:pPr>
        <w:pStyle w:val="ListParagraph"/>
        <w:numPr>
          <w:ilvl w:val="0"/>
          <w:numId w:val="2"/>
        </w:numPr>
        <w:spacing w:after="90" w:line="268"/>
      </w:pPr>
      <w:r>
        <w:rPr>
          <w:rFonts w:ascii="Calibri" w:cs="Calibri" w:eastAsia="Calibri" w:hAnsi="Calibri"/>
          <w:color w:val="2B2B2B"/>
          <w:sz w:val="21"/>
          <w:szCs w:val="21"/>
        </w:rPr>
        <w:t xml:space="preserve">Dignity in giving — material support is delivered without humiliation, judgment, or public exposure of need.</w:t>
      </w:r>
    </w:p>
    <w:p>
      <w:pPr>
        <w:pStyle w:val="ListParagraph"/>
        <w:numPr>
          <w:ilvl w:val="0"/>
          <w:numId w:val="2"/>
        </w:numPr>
        <w:spacing w:after="90" w:line="268"/>
      </w:pPr>
      <w:r>
        <w:rPr>
          <w:rFonts w:ascii="Calibri" w:cs="Calibri" w:eastAsia="Calibri" w:hAnsi="Calibri"/>
          <w:color w:val="2B2B2B"/>
          <w:sz w:val="21"/>
          <w:szCs w:val="21"/>
        </w:rPr>
        <w:t xml:space="preserve">Local language, local culture — everything is delivered in Spanish and Portuguese, and adapted to local custom, not imported wholesale from elsewhere.</w:t>
      </w:r>
    </w:p>
    <w:p>
      <w:pPr>
        <w:pStyle w:val="ListParagraph"/>
        <w:numPr>
          <w:ilvl w:val="0"/>
          <w:numId w:val="2"/>
        </w:numPr>
        <w:spacing w:after="90" w:line="268"/>
      </w:pPr>
      <w:r>
        <w:rPr>
          <w:rFonts w:ascii="Calibri" w:cs="Calibri" w:eastAsia="Calibri" w:hAnsi="Calibri"/>
          <w:color w:val="2B2B2B"/>
          <w:sz w:val="21"/>
          <w:szCs w:val="21"/>
        </w:rPr>
        <w:t xml:space="preserve">Open doors, not closed circles — programs welcome converts of any school of thought and any stage of practice.</w:t>
      </w:r>
    </w:p>
    <w:p>
      <w:pPr>
        <w:pStyle w:val="Heading1"/>
        <w:pBdr>
          <w:bottom w:val="single" w:color="B08A3E" w:sz="8" w:space="4"/>
        </w:pBdr>
        <w:spacing w:after="240" w:before="480"/>
      </w:pPr>
      <w:r>
        <w:rPr>
          <w:rFonts w:ascii="Calibri" w:cs="Calibri" w:eastAsia="Calibri" w:hAnsi="Calibri"/>
          <w:b/>
          <w:bCs/>
          <w:color w:val="1F4D3A"/>
          <w:sz w:val="30"/>
          <w:szCs w:val="30"/>
        </w:rPr>
        <w:t xml:space="preserve">4. Programs &amp; Activities</w:t>
      </w:r>
    </w:p>
    <w:p>
      <w:pPr>
        <w:spacing w:after="160" w:line="276"/>
        <w:jc w:val="left"/>
      </w:pPr>
      <w:r>
        <w:rPr>
          <w:rFonts w:ascii="Calibri" w:cs="Calibri" w:eastAsia="Calibri" w:hAnsi="Calibri"/>
          <w:i w:val="false"/>
          <w:iCs w:val="false"/>
          <w:color w:val="2B2B2B"/>
          <w:sz w:val="21"/>
          <w:szCs w:val="21"/>
        </w:rPr>
        <w:t xml:space="preserve">Our programs are organized around the moments where new Muslims most commonly disengage: right after conversion, during their first Ramadan, during family conflict, in moments of financial or emotional need, and simply from the slow erosion of not having anyone to share the journey with. Each program below is designed to be run out of a partner mosque with Imārah-provided materials, training, and — where needed — funding.</w:t>
      </w:r>
    </w:p>
    <w:p>
      <w:pPr>
        <w:pStyle w:val="Heading2"/>
        <w:spacing w:after="160" w:before="320"/>
      </w:pPr>
      <w:r>
        <w:rPr>
          <w:rFonts w:ascii="Calibri" w:cs="Calibri" w:eastAsia="Calibri" w:hAnsi="Calibri"/>
          <w:b/>
          <w:bCs/>
          <w:color w:val="1F4D3A"/>
          <w:sz w:val="24"/>
          <w:szCs w:val="24"/>
        </w:rPr>
        <w:t xml:space="preserve">4.1 New Muslim Education Program</w:t>
      </w:r>
    </w:p>
    <w:p>
      <w:pPr>
        <w:spacing w:after="160" w:line="276"/>
        <w:jc w:val="left"/>
      </w:pPr>
      <w:r>
        <w:rPr>
          <w:rFonts w:ascii="Calibri" w:cs="Calibri" w:eastAsia="Calibri" w:hAnsi="Calibri"/>
          <w:i/>
          <w:iCs/>
          <w:color w:val="2B2B2B"/>
          <w:sz w:val="21"/>
          <w:szCs w:val="21"/>
        </w:rPr>
        <w:t xml:space="preserve">Structured, ongoing classes — not a one-time orientation — that take a convert from their first day to confident, independent practice.</w:t>
      </w:r>
    </w:p>
    <w:p>
      <w:pPr>
        <w:pStyle w:val="Heading3"/>
        <w:spacing w:after="120" w:before="240"/>
      </w:pPr>
      <w:r>
        <w:rPr>
          <w:rFonts w:ascii="Calibri" w:cs="Calibri" w:eastAsia="Calibri" w:hAnsi="Calibri"/>
          <w:b/>
          <w:bCs/>
          <w:color w:val="B08A3E"/>
          <w:sz w:val="21"/>
          <w:szCs w:val="21"/>
        </w:rPr>
        <w:t xml:space="preserve">What it is</w:t>
      </w:r>
    </w:p>
    <w:p>
      <w:pPr>
        <w:spacing w:after="160" w:line="276"/>
        <w:jc w:val="left"/>
      </w:pPr>
      <w:r>
        <w:rPr>
          <w:rFonts w:ascii="Calibri" w:cs="Calibri" w:eastAsia="Calibri" w:hAnsi="Calibri"/>
          <w:i w:val="false"/>
          <w:iCs w:val="false"/>
          <w:color w:val="2B2B2B"/>
          <w:sz w:val="21"/>
          <w:szCs w:val="21"/>
        </w:rPr>
        <w:t xml:space="preserve">A tiered curriculum (Foundations → Practice → Deepening) taught in Spanish and Portuguese, delivered weekly at partner mosques, always paired with a shared meal so class is also a social occasion, not a lecture.</w:t>
      </w:r>
    </w:p>
    <w:p>
      <w:pPr>
        <w:pStyle w:val="Heading3"/>
        <w:spacing w:after="120" w:before="240"/>
      </w:pPr>
      <w:r>
        <w:rPr>
          <w:rFonts w:ascii="Calibri" w:cs="Calibri" w:eastAsia="Calibri" w:hAnsi="Calibri"/>
          <w:b/>
          <w:bCs/>
          <w:color w:val="B08A3E"/>
          <w:sz w:val="21"/>
          <w:szCs w:val="21"/>
        </w:rPr>
        <w:t xml:space="preserve">Activities &amp; components</w:t>
      </w:r>
    </w:p>
    <w:p>
      <w:pPr>
        <w:pStyle w:val="ListParagraph"/>
        <w:numPr>
          <w:ilvl w:val="0"/>
          <w:numId w:val="2"/>
        </w:numPr>
        <w:spacing w:after="90" w:line="268"/>
      </w:pPr>
      <w:r>
        <w:rPr>
          <w:rFonts w:ascii="Calibri" w:cs="Calibri" w:eastAsia="Calibri" w:hAnsi="Calibri"/>
          <w:color w:val="2B2B2B"/>
          <w:sz w:val="21"/>
          <w:szCs w:val="21"/>
        </w:rPr>
        <w:t xml:space="preserve">Foundations track: purification, prayer, basic aqeedah, Qur'an reading from zero, halal/haram basics for daily life in Latin America.</w:t>
      </w:r>
    </w:p>
    <w:p>
      <w:pPr>
        <w:pStyle w:val="ListParagraph"/>
        <w:numPr>
          <w:ilvl w:val="0"/>
          <w:numId w:val="2"/>
        </w:numPr>
        <w:spacing w:after="90" w:line="268"/>
      </w:pPr>
      <w:r>
        <w:rPr>
          <w:rFonts w:ascii="Calibri" w:cs="Calibri" w:eastAsia="Calibri" w:hAnsi="Calibri"/>
          <w:color w:val="2B2B2B"/>
          <w:sz w:val="21"/>
          <w:szCs w:val="21"/>
        </w:rPr>
        <w:t xml:space="preserve">Practice track: fiqh of fasting and Ramadan, zakat, family and marriage in Islam, navigating non-Muslim family relationships.</w:t>
      </w:r>
    </w:p>
    <w:p>
      <w:pPr>
        <w:pStyle w:val="ListParagraph"/>
        <w:numPr>
          <w:ilvl w:val="0"/>
          <w:numId w:val="2"/>
        </w:numPr>
        <w:spacing w:after="90" w:line="268"/>
      </w:pPr>
      <w:r>
        <w:rPr>
          <w:rFonts w:ascii="Calibri" w:cs="Calibri" w:eastAsia="Calibri" w:hAnsi="Calibri"/>
          <w:color w:val="2B2B2B"/>
          <w:sz w:val="21"/>
          <w:szCs w:val="21"/>
        </w:rPr>
        <w:t xml:space="preserve">Deepening track: seerah, tafsir circles, Arabic literacy, and pathways into memorization for those who want to go further.</w:t>
      </w:r>
    </w:p>
    <w:p>
      <w:pPr>
        <w:pStyle w:val="ListParagraph"/>
        <w:numPr>
          <w:ilvl w:val="0"/>
          <w:numId w:val="2"/>
        </w:numPr>
        <w:spacing w:after="90" w:line="268"/>
      </w:pPr>
      <w:r>
        <w:rPr>
          <w:rFonts w:ascii="Calibri" w:cs="Calibri" w:eastAsia="Calibri" w:hAnsi="Calibri"/>
          <w:color w:val="2B2B2B"/>
          <w:sz w:val="21"/>
          <w:szCs w:val="21"/>
        </w:rPr>
        <w:t xml:space="preserve">Take-home printed and digital materials in Spanish/Portuguese, since most existing Islamic literature is in Arabic or English.</w:t>
      </w:r>
    </w:p>
    <w:p>
      <w:pPr>
        <w:pStyle w:val="ListParagraph"/>
        <w:numPr>
          <w:ilvl w:val="0"/>
          <w:numId w:val="2"/>
        </w:numPr>
        <w:spacing w:after="90" w:line="268"/>
      </w:pPr>
      <w:r>
        <w:rPr>
          <w:rFonts w:ascii="Calibri" w:cs="Calibri" w:eastAsia="Calibri" w:hAnsi="Calibri"/>
          <w:color w:val="2B2B2B"/>
          <w:sz w:val="21"/>
          <w:szCs w:val="21"/>
        </w:rPr>
        <w:t xml:space="preserve">Food and drinks at every session — a small, deliberate signal that this is a place you are fed and welcomed, not just instructed.</w:t>
      </w:r>
    </w:p>
    <w:p>
      <w:pPr>
        <w:pStyle w:val="Heading3"/>
        <w:spacing w:after="120" w:before="240"/>
      </w:pPr>
      <w:r>
        <w:rPr>
          <w:rFonts w:ascii="Calibri" w:cs="Calibri" w:eastAsia="Calibri" w:hAnsi="Calibri"/>
          <w:b/>
          <w:bCs/>
          <w:color w:val="B08A3E"/>
          <w:sz w:val="21"/>
          <w:szCs w:val="21"/>
        </w:rPr>
        <w:t xml:space="preserve">Retention problem it addresses</w:t>
      </w:r>
    </w:p>
    <w:p>
      <w:pPr>
        <w:spacing w:after="160" w:line="276"/>
        <w:jc w:val="left"/>
      </w:pPr>
      <w:r>
        <w:rPr>
          <w:rFonts w:ascii="Calibri" w:cs="Calibri" w:eastAsia="Calibri" w:hAnsi="Calibri"/>
          <w:i w:val="false"/>
          <w:iCs w:val="false"/>
          <w:color w:val="2B2B2B"/>
          <w:sz w:val="21"/>
          <w:szCs w:val="21"/>
        </w:rPr>
        <w:t xml:space="preserve">Converts frequently disengage simply because there is nowhere consistent to keep learning after the initial rush of conversion fades. A weekly, no-cost, food-included class turns "I should learn more sometime" into a standing appointment they belong to.</w:t>
      </w:r>
    </w:p>
    <w:p>
      <w:pPr>
        <w:pStyle w:val="Heading2"/>
        <w:spacing w:after="160" w:before="320"/>
      </w:pPr>
      <w:r>
        <w:rPr>
          <w:rFonts w:ascii="Calibri" w:cs="Calibri" w:eastAsia="Calibri" w:hAnsi="Calibri"/>
          <w:b/>
          <w:bCs/>
          <w:color w:val="1F4D3A"/>
          <w:sz w:val="24"/>
          <w:szCs w:val="24"/>
        </w:rPr>
        <w:t xml:space="preserve">4.2 Imam &amp; Teacher Formation Program</w:t>
      </w:r>
    </w:p>
    <w:p>
      <w:pPr>
        <w:spacing w:after="160" w:line="276"/>
        <w:jc w:val="left"/>
      </w:pPr>
      <w:r>
        <w:rPr>
          <w:rFonts w:ascii="Calibri" w:cs="Calibri" w:eastAsia="Calibri" w:hAnsi="Calibri"/>
          <w:i/>
          <w:iCs/>
          <w:color w:val="2B2B2B"/>
          <w:sz w:val="21"/>
          <w:szCs w:val="21"/>
        </w:rPr>
        <w:t xml:space="preserve">Training local imams and lay teachers specifically in how to teach and pastorally support converts — a different skill from leading born-Muslim congregations.</w:t>
      </w:r>
    </w:p>
    <w:p>
      <w:pPr>
        <w:pStyle w:val="Heading3"/>
        <w:spacing w:after="120" w:before="240"/>
      </w:pPr>
      <w:r>
        <w:rPr>
          <w:rFonts w:ascii="Calibri" w:cs="Calibri" w:eastAsia="Calibri" w:hAnsi="Calibri"/>
          <w:b/>
          <w:bCs/>
          <w:color w:val="B08A3E"/>
          <w:sz w:val="21"/>
          <w:szCs w:val="21"/>
        </w:rPr>
        <w:t xml:space="preserve">What it is</w:t>
      </w:r>
    </w:p>
    <w:p>
      <w:pPr>
        <w:spacing w:after="160" w:line="276"/>
        <w:jc w:val="left"/>
      </w:pPr>
      <w:r>
        <w:rPr>
          <w:rFonts w:ascii="Calibri" w:cs="Calibri" w:eastAsia="Calibri" w:hAnsi="Calibri"/>
          <w:i w:val="false"/>
          <w:iCs w:val="false"/>
          <w:color w:val="2B2B2B"/>
          <w:sz w:val="21"/>
          <w:szCs w:val="21"/>
        </w:rPr>
        <w:t xml:space="preserve">A certification track for imams and community teachers covering convert psychology, trauma-informed pastoral care, simplified teaching methodology, and culturally-adapted Spanish/Portuguese da'wah materials, so every partner mosque has at least one person equipped to run Imārah's programs well.</w:t>
      </w:r>
    </w:p>
    <w:p>
      <w:pPr>
        <w:pStyle w:val="Heading3"/>
        <w:spacing w:after="120" w:before="240"/>
      </w:pPr>
      <w:r>
        <w:rPr>
          <w:rFonts w:ascii="Calibri" w:cs="Calibri" w:eastAsia="Calibri" w:hAnsi="Calibri"/>
          <w:b/>
          <w:bCs/>
          <w:color w:val="B08A3E"/>
          <w:sz w:val="21"/>
          <w:szCs w:val="21"/>
        </w:rPr>
        <w:t xml:space="preserve">Activities &amp; components</w:t>
      </w:r>
    </w:p>
    <w:p>
      <w:pPr>
        <w:pStyle w:val="ListParagraph"/>
        <w:numPr>
          <w:ilvl w:val="0"/>
          <w:numId w:val="2"/>
        </w:numPr>
        <w:spacing w:after="90" w:line="268"/>
      </w:pPr>
      <w:r>
        <w:rPr>
          <w:rFonts w:ascii="Calibri" w:cs="Calibri" w:eastAsia="Calibri" w:hAnsi="Calibri"/>
          <w:color w:val="2B2B2B"/>
          <w:sz w:val="21"/>
          <w:szCs w:val="21"/>
        </w:rPr>
        <w:t xml:space="preserve">Workshops on the specific challenges converts face: family rejection, identity loss, isolation, doubt, and burnout.</w:t>
      </w:r>
    </w:p>
    <w:p>
      <w:pPr>
        <w:pStyle w:val="ListParagraph"/>
        <w:numPr>
          <w:ilvl w:val="0"/>
          <w:numId w:val="2"/>
        </w:numPr>
        <w:spacing w:after="90" w:line="268"/>
      </w:pPr>
      <w:r>
        <w:rPr>
          <w:rFonts w:ascii="Calibri" w:cs="Calibri" w:eastAsia="Calibri" w:hAnsi="Calibri"/>
          <w:color w:val="2B2B2B"/>
          <w:sz w:val="21"/>
          <w:szCs w:val="21"/>
        </w:rPr>
        <w:t xml:space="preserve">Teaching-methodology training — how to teach fiqh and Qur'an to adult beginners with no religious-Arabic background.</w:t>
      </w:r>
    </w:p>
    <w:p>
      <w:pPr>
        <w:pStyle w:val="ListParagraph"/>
        <w:numPr>
          <w:ilvl w:val="0"/>
          <w:numId w:val="2"/>
        </w:numPr>
        <w:spacing w:after="90" w:line="268"/>
      </w:pPr>
      <w:r>
        <w:rPr>
          <w:rFonts w:ascii="Calibri" w:cs="Calibri" w:eastAsia="Calibri" w:hAnsi="Calibri"/>
          <w:color w:val="2B2B2B"/>
          <w:sz w:val="21"/>
          <w:szCs w:val="21"/>
        </w:rPr>
        <w:t xml:space="preserve">A shared, translated curriculum and teaching-materials library so no imam has to build lessons from scratch.</w:t>
      </w:r>
    </w:p>
    <w:p>
      <w:pPr>
        <w:pStyle w:val="ListParagraph"/>
        <w:numPr>
          <w:ilvl w:val="0"/>
          <w:numId w:val="2"/>
        </w:numPr>
        <w:spacing w:after="90" w:line="268"/>
      </w:pPr>
      <w:r>
        <w:rPr>
          <w:rFonts w:ascii="Calibri" w:cs="Calibri" w:eastAsia="Calibri" w:hAnsi="Calibri"/>
          <w:color w:val="2B2B2B"/>
          <w:sz w:val="21"/>
          <w:szCs w:val="21"/>
        </w:rPr>
        <w:t xml:space="preserve">An annual gathering of trained imams/teachers from across partner cities to exchange experience and refine the program.</w:t>
      </w:r>
    </w:p>
    <w:p>
      <w:pPr>
        <w:pStyle w:val="Heading3"/>
        <w:spacing w:after="120" w:before="240"/>
      </w:pPr>
      <w:r>
        <w:rPr>
          <w:rFonts w:ascii="Calibri" w:cs="Calibri" w:eastAsia="Calibri" w:hAnsi="Calibri"/>
          <w:b/>
          <w:bCs/>
          <w:color w:val="B08A3E"/>
          <w:sz w:val="21"/>
          <w:szCs w:val="21"/>
        </w:rPr>
        <w:t xml:space="preserve">Retention problem it addresses</w:t>
      </w:r>
    </w:p>
    <w:p>
      <w:pPr>
        <w:spacing w:after="160" w:line="276"/>
        <w:jc w:val="left"/>
      </w:pPr>
      <w:r>
        <w:rPr>
          <w:rFonts w:ascii="Calibri" w:cs="Calibri" w:eastAsia="Calibri" w:hAnsi="Calibri"/>
          <w:i w:val="false"/>
          <w:iCs w:val="false"/>
          <w:color w:val="2B2B2B"/>
          <w:sz w:val="21"/>
          <w:szCs w:val="21"/>
        </w:rPr>
        <w:t xml:space="preserve">A well-meaning imam without convert-specific training can unintentionally make a new Muslim feel judged, rushed, or out of place. Training the teachers is what makes every other program reproducible city to city instead of dependent on one gifted individual.</w:t>
      </w:r>
    </w:p>
    <w:p>
      <w:pPr>
        <w:pStyle w:val="Heading2"/>
        <w:spacing w:after="160" w:before="320"/>
      </w:pPr>
      <w:r>
        <w:rPr>
          <w:rFonts w:ascii="Calibri" w:cs="Calibri" w:eastAsia="Calibri" w:hAnsi="Calibri"/>
          <w:b/>
          <w:bCs/>
          <w:color w:val="1F4D3A"/>
          <w:sz w:val="24"/>
          <w:szCs w:val="24"/>
        </w:rPr>
        <w:t xml:space="preserve">4.3 Community Events Program</w:t>
      </w:r>
    </w:p>
    <w:p>
      <w:pPr>
        <w:spacing w:after="160" w:line="276"/>
        <w:jc w:val="left"/>
      </w:pPr>
      <w:r>
        <w:rPr>
          <w:rFonts w:ascii="Calibri" w:cs="Calibri" w:eastAsia="Calibri" w:hAnsi="Calibri"/>
          <w:i/>
          <w:iCs/>
          <w:color w:val="2B2B2B"/>
          <w:sz w:val="21"/>
          <w:szCs w:val="21"/>
        </w:rPr>
        <w:t xml:space="preserve">Regular, genuinely fun gatherings whose real purpose is belonging: food, games, and the chance to tell your story and hear others'.</w:t>
      </w:r>
    </w:p>
    <w:p>
      <w:pPr>
        <w:pStyle w:val="Heading3"/>
        <w:spacing w:after="120" w:before="240"/>
      </w:pPr>
      <w:r>
        <w:rPr>
          <w:rFonts w:ascii="Calibri" w:cs="Calibri" w:eastAsia="Calibri" w:hAnsi="Calibri"/>
          <w:b/>
          <w:bCs/>
          <w:color w:val="B08A3E"/>
          <w:sz w:val="21"/>
          <w:szCs w:val="21"/>
        </w:rPr>
        <w:t xml:space="preserve">What it is</w:t>
      </w:r>
    </w:p>
    <w:p>
      <w:pPr>
        <w:spacing w:after="160" w:line="276"/>
        <w:jc w:val="left"/>
      </w:pPr>
      <w:r>
        <w:rPr>
          <w:rFonts w:ascii="Calibri" w:cs="Calibri" w:eastAsia="Calibri" w:hAnsi="Calibri"/>
          <w:i w:val="false"/>
          <w:iCs w:val="false"/>
          <w:color w:val="2B2B2B"/>
          <w:sz w:val="21"/>
          <w:szCs w:val="21"/>
        </w:rPr>
        <w:t xml:space="preserve">Monthly community nights and seasonal larger gatherings (Ramadan iftars, Eid celebrations, welcome parties for recent converts) hosted at or near partner mosques, built around food, structured games, and storytelling.</w:t>
      </w:r>
    </w:p>
    <w:p>
      <w:pPr>
        <w:pStyle w:val="Heading3"/>
        <w:spacing w:after="120" w:before="240"/>
      </w:pPr>
      <w:r>
        <w:rPr>
          <w:rFonts w:ascii="Calibri" w:cs="Calibri" w:eastAsia="Calibri" w:hAnsi="Calibri"/>
          <w:b/>
          <w:bCs/>
          <w:color w:val="B08A3E"/>
          <w:sz w:val="21"/>
          <w:szCs w:val="21"/>
        </w:rPr>
        <w:t xml:space="preserve">Activities &amp; components</w:t>
      </w:r>
    </w:p>
    <w:p>
      <w:pPr>
        <w:pStyle w:val="ListParagraph"/>
        <w:numPr>
          <w:ilvl w:val="0"/>
          <w:numId w:val="2"/>
        </w:numPr>
        <w:spacing w:after="90" w:line="268"/>
      </w:pPr>
      <w:r>
        <w:rPr>
          <w:rFonts w:ascii="Calibri" w:cs="Calibri" w:eastAsia="Calibri" w:hAnsi="Calibri"/>
          <w:color w:val="2B2B2B"/>
          <w:sz w:val="21"/>
          <w:szCs w:val="21"/>
        </w:rPr>
        <w:t xml:space="preserve">Monthly "convert story nights" where members share their journey — proven to build belonging and give new converts language for their own experience.</w:t>
      </w:r>
    </w:p>
    <w:p>
      <w:pPr>
        <w:pStyle w:val="ListParagraph"/>
        <w:numPr>
          <w:ilvl w:val="0"/>
          <w:numId w:val="2"/>
        </w:numPr>
        <w:spacing w:after="90" w:line="268"/>
      </w:pPr>
      <w:r>
        <w:rPr>
          <w:rFonts w:ascii="Calibri" w:cs="Calibri" w:eastAsia="Calibri" w:hAnsi="Calibri"/>
          <w:color w:val="2B2B2B"/>
          <w:sz w:val="21"/>
          <w:szCs w:val="21"/>
        </w:rPr>
        <w:t xml:space="preserve">Eid and Ramadan community celebrations designed for people with no family to celebrate with.</w:t>
      </w:r>
    </w:p>
    <w:p>
      <w:pPr>
        <w:pStyle w:val="ListParagraph"/>
        <w:numPr>
          <w:ilvl w:val="0"/>
          <w:numId w:val="2"/>
        </w:numPr>
        <w:spacing w:after="90" w:line="268"/>
      </w:pPr>
      <w:r>
        <w:rPr>
          <w:rFonts w:ascii="Calibri" w:cs="Calibri" w:eastAsia="Calibri" w:hAnsi="Calibri"/>
          <w:color w:val="2B2B2B"/>
          <w:sz w:val="21"/>
          <w:szCs w:val="21"/>
        </w:rPr>
        <w:t xml:space="preserve">Structured icebreaker games and social activities, especially aimed at helping new converts build friendships, not just acquaintances.</w:t>
      </w:r>
    </w:p>
    <w:p>
      <w:pPr>
        <w:pStyle w:val="ListParagraph"/>
        <w:numPr>
          <w:ilvl w:val="0"/>
          <w:numId w:val="2"/>
        </w:numPr>
        <w:spacing w:after="90" w:line="268"/>
      </w:pPr>
      <w:r>
        <w:rPr>
          <w:rFonts w:ascii="Calibri" w:cs="Calibri" w:eastAsia="Calibri" w:hAnsi="Calibri"/>
          <w:color w:val="2B2B2B"/>
          <w:sz w:val="21"/>
          <w:szCs w:val="21"/>
        </w:rPr>
        <w:t xml:space="preserve">Welcome nights specifically for people in their first 90 days, paired with a mentor introduction (see 4.6).</w:t>
      </w:r>
    </w:p>
    <w:p>
      <w:pPr>
        <w:pStyle w:val="Heading3"/>
        <w:spacing w:after="120" w:before="240"/>
      </w:pPr>
      <w:r>
        <w:rPr>
          <w:rFonts w:ascii="Calibri" w:cs="Calibri" w:eastAsia="Calibri" w:hAnsi="Calibri"/>
          <w:b/>
          <w:bCs/>
          <w:color w:val="B08A3E"/>
          <w:sz w:val="21"/>
          <w:szCs w:val="21"/>
        </w:rPr>
        <w:t xml:space="preserve">Retention problem it addresses</w:t>
      </w:r>
    </w:p>
    <w:p>
      <w:pPr>
        <w:spacing w:after="160" w:line="276"/>
        <w:jc w:val="left"/>
      </w:pPr>
      <w:r>
        <w:rPr>
          <w:rFonts w:ascii="Calibri" w:cs="Calibri" w:eastAsia="Calibri" w:hAnsi="Calibri"/>
          <w:i w:val="false"/>
          <w:iCs w:val="false"/>
          <w:color w:val="2B2B2B"/>
          <w:sz w:val="21"/>
          <w:szCs w:val="21"/>
        </w:rPr>
        <w:t xml:space="preserve">Many converts describe conversion as gaining a religion and losing a social world overnight. Events replace the social world that was lost — the single biggest predictor of whether someone stays engaged long-term.</w:t>
      </w:r>
    </w:p>
    <w:p>
      <w:pPr>
        <w:pStyle w:val="Heading2"/>
        <w:spacing w:after="160" w:before="320"/>
      </w:pPr>
      <w:r>
        <w:rPr>
          <w:rFonts w:ascii="Calibri" w:cs="Calibri" w:eastAsia="Calibri" w:hAnsi="Calibri"/>
          <w:b/>
          <w:bCs/>
          <w:color w:val="1F4D3A"/>
          <w:sz w:val="24"/>
          <w:szCs w:val="24"/>
        </w:rPr>
        <w:t xml:space="preserve">4.4 Mutual Aid &amp; Emergency Support Fund</w:t>
      </w:r>
    </w:p>
    <w:p>
      <w:pPr>
        <w:spacing w:after="160" w:line="276"/>
        <w:jc w:val="left"/>
      </w:pPr>
      <w:r>
        <w:rPr>
          <w:rFonts w:ascii="Calibri" w:cs="Calibri" w:eastAsia="Calibri" w:hAnsi="Calibri"/>
          <w:i/>
          <w:iCs/>
          <w:color w:val="2B2B2B"/>
          <w:sz w:val="21"/>
          <w:szCs w:val="21"/>
        </w:rPr>
        <w:t xml:space="preserve">A dignified, needs-based safety net so that material hardship never becomes the reason someone drifts away.</w:t>
      </w:r>
    </w:p>
    <w:p>
      <w:pPr>
        <w:pStyle w:val="Heading3"/>
        <w:spacing w:after="120" w:before="240"/>
      </w:pPr>
      <w:r>
        <w:rPr>
          <w:rFonts w:ascii="Calibri" w:cs="Calibri" w:eastAsia="Calibri" w:hAnsi="Calibri"/>
          <w:b/>
          <w:bCs/>
          <w:color w:val="B08A3E"/>
          <w:sz w:val="21"/>
          <w:szCs w:val="21"/>
        </w:rPr>
        <w:t xml:space="preserve">What it is</w:t>
      </w:r>
    </w:p>
    <w:p>
      <w:pPr>
        <w:spacing w:after="160" w:line="276"/>
        <w:jc w:val="left"/>
      </w:pPr>
      <w:r>
        <w:rPr>
          <w:rFonts w:ascii="Calibri" w:cs="Calibri" w:eastAsia="Calibri" w:hAnsi="Calibri"/>
          <w:i w:val="false"/>
          <w:iCs w:val="false"/>
          <w:color w:val="2B2B2B"/>
          <w:sz w:val="21"/>
          <w:szCs w:val="21"/>
        </w:rPr>
        <w:t xml:space="preserve">A confidential support fund, administered through partner mosques, that can provide direct, time-limited help with food, clothing, emergency cash, and connections to livelihood opportunities for new Muslims in genuine need — many of whom have been cut off from family financial support because of their conversion.</w:t>
      </w:r>
    </w:p>
    <w:p>
      <w:pPr>
        <w:pStyle w:val="Heading3"/>
        <w:spacing w:after="120" w:before="240"/>
      </w:pPr>
      <w:r>
        <w:rPr>
          <w:rFonts w:ascii="Calibri" w:cs="Calibri" w:eastAsia="Calibri" w:hAnsi="Calibri"/>
          <w:b/>
          <w:bCs/>
          <w:color w:val="B08A3E"/>
          <w:sz w:val="21"/>
          <w:szCs w:val="21"/>
        </w:rPr>
        <w:t xml:space="preserve">Activities &amp; components</w:t>
      </w:r>
    </w:p>
    <w:p>
      <w:pPr>
        <w:pStyle w:val="ListParagraph"/>
        <w:numPr>
          <w:ilvl w:val="0"/>
          <w:numId w:val="2"/>
        </w:numPr>
        <w:spacing w:after="90" w:line="268"/>
      </w:pPr>
      <w:r>
        <w:rPr>
          <w:rFonts w:ascii="Calibri" w:cs="Calibri" w:eastAsia="Calibri" w:hAnsi="Calibri"/>
          <w:color w:val="2B2B2B"/>
          <w:sz w:val="21"/>
          <w:szCs w:val="21"/>
        </w:rPr>
        <w:t xml:space="preserve">Confidential intake process — requests for help never become mosque gossip.</w:t>
      </w:r>
    </w:p>
    <w:p>
      <w:pPr>
        <w:pStyle w:val="ListParagraph"/>
        <w:numPr>
          <w:ilvl w:val="0"/>
          <w:numId w:val="2"/>
        </w:numPr>
        <w:spacing w:after="90" w:line="268"/>
      </w:pPr>
      <w:r>
        <w:rPr>
          <w:rFonts w:ascii="Calibri" w:cs="Calibri" w:eastAsia="Calibri" w:hAnsi="Calibri"/>
          <w:color w:val="2B2B2B"/>
          <w:sz w:val="21"/>
          <w:szCs w:val="21"/>
        </w:rPr>
        <w:t xml:space="preserve">Emergency essentials: food packages, clothing (including modest clothing/hijab starter kits), and short-term cash assistance.</w:t>
      </w:r>
    </w:p>
    <w:p>
      <w:pPr>
        <w:pStyle w:val="ListParagraph"/>
        <w:numPr>
          <w:ilvl w:val="0"/>
          <w:numId w:val="2"/>
        </w:numPr>
        <w:spacing w:after="90" w:line="268"/>
      </w:pPr>
      <w:r>
        <w:rPr>
          <w:rFonts w:ascii="Calibri" w:cs="Calibri" w:eastAsia="Calibri" w:hAnsi="Calibri"/>
          <w:color w:val="2B2B2B"/>
          <w:sz w:val="21"/>
          <w:szCs w:val="21"/>
        </w:rPr>
        <w:t xml:space="preserve">A small-business/livelihood track: micro-grants or interest-free loans (qard hasan) to help converts who lost income over their conversion get back on their feet.</w:t>
      </w:r>
    </w:p>
    <w:p>
      <w:pPr>
        <w:pStyle w:val="ListParagraph"/>
        <w:numPr>
          <w:ilvl w:val="0"/>
          <w:numId w:val="2"/>
        </w:numPr>
        <w:spacing w:after="90" w:line="268"/>
      </w:pPr>
      <w:r>
        <w:rPr>
          <w:rFonts w:ascii="Calibri" w:cs="Calibri" w:eastAsia="Calibri" w:hAnsi="Calibri"/>
          <w:color w:val="2B2B2B"/>
          <w:sz w:val="21"/>
          <w:szCs w:val="21"/>
        </w:rPr>
        <w:t xml:space="preserve">A referral network to partner professionals — lawyers, doctors, therapists — willing to offer discounted or free help to new Muslims.</w:t>
      </w:r>
    </w:p>
    <w:p>
      <w:pPr>
        <w:pStyle w:val="Heading3"/>
        <w:spacing w:after="120" w:before="240"/>
      </w:pPr>
      <w:r>
        <w:rPr>
          <w:rFonts w:ascii="Calibri" w:cs="Calibri" w:eastAsia="Calibri" w:hAnsi="Calibri"/>
          <w:b/>
          <w:bCs/>
          <w:color w:val="B08A3E"/>
          <w:sz w:val="21"/>
          <w:szCs w:val="21"/>
        </w:rPr>
        <w:t xml:space="preserve">Retention problem it addresses</w:t>
      </w:r>
    </w:p>
    <w:p>
      <w:pPr>
        <w:spacing w:after="160" w:line="276"/>
        <w:jc w:val="left"/>
      </w:pPr>
      <w:r>
        <w:rPr>
          <w:rFonts w:ascii="Calibri" w:cs="Calibri" w:eastAsia="Calibri" w:hAnsi="Calibri"/>
          <w:i w:val="false"/>
          <w:iCs w:val="false"/>
          <w:color w:val="2B2B2B"/>
          <w:sz w:val="21"/>
          <w:szCs w:val="21"/>
        </w:rPr>
        <w:t xml:space="preserve">It is well documented that converts, especially women who begin wearing hijab, can face real economic and family consequences for converting. Without a safety net, financial hardship becomes the practical, non-ideological reason people quietly stop practicing.</w:t>
      </w:r>
    </w:p>
    <w:p>
      <w:pPr>
        <w:pStyle w:val="Heading2"/>
        <w:spacing w:after="160" w:before="320"/>
      </w:pPr>
      <w:r>
        <w:rPr>
          <w:rFonts w:ascii="Calibri" w:cs="Calibri" w:eastAsia="Calibri" w:hAnsi="Calibri"/>
          <w:b/>
          <w:bCs/>
          <w:color w:val="1F4D3A"/>
          <w:sz w:val="24"/>
          <w:szCs w:val="24"/>
        </w:rPr>
        <w:t xml:space="preserve">4.5 Outdoor Retreats: Camping, Sport &amp; Nature</w:t>
      </w:r>
    </w:p>
    <w:p>
      <w:pPr>
        <w:spacing w:after="160" w:line="276"/>
        <w:jc w:val="left"/>
      </w:pPr>
      <w:r>
        <w:rPr>
          <w:rFonts w:ascii="Calibri" w:cs="Calibri" w:eastAsia="Calibri" w:hAnsi="Calibri"/>
          <w:i/>
          <w:iCs/>
          <w:color w:val="2B2B2B"/>
          <w:sz w:val="21"/>
          <w:szCs w:val="21"/>
        </w:rPr>
        <w:t xml:space="preserve">Weekend retreats that combine nature, physical activity, and Islamic learning — built for a demographic that often finds classroom-only formats hard to stay engaged with.</w:t>
      </w:r>
    </w:p>
    <w:p>
      <w:pPr>
        <w:pStyle w:val="Heading3"/>
        <w:spacing w:after="120" w:before="240"/>
      </w:pPr>
      <w:r>
        <w:rPr>
          <w:rFonts w:ascii="Calibri" w:cs="Calibri" w:eastAsia="Calibri" w:hAnsi="Calibri"/>
          <w:b/>
          <w:bCs/>
          <w:color w:val="B08A3E"/>
          <w:sz w:val="21"/>
          <w:szCs w:val="21"/>
        </w:rPr>
        <w:t xml:space="preserve">What it is</w:t>
      </w:r>
    </w:p>
    <w:p>
      <w:pPr>
        <w:spacing w:after="160" w:line="276"/>
        <w:jc w:val="left"/>
      </w:pPr>
      <w:r>
        <w:rPr>
          <w:rFonts w:ascii="Calibri" w:cs="Calibri" w:eastAsia="Calibri" w:hAnsi="Calibri"/>
          <w:i w:val="false"/>
          <w:iCs w:val="false"/>
          <w:color w:val="2B2B2B"/>
          <w:sz w:val="21"/>
          <w:szCs w:val="21"/>
        </w:rPr>
        <w:t xml:space="preserve">Quarterly weekend retreats — camping trips, beach or jungle excursions (fitting naturally with our base on the Riviera Maya), and day tours — that blend outdoor activity with short, high-impact teaching sessions and free time to bond.</w:t>
      </w:r>
    </w:p>
    <w:p>
      <w:pPr>
        <w:pStyle w:val="Heading3"/>
        <w:spacing w:after="120" w:before="240"/>
      </w:pPr>
      <w:r>
        <w:rPr>
          <w:rFonts w:ascii="Calibri" w:cs="Calibri" w:eastAsia="Calibri" w:hAnsi="Calibri"/>
          <w:b/>
          <w:bCs/>
          <w:color w:val="B08A3E"/>
          <w:sz w:val="21"/>
          <w:szCs w:val="21"/>
        </w:rPr>
        <w:t xml:space="preserve">Activities &amp; components</w:t>
      </w:r>
    </w:p>
    <w:p>
      <w:pPr>
        <w:pStyle w:val="ListParagraph"/>
        <w:numPr>
          <w:ilvl w:val="0"/>
          <w:numId w:val="2"/>
        </w:numPr>
        <w:spacing w:after="90" w:line="268"/>
      </w:pPr>
      <w:r>
        <w:rPr>
          <w:rFonts w:ascii="Calibri" w:cs="Calibri" w:eastAsia="Calibri" w:hAnsi="Calibri"/>
          <w:color w:val="2B2B2B"/>
          <w:sz w:val="21"/>
          <w:szCs w:val="21"/>
        </w:rPr>
        <w:t xml:space="preserve">Weekend campouts with structured halaqas (short teaching circles) around the fire, paired with hiking, kayaking, or beach activities.</w:t>
      </w:r>
    </w:p>
    <w:p>
      <w:pPr>
        <w:pStyle w:val="ListParagraph"/>
        <w:numPr>
          <w:ilvl w:val="0"/>
          <w:numId w:val="2"/>
        </w:numPr>
        <w:spacing w:after="90" w:line="268"/>
      </w:pPr>
      <w:r>
        <w:rPr>
          <w:rFonts w:ascii="Calibri" w:cs="Calibri" w:eastAsia="Calibri" w:hAnsi="Calibri"/>
          <w:color w:val="2B2B2B"/>
          <w:sz w:val="21"/>
          <w:szCs w:val="21"/>
        </w:rPr>
        <w:t xml:space="preserve">Inter-mosque sports tournaments (football, volleyball) as a low-barrier way for converts to meet Muslims from other communities.</w:t>
      </w:r>
    </w:p>
    <w:p>
      <w:pPr>
        <w:pStyle w:val="ListParagraph"/>
        <w:numPr>
          <w:ilvl w:val="0"/>
          <w:numId w:val="2"/>
        </w:numPr>
        <w:spacing w:after="90" w:line="268"/>
      </w:pPr>
      <w:r>
        <w:rPr>
          <w:rFonts w:ascii="Calibri" w:cs="Calibri" w:eastAsia="Calibri" w:hAnsi="Calibri"/>
          <w:color w:val="2B2B2B"/>
          <w:sz w:val="21"/>
          <w:szCs w:val="21"/>
        </w:rPr>
        <w:t xml:space="preserve">Local tourism-style day trips to build a sense of "we explore this new life together," not just "we sit and learn together."</w:t>
      </w:r>
    </w:p>
    <w:p>
      <w:pPr>
        <w:pStyle w:val="Heading3"/>
        <w:spacing w:after="120" w:before="240"/>
      </w:pPr>
      <w:r>
        <w:rPr>
          <w:rFonts w:ascii="Calibri" w:cs="Calibri" w:eastAsia="Calibri" w:hAnsi="Calibri"/>
          <w:b/>
          <w:bCs/>
          <w:color w:val="B08A3E"/>
          <w:sz w:val="21"/>
          <w:szCs w:val="21"/>
        </w:rPr>
        <w:t xml:space="preserve">Retention problem it addresses</w:t>
      </w:r>
    </w:p>
    <w:p>
      <w:pPr>
        <w:spacing w:after="160" w:line="276"/>
        <w:jc w:val="left"/>
      </w:pPr>
      <w:r>
        <w:rPr>
          <w:rFonts w:ascii="Calibri" w:cs="Calibri" w:eastAsia="Calibri" w:hAnsi="Calibri"/>
          <w:i w:val="false"/>
          <w:iCs w:val="false"/>
          <w:color w:val="2B2B2B"/>
          <w:sz w:val="21"/>
          <w:szCs w:val="21"/>
        </w:rPr>
        <w:t xml:space="preserve">Retreats reach converts who won't come to another lecture but will come to a camping trip — and once there, absorb far more community and knowledge than a classroom setting would deliver, while forming the kind of friendships that keep people anchored.</w:t>
      </w:r>
    </w:p>
    <w:p>
      <w:pPr>
        <w:pStyle w:val="Heading2"/>
        <w:spacing w:after="160" w:before="320"/>
      </w:pPr>
      <w:r>
        <w:rPr>
          <w:rFonts w:ascii="Calibri" w:cs="Calibri" w:eastAsia="Calibri" w:hAnsi="Calibri"/>
          <w:b/>
          <w:bCs/>
          <w:color w:val="1F4D3A"/>
          <w:sz w:val="24"/>
          <w:szCs w:val="24"/>
        </w:rPr>
        <w:t xml:space="preserve">4.6 Inter-Community Travel &amp; Exchange Program</w:t>
      </w:r>
    </w:p>
    <w:p>
      <w:pPr>
        <w:spacing w:after="160" w:line="276"/>
        <w:jc w:val="left"/>
      </w:pPr>
      <w:r>
        <w:rPr>
          <w:rFonts w:ascii="Calibri" w:cs="Calibri" w:eastAsia="Calibri" w:hAnsi="Calibri"/>
          <w:i/>
          <w:iCs/>
          <w:color w:val="2B2B2B"/>
          <w:sz w:val="21"/>
          <w:szCs w:val="21"/>
        </w:rPr>
        <w:t xml:space="preserve">Structured trips connecting new-Muslim communities across Latin America so no city's program has to reinvent itself in isolation.</w:t>
      </w:r>
    </w:p>
    <w:p>
      <w:pPr>
        <w:pStyle w:val="Heading3"/>
        <w:spacing w:after="120" w:before="240"/>
      </w:pPr>
      <w:r>
        <w:rPr>
          <w:rFonts w:ascii="Calibri" w:cs="Calibri" w:eastAsia="Calibri" w:hAnsi="Calibri"/>
          <w:b/>
          <w:bCs/>
          <w:color w:val="B08A3E"/>
          <w:sz w:val="21"/>
          <w:szCs w:val="21"/>
        </w:rPr>
        <w:t xml:space="preserve">What it is</w:t>
      </w:r>
    </w:p>
    <w:p>
      <w:pPr>
        <w:spacing w:after="160" w:line="276"/>
        <w:jc w:val="left"/>
      </w:pPr>
      <w:r>
        <w:rPr>
          <w:rFonts w:ascii="Calibri" w:cs="Calibri" w:eastAsia="Calibri" w:hAnsi="Calibri"/>
          <w:i w:val="false"/>
          <w:iCs w:val="false"/>
          <w:color w:val="2B2B2B"/>
          <w:sz w:val="21"/>
          <w:szCs w:val="21"/>
        </w:rPr>
        <w:t xml:space="preserve">An exchange program sending small delegations of converts, teachers, and organizers to visit partner new-Muslim communities in other Latin American countries (and eventually beyond), to share programming models, build cross-border friendships, and let converts see the size of the ummah they've joined.</w:t>
      </w:r>
    </w:p>
    <w:p>
      <w:pPr>
        <w:pStyle w:val="Heading3"/>
        <w:spacing w:after="120" w:before="240"/>
      </w:pPr>
      <w:r>
        <w:rPr>
          <w:rFonts w:ascii="Calibri" w:cs="Calibri" w:eastAsia="Calibri" w:hAnsi="Calibri"/>
          <w:b/>
          <w:bCs/>
          <w:color w:val="B08A3E"/>
          <w:sz w:val="21"/>
          <w:szCs w:val="21"/>
        </w:rPr>
        <w:t xml:space="preserve">Activities &amp; components</w:t>
      </w:r>
    </w:p>
    <w:p>
      <w:pPr>
        <w:pStyle w:val="ListParagraph"/>
        <w:numPr>
          <w:ilvl w:val="0"/>
          <w:numId w:val="2"/>
        </w:numPr>
        <w:spacing w:after="90" w:line="268"/>
      </w:pPr>
      <w:r>
        <w:rPr>
          <w:rFonts w:ascii="Calibri" w:cs="Calibri" w:eastAsia="Calibri" w:hAnsi="Calibri"/>
          <w:color w:val="2B2B2B"/>
          <w:sz w:val="21"/>
          <w:szCs w:val="21"/>
        </w:rPr>
        <w:t xml:space="preserve">Annual regional convert conference, rotating host city, bringing together Imārah chapters and partner organizations.</w:t>
      </w:r>
    </w:p>
    <w:p>
      <w:pPr>
        <w:pStyle w:val="ListParagraph"/>
        <w:numPr>
          <w:ilvl w:val="0"/>
          <w:numId w:val="2"/>
        </w:numPr>
        <w:spacing w:after="90" w:line="268"/>
      </w:pPr>
      <w:r>
        <w:rPr>
          <w:rFonts w:ascii="Calibri" w:cs="Calibri" w:eastAsia="Calibri" w:hAnsi="Calibri"/>
          <w:color w:val="2B2B2B"/>
          <w:sz w:val="21"/>
          <w:szCs w:val="21"/>
        </w:rPr>
        <w:t xml:space="preserve">Delegation exchanges — e.g., Mexico converts visiting Colombia, Brazil, or Argentina communities and vice versa.</w:t>
      </w:r>
    </w:p>
    <w:p>
      <w:pPr>
        <w:pStyle w:val="ListParagraph"/>
        <w:numPr>
          <w:ilvl w:val="0"/>
          <w:numId w:val="2"/>
        </w:numPr>
        <w:spacing w:after="90" w:line="268"/>
      </w:pPr>
      <w:r>
        <w:rPr>
          <w:rFonts w:ascii="Calibri" w:cs="Calibri" w:eastAsia="Calibri" w:hAnsi="Calibri"/>
          <w:color w:val="2B2B2B"/>
          <w:sz w:val="21"/>
          <w:szCs w:val="21"/>
        </w:rPr>
        <w:t xml:space="preserve">A shared digital directory of new-Muslim organizations across Latin America to coordinate resources and avoid duplicated effort.</w:t>
      </w:r>
    </w:p>
    <w:p>
      <w:pPr>
        <w:pStyle w:val="Heading3"/>
        <w:spacing w:after="120" w:before="240"/>
      </w:pPr>
      <w:r>
        <w:rPr>
          <w:rFonts w:ascii="Calibri" w:cs="Calibri" w:eastAsia="Calibri" w:hAnsi="Calibri"/>
          <w:b/>
          <w:bCs/>
          <w:color w:val="B08A3E"/>
          <w:sz w:val="21"/>
          <w:szCs w:val="21"/>
        </w:rPr>
        <w:t xml:space="preserve">Retention problem it addresses</w:t>
      </w:r>
    </w:p>
    <w:p>
      <w:pPr>
        <w:spacing w:after="160" w:line="276"/>
        <w:jc w:val="left"/>
      </w:pPr>
      <w:r>
        <w:rPr>
          <w:rFonts w:ascii="Calibri" w:cs="Calibri" w:eastAsia="Calibri" w:hAnsi="Calibri"/>
          <w:i w:val="false"/>
          <w:iCs w:val="false"/>
          <w:color w:val="2B2B2B"/>
          <w:sz w:val="21"/>
          <w:szCs w:val="21"/>
        </w:rPr>
        <w:t xml:space="preserve">Isolation is not only individual — entire national convert communities can feel small and disconnected. Showing a new Muslim in Playa del Carmen that there are thousands of people like them across the continent reframes their conversion from a lonely, singular event into membership in a real, large, connected community.</w:t>
      </w:r>
    </w:p>
    <w:p>
      <w:pPr>
        <w:pStyle w:val="Heading2"/>
        <w:spacing w:after="160" w:before="320"/>
      </w:pPr>
      <w:r>
        <w:rPr>
          <w:rFonts w:ascii="Calibri" w:cs="Calibri" w:eastAsia="Calibri" w:hAnsi="Calibri"/>
          <w:b/>
          <w:bCs/>
          <w:color w:val="1F4D3A"/>
          <w:sz w:val="24"/>
          <w:szCs w:val="24"/>
        </w:rPr>
        <w:t xml:space="preserve">4.7 Additional Program Ideas to Expand the Model</w:t>
      </w:r>
    </w:p>
    <w:p>
      <w:pPr>
        <w:spacing w:after="160" w:line="276"/>
        <w:jc w:val="left"/>
      </w:pPr>
      <w:r>
        <w:rPr>
          <w:rFonts w:ascii="Calibri" w:cs="Calibri" w:eastAsia="Calibri" w:hAnsi="Calibri"/>
          <w:i w:val="false"/>
          <w:iCs w:val="false"/>
          <w:color w:val="2B2B2B"/>
          <w:sz w:val="21"/>
          <w:szCs w:val="21"/>
        </w:rPr>
        <w:t xml:space="preserve">Beyond the six pillars above, the following are natural extensions worth phasing in as Imārah grows and funding allows:</w:t>
      </w:r>
    </w:p>
    <w:p>
      <w:pPr>
        <w:pStyle w:val="ListParagraph"/>
        <w:numPr>
          <w:ilvl w:val="0"/>
          <w:numId w:val="2"/>
        </w:numPr>
        <w:spacing w:after="90" w:line="268"/>
      </w:pPr>
      <w:r>
        <w:rPr>
          <w:rFonts w:ascii="Calibri" w:cs="Calibri" w:eastAsia="Calibri" w:hAnsi="Calibri"/>
          <w:color w:val="2B2B2B"/>
          <w:sz w:val="21"/>
          <w:szCs w:val="21"/>
        </w:rPr>
        <w:t xml:space="preserve">Buddy / mentor system — every new Muslim is paired one-on-one with a trained, established Muslim "big brother/sister" for their first year, with a structured check-in schedule (this is one of the highest-leverage, lowest-cost retention tools available and is straightforward to launch early).</w:t>
      </w:r>
    </w:p>
    <w:p>
      <w:pPr>
        <w:pStyle w:val="ListParagraph"/>
        <w:numPr>
          <w:ilvl w:val="0"/>
          <w:numId w:val="2"/>
        </w:numPr>
        <w:spacing w:after="90" w:line="268"/>
      </w:pPr>
      <w:r>
        <w:rPr>
          <w:rFonts w:ascii="Calibri" w:cs="Calibri" w:eastAsia="Calibri" w:hAnsi="Calibri"/>
          <w:color w:val="2B2B2B"/>
          <w:sz w:val="21"/>
          <w:szCs w:val="21"/>
        </w:rPr>
        <w:t xml:space="preserve">Digital community platform — a WhatsApp/Telegram-based network plus a simple app or website hub with class schedules, a prayer-time and Qibla tool localized for Latin America, a Spanish/Portuguese Qur'an and hadith library, and a directory of mentors and local contacts.</w:t>
      </w:r>
    </w:p>
    <w:p>
      <w:pPr>
        <w:pStyle w:val="ListParagraph"/>
        <w:numPr>
          <w:ilvl w:val="0"/>
          <w:numId w:val="2"/>
        </w:numPr>
        <w:spacing w:after="90" w:line="268"/>
      </w:pPr>
      <w:r>
        <w:rPr>
          <w:rFonts w:ascii="Calibri" w:cs="Calibri" w:eastAsia="Calibri" w:hAnsi="Calibri"/>
          <w:color w:val="2B2B2B"/>
          <w:sz w:val="21"/>
          <w:szCs w:val="21"/>
        </w:rPr>
        <w:t xml:space="preserve">Women's circles and family programs — dedicated space for new Muslim women (including hijab and modesty coaching, marriage guidance, and support through family conflict), and family-inclusion events for spouses, parents, and children who are not Muslim but are part of a convert's life.</w:t>
      </w:r>
    </w:p>
    <w:p>
      <w:pPr>
        <w:pStyle w:val="ListParagraph"/>
        <w:numPr>
          <w:ilvl w:val="0"/>
          <w:numId w:val="2"/>
        </w:numPr>
        <w:spacing w:after="90" w:line="268"/>
      </w:pPr>
      <w:r>
        <w:rPr>
          <w:rFonts w:ascii="Calibri" w:cs="Calibri" w:eastAsia="Calibri" w:hAnsi="Calibri"/>
          <w:color w:val="2B2B2B"/>
          <w:sz w:val="21"/>
          <w:szCs w:val="21"/>
        </w:rPr>
        <w:t xml:space="preserve">Youth and children's programming — as converts marry and have families, weekend Islamic school for children keeps the next generation connected too.</w:t>
      </w:r>
    </w:p>
    <w:p>
      <w:pPr>
        <w:pStyle w:val="ListParagraph"/>
        <w:numPr>
          <w:ilvl w:val="0"/>
          <w:numId w:val="2"/>
        </w:numPr>
        <w:spacing w:after="90" w:line="268"/>
      </w:pPr>
      <w:r>
        <w:rPr>
          <w:rFonts w:ascii="Calibri" w:cs="Calibri" w:eastAsia="Calibri" w:hAnsi="Calibri"/>
          <w:color w:val="2B2B2B"/>
          <w:sz w:val="21"/>
          <w:szCs w:val="21"/>
        </w:rPr>
        <w:t xml:space="preserve">Mental health and counseling referral network — partnerships with Muslim or Muslim-friendly therapists, since conversion-related family rejection and identity stress are common and under-addressed.</w:t>
      </w:r>
    </w:p>
    <w:p>
      <w:pPr>
        <w:pStyle w:val="ListParagraph"/>
        <w:numPr>
          <w:ilvl w:val="0"/>
          <w:numId w:val="2"/>
        </w:numPr>
        <w:spacing w:after="90" w:line="268"/>
      </w:pPr>
      <w:r>
        <w:rPr>
          <w:rFonts w:ascii="Calibri" w:cs="Calibri" w:eastAsia="Calibri" w:hAnsi="Calibri"/>
          <w:color w:val="2B2B2B"/>
          <w:sz w:val="21"/>
          <w:szCs w:val="21"/>
        </w:rPr>
        <w:t xml:space="preserve">First-year check-in system — a simple, structured schedule of calls or visits at 1 week, 1 month, 3 months, 6 months, and 1 year after shahada, tracked so no one falls through the cracks.</w:t>
      </w:r>
    </w:p>
    <w:p>
      <w:pPr>
        <w:pStyle w:val="ListParagraph"/>
        <w:numPr>
          <w:ilvl w:val="0"/>
          <w:numId w:val="2"/>
        </w:numPr>
        <w:spacing w:after="90" w:line="268"/>
      </w:pPr>
      <w:r>
        <w:rPr>
          <w:rFonts w:ascii="Calibri" w:cs="Calibri" w:eastAsia="Calibri" w:hAnsi="Calibri"/>
          <w:color w:val="2B2B2B"/>
          <w:sz w:val="21"/>
          <w:szCs w:val="21"/>
        </w:rPr>
        <w:t xml:space="preserve">Employment and small-business network — connecting new Muslims with Muslim-owned businesses for job opportunities, and eventually a small business incubator/halal entrepreneurship track tied to the mutual aid fund.</w:t>
      </w:r>
    </w:p>
    <w:p>
      <w:pPr>
        <w:pStyle w:val="ListParagraph"/>
        <w:numPr>
          <w:ilvl w:val="0"/>
          <w:numId w:val="2"/>
        </w:numPr>
        <w:spacing w:after="90" w:line="268"/>
      </w:pPr>
      <w:r>
        <w:rPr>
          <w:rFonts w:ascii="Calibri" w:cs="Calibri" w:eastAsia="Calibri" w:hAnsi="Calibri"/>
          <w:color w:val="2B2B2B"/>
          <w:sz w:val="21"/>
          <w:szCs w:val="21"/>
        </w:rPr>
        <w:t xml:space="preserve">Translation and content initiative — commissioning accurate, accessible Spanish and Portuguese translations of core beginner texts, since the shortage of quality Latin-American-Spanish Islamic material is itself a retention barrier.</w:t>
      </w:r>
    </w:p>
    <w:p>
      <w:pPr>
        <w:pStyle w:val="ListParagraph"/>
        <w:numPr>
          <w:ilvl w:val="0"/>
          <w:numId w:val="2"/>
        </w:numPr>
        <w:spacing w:after="90" w:line="268"/>
      </w:pPr>
      <w:r>
        <w:rPr>
          <w:rFonts w:ascii="Calibri" w:cs="Calibri" w:eastAsia="Calibri" w:hAnsi="Calibri"/>
          <w:color w:val="2B2B2B"/>
          <w:sz w:val="21"/>
          <w:szCs w:val="21"/>
        </w:rPr>
        <w:t xml:space="preserve">"Train the trainer" chapter model — once Playa del Carmen's program is proven, package it as a replicable playbook (curriculum, budget template, imam-training materials) that partner mosques in other cities and countries can adopt under the Imārah name or as an affiliate.</w:t>
      </w:r>
    </w:p>
    <w:p>
      <w:pPr>
        <w:pStyle w:val="Heading1"/>
        <w:pBdr>
          <w:bottom w:val="single" w:color="B08A3E" w:sz="8" w:space="4"/>
        </w:pBdr>
        <w:spacing w:after="240" w:before="480"/>
      </w:pPr>
      <w:r>
        <w:rPr>
          <w:rFonts w:ascii="Calibri" w:cs="Calibri" w:eastAsia="Calibri" w:hAnsi="Calibri"/>
          <w:b/>
          <w:bCs/>
          <w:color w:val="1F4D3A"/>
          <w:sz w:val="30"/>
          <w:szCs w:val="30"/>
        </w:rPr>
        <w:t xml:space="preserve">5. Target Region &amp; Rollout Plan</w:t>
      </w:r>
    </w:p>
    <w:p>
      <w:pPr>
        <w:spacing w:after="160" w:line="276"/>
        <w:jc w:val="left"/>
      </w:pPr>
      <w:r>
        <w:rPr>
          <w:rFonts w:ascii="Calibri" w:cs="Calibri" w:eastAsia="Calibri" w:hAnsi="Calibri"/>
          <w:i w:val="false"/>
          <w:iCs w:val="false"/>
          <w:color w:val="2B2B2B"/>
          <w:sz w:val="21"/>
          <w:szCs w:val="21"/>
        </w:rPr>
        <w:t xml:space="preserve">Imārah is founded and headquartered in Playa del Carmen, Quintana Roo — a deliberate choice: a high-tourism, high-transient-population corridor with a small but real and growing Muslim community, and a natural gateway for a Latin-America-wide organization. From there, the model is built to expand city by city and country by country.</w:t>
      </w:r>
    </w:p>
    <w:p>
      <w:pPr>
        <w:pStyle w:val="Heading2"/>
        <w:spacing w:after="160" w:before="320"/>
      </w:pPr>
      <w:r>
        <w:rPr>
          <w:rFonts w:ascii="Calibri" w:cs="Calibri" w:eastAsia="Calibri" w:hAnsi="Calibri"/>
          <w:b/>
          <w:bCs/>
          <w:color w:val="1F4D3A"/>
          <w:sz w:val="24"/>
          <w:szCs w:val="24"/>
        </w:rPr>
        <w:t xml:space="preserve">5.1 Phased expansion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4700"/>
        <w:gridCol w:w="2200"/>
      </w:tblGrid>
      <w:tr>
        <w:tc>
          <w:tcPr>
            <w:tcW w:type="dxa" w:w="2450"/>
            <w:shd w:fill="1F4D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Phase</w:t>
            </w:r>
          </w:p>
        </w:tc>
        <w:tc>
          <w:tcPr>
            <w:tcW w:type="dxa" w:w="4700"/>
            <w:shd w:fill="1F4D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Focus</w:t>
            </w:r>
          </w:p>
        </w:tc>
        <w:tc>
          <w:tcPr>
            <w:tcW w:type="dxa" w:w="2200"/>
            <w:shd w:fill="1F4D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Illustrative timeline</w:t>
            </w:r>
          </w:p>
        </w:tc>
      </w:tr>
      <w:tr>
        <w:tc>
          <w:tcPr>
            <w:tcW w:type="dxa" w:w="245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Phase 1 — Anchor</w:t>
            </w:r>
          </w:p>
        </w:tc>
        <w:tc>
          <w:tcPr>
            <w:tcW w:type="dxa" w:w="470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Build and prove the full program in Playa del Carmen: education, imam training, events, mutual aid, and one pilot retreat.</w:t>
            </w:r>
          </w:p>
        </w:tc>
        <w:tc>
          <w:tcPr>
            <w:tcW w:type="dxa" w:w="220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Year 1</w:t>
            </w:r>
          </w:p>
        </w:tc>
      </w:tr>
      <w:tr>
        <w:tc>
          <w:tcPr>
            <w:tcW w:type="dxa" w:w="245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Phase 2 — Regional (Mexico)</w:t>
            </w:r>
          </w:p>
        </w:tc>
        <w:tc>
          <w:tcPr>
            <w:tcW w:type="dxa" w:w="470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Extend to Cancún, Mérida, Mexico City, and Guadalajara through partner mosques; launch the mentor and digital platform programs.</w:t>
            </w:r>
          </w:p>
        </w:tc>
        <w:tc>
          <w:tcPr>
            <w:tcW w:type="dxa" w:w="220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Year 1–2</w:t>
            </w:r>
          </w:p>
        </w:tc>
      </w:tr>
      <w:tr>
        <w:tc>
          <w:tcPr>
            <w:tcW w:type="dxa" w:w="245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Phase 3 — Latin America core</w:t>
            </w:r>
          </w:p>
        </w:tc>
        <w:tc>
          <w:tcPr>
            <w:tcW w:type="dxa" w:w="470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Formal partnerships and chapter model in countries with established convert communities: Colombia, Argentina, Brazil, Chile, Costa Rica, Panama.</w:t>
            </w:r>
          </w:p>
        </w:tc>
        <w:tc>
          <w:tcPr>
            <w:tcW w:type="dxa" w:w="220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Year 2–3</w:t>
            </w:r>
          </w:p>
        </w:tc>
      </w:tr>
      <w:tr>
        <w:tc>
          <w:tcPr>
            <w:tcW w:type="dxa" w:w="245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Phase 4 — Network</w:t>
            </w:r>
          </w:p>
        </w:tc>
        <w:tc>
          <w:tcPr>
            <w:tcW w:type="dxa" w:w="470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Annual regional conference, inter-community travel exchange fully active, shared curriculum and imam-training network self-sustaining across chapters.</w:t>
            </w:r>
          </w:p>
        </w:tc>
        <w:tc>
          <w:tcPr>
            <w:tcW w:type="dxa" w:w="220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Year 3+</w:t>
            </w:r>
          </w:p>
        </w:tc>
      </w:tr>
    </w:tbl>
    <w:p>
      <w:pPr>
        <w:spacing w:after="240" w:before="80"/>
      </w:pPr>
      <w:r>
        <w:rPr>
          <w:rFonts w:ascii="Calibri" w:cs="Calibri" w:eastAsia="Calibri" w:hAnsi="Calibri"/>
          <w:i/>
          <w:iCs/>
          <w:color w:val="6B6B6B"/>
          <w:sz w:val="18"/>
          <w:szCs w:val="18"/>
        </w:rPr>
        <w:t xml:space="preserve">Timeline is illustrative and will be finalized against actual funding and partner-mosque commitments.</w:t>
      </w:r>
    </w:p>
    <w:p>
      <w:pPr>
        <w:pStyle w:val="Heading1"/>
        <w:pBdr>
          <w:bottom w:val="single" w:color="B08A3E" w:sz="8" w:space="4"/>
        </w:pBdr>
        <w:spacing w:after="240" w:before="480"/>
      </w:pPr>
      <w:r>
        <w:rPr>
          <w:rFonts w:ascii="Calibri" w:cs="Calibri" w:eastAsia="Calibri" w:hAnsi="Calibri"/>
          <w:b/>
          <w:bCs/>
          <w:color w:val="1F4D3A"/>
          <w:sz w:val="30"/>
          <w:szCs w:val="30"/>
        </w:rPr>
        <w:t xml:space="preserve">6. Organizational Structure &amp; Governance</w:t>
      </w:r>
    </w:p>
    <w:p>
      <w:pPr>
        <w:spacing w:after="160" w:line="276"/>
        <w:jc w:val="left"/>
      </w:pPr>
      <w:r>
        <w:rPr>
          <w:rFonts w:ascii="Calibri" w:cs="Calibri" w:eastAsia="Calibri" w:hAnsi="Calibri"/>
          <w:i w:val="false"/>
          <w:iCs w:val="false"/>
          <w:color w:val="2B2B2B"/>
          <w:sz w:val="21"/>
          <w:szCs w:val="21"/>
        </w:rPr>
        <w:t xml:space="preserve">Imārah is a legally incorporated non-profit association based in Playa del Carmen, with an operational bank account already established. The structure below is proposed to support responsible growth and donor accountability as the organization scales regionally.</w:t>
      </w:r>
    </w:p>
    <w:p>
      <w:pPr>
        <w:pStyle w:val="Heading2"/>
        <w:spacing w:after="160" w:before="320"/>
      </w:pPr>
      <w:r>
        <w:rPr>
          <w:rFonts w:ascii="Calibri" w:cs="Calibri" w:eastAsia="Calibri" w:hAnsi="Calibri"/>
          <w:b/>
          <w:bCs/>
          <w:color w:val="1F4D3A"/>
          <w:sz w:val="24"/>
          <w:szCs w:val="24"/>
        </w:rPr>
        <w:t xml:space="preserve">6.1 Proposed structure</w:t>
      </w:r>
    </w:p>
    <w:p>
      <w:pPr>
        <w:pStyle w:val="ListParagraph"/>
        <w:numPr>
          <w:ilvl w:val="0"/>
          <w:numId w:val="2"/>
        </w:numPr>
        <w:spacing w:after="90" w:line="268"/>
      </w:pPr>
      <w:r>
        <w:rPr>
          <w:rFonts w:ascii="Calibri" w:cs="Calibri" w:eastAsia="Calibri" w:hAnsi="Calibri"/>
          <w:color w:val="2B2B2B"/>
          <w:sz w:val="21"/>
          <w:szCs w:val="21"/>
        </w:rPr>
        <w:t xml:space="preserve">Board of Directors — oversight, strategic direction, and financial accountability.</w:t>
      </w:r>
    </w:p>
    <w:p>
      <w:pPr>
        <w:pStyle w:val="ListParagraph"/>
        <w:numPr>
          <w:ilvl w:val="0"/>
          <w:numId w:val="2"/>
        </w:numPr>
        <w:spacing w:after="90" w:line="268"/>
      </w:pPr>
      <w:r>
        <w:rPr>
          <w:rFonts w:ascii="Calibri" w:cs="Calibri" w:eastAsia="Calibri" w:hAnsi="Calibri"/>
          <w:color w:val="2B2B2B"/>
          <w:sz w:val="21"/>
          <w:szCs w:val="21"/>
        </w:rPr>
        <w:t xml:space="preserve">Executive Director / Founder — day-to-day leadership (initial founding role).</w:t>
      </w:r>
    </w:p>
    <w:p>
      <w:pPr>
        <w:pStyle w:val="ListParagraph"/>
        <w:numPr>
          <w:ilvl w:val="0"/>
          <w:numId w:val="2"/>
        </w:numPr>
        <w:spacing w:after="90" w:line="268"/>
      </w:pPr>
      <w:r>
        <w:rPr>
          <w:rFonts w:ascii="Calibri" w:cs="Calibri" w:eastAsia="Calibri" w:hAnsi="Calibri"/>
          <w:color w:val="2B2B2B"/>
          <w:sz w:val="21"/>
          <w:szCs w:val="21"/>
        </w:rPr>
        <w:t xml:space="preserve">Program Coordinators — one lead per program area (Education, Imam Training, Events, Mutual Aid, Retreats, Regional Exchange) as funding allows.</w:t>
      </w:r>
    </w:p>
    <w:p>
      <w:pPr>
        <w:pStyle w:val="ListParagraph"/>
        <w:numPr>
          <w:ilvl w:val="0"/>
          <w:numId w:val="2"/>
        </w:numPr>
        <w:spacing w:after="90" w:line="268"/>
      </w:pPr>
      <w:r>
        <w:rPr>
          <w:rFonts w:ascii="Calibri" w:cs="Calibri" w:eastAsia="Calibri" w:hAnsi="Calibri"/>
          <w:color w:val="2B2B2B"/>
          <w:sz w:val="21"/>
          <w:szCs w:val="21"/>
        </w:rPr>
        <w:t xml:space="preserve">Local Chapter Leads — one per partner city/mosque as the organization expands beyond Playa del Carmen.</w:t>
      </w:r>
    </w:p>
    <w:p>
      <w:pPr>
        <w:pStyle w:val="ListParagraph"/>
        <w:numPr>
          <w:ilvl w:val="0"/>
          <w:numId w:val="2"/>
        </w:numPr>
        <w:spacing w:after="90" w:line="268"/>
      </w:pPr>
      <w:r>
        <w:rPr>
          <w:rFonts w:ascii="Calibri" w:cs="Calibri" w:eastAsia="Calibri" w:hAnsi="Calibri"/>
          <w:color w:val="2B2B2B"/>
          <w:sz w:val="21"/>
          <w:szCs w:val="21"/>
        </w:rPr>
        <w:t xml:space="preserve">Advisory Council — imams, scholars, and experienced convert-community leaders from across Latin America, consulted on curriculum and pastoral standards.</w:t>
      </w:r>
    </w:p>
    <w:p>
      <w:pPr>
        <w:pStyle w:val="Heading2"/>
        <w:spacing w:after="160" w:before="320"/>
      </w:pPr>
      <w:r>
        <w:rPr>
          <w:rFonts w:ascii="Calibri" w:cs="Calibri" w:eastAsia="Calibri" w:hAnsi="Calibri"/>
          <w:b/>
          <w:bCs/>
          <w:color w:val="1F4D3A"/>
          <w:sz w:val="24"/>
          <w:szCs w:val="24"/>
        </w:rPr>
        <w:t xml:space="preserve">6.2 Financial stewardship</w:t>
      </w:r>
    </w:p>
    <w:p>
      <w:pPr>
        <w:pStyle w:val="ListParagraph"/>
        <w:numPr>
          <w:ilvl w:val="0"/>
          <w:numId w:val="2"/>
        </w:numPr>
        <w:spacing w:after="90" w:line="268"/>
      </w:pPr>
      <w:r>
        <w:rPr>
          <w:rFonts w:ascii="Calibri" w:cs="Calibri" w:eastAsia="Calibri" w:hAnsi="Calibri"/>
          <w:color w:val="2B2B2B"/>
          <w:sz w:val="21"/>
          <w:szCs w:val="21"/>
        </w:rPr>
        <w:t xml:space="preserve">Annual independently reviewed financial statements, shared with major donors.</w:t>
      </w:r>
    </w:p>
    <w:p>
      <w:pPr>
        <w:pStyle w:val="ListParagraph"/>
        <w:numPr>
          <w:ilvl w:val="0"/>
          <w:numId w:val="2"/>
        </w:numPr>
        <w:spacing w:after="90" w:line="268"/>
      </w:pPr>
      <w:r>
        <w:rPr>
          <w:rFonts w:ascii="Calibri" w:cs="Calibri" w:eastAsia="Calibri" w:hAnsi="Calibri"/>
          <w:color w:val="2B2B2B"/>
          <w:sz w:val="21"/>
          <w:szCs w:val="21"/>
        </w:rPr>
        <w:t xml:space="preserve">Restricted-fund accounting so donors can earmark gifts to a specific program (e.g., the mutual aid fund or imam training).</w:t>
      </w:r>
    </w:p>
    <w:p>
      <w:pPr>
        <w:pStyle w:val="ListParagraph"/>
        <w:numPr>
          <w:ilvl w:val="0"/>
          <w:numId w:val="2"/>
        </w:numPr>
        <w:spacing w:after="90" w:line="268"/>
      </w:pPr>
      <w:r>
        <w:rPr>
          <w:rFonts w:ascii="Calibri" w:cs="Calibri" w:eastAsia="Calibri" w:hAnsi="Calibri"/>
          <w:color w:val="2B2B2B"/>
          <w:sz w:val="21"/>
          <w:szCs w:val="21"/>
        </w:rPr>
        <w:t xml:space="preserve">Transparent reporting on number of new Muslims served, retention outcomes, and program spend, published at least annually.</w:t>
      </w:r>
    </w:p>
    <w:p>
      <w:pPr>
        <w:pStyle w:val="Heading1"/>
        <w:pBdr>
          <w:bottom w:val="single" w:color="B08A3E" w:sz="8" w:space="4"/>
        </w:pBdr>
        <w:spacing w:after="240" w:before="480"/>
      </w:pPr>
      <w:r>
        <w:rPr>
          <w:rFonts w:ascii="Calibri" w:cs="Calibri" w:eastAsia="Calibri" w:hAnsi="Calibri"/>
          <w:b/>
          <w:bCs/>
          <w:color w:val="1F4D3A"/>
          <w:sz w:val="30"/>
          <w:szCs w:val="30"/>
        </w:rPr>
        <w:t xml:space="preserve">7. Impact Measurement</w:t>
      </w:r>
    </w:p>
    <w:p>
      <w:pPr>
        <w:spacing w:after="160" w:line="276"/>
        <w:jc w:val="left"/>
      </w:pPr>
      <w:r>
        <w:rPr>
          <w:rFonts w:ascii="Calibri" w:cs="Calibri" w:eastAsia="Calibri" w:hAnsi="Calibri"/>
          <w:i w:val="false"/>
          <w:iCs w:val="false"/>
          <w:color w:val="2B2B2B"/>
          <w:sz w:val="21"/>
          <w:szCs w:val="21"/>
        </w:rPr>
        <w:t xml:space="preserve">Because our stated goal is retention, not just reach, we track people over time rather than one-time attendance figures alone.</w:t>
      </w:r>
    </w:p>
    <w:p>
      <w:pPr>
        <w:pStyle w:val="Heading2"/>
        <w:spacing w:after="160" w:before="320"/>
      </w:pPr>
      <w:r>
        <w:rPr>
          <w:rFonts w:ascii="Calibri" w:cs="Calibri" w:eastAsia="Calibri" w:hAnsi="Calibri"/>
          <w:b/>
          <w:bCs/>
          <w:color w:val="1F4D3A"/>
          <w:sz w:val="24"/>
          <w:szCs w:val="24"/>
        </w:rPr>
        <w:t xml:space="preserve">7.1 Core metrics</w:t>
      </w:r>
    </w:p>
    <w:p>
      <w:pPr>
        <w:pStyle w:val="ListParagraph"/>
        <w:numPr>
          <w:ilvl w:val="0"/>
          <w:numId w:val="2"/>
        </w:numPr>
        <w:spacing w:after="90" w:line="268"/>
      </w:pPr>
      <w:r>
        <w:rPr>
          <w:rFonts w:ascii="Calibri" w:cs="Calibri" w:eastAsia="Calibri" w:hAnsi="Calibri"/>
          <w:color w:val="2B2B2B"/>
          <w:sz w:val="21"/>
          <w:szCs w:val="21"/>
        </w:rPr>
        <w:t xml:space="preserve">Active engagement rate — % of registered new Muslims still attending programming at 3, 6, and 12 months post-shahada.</w:t>
      </w:r>
    </w:p>
    <w:p>
      <w:pPr>
        <w:pStyle w:val="ListParagraph"/>
        <w:numPr>
          <w:ilvl w:val="0"/>
          <w:numId w:val="2"/>
        </w:numPr>
        <w:spacing w:after="90" w:line="268"/>
      </w:pPr>
      <w:r>
        <w:rPr>
          <w:rFonts w:ascii="Calibri" w:cs="Calibri" w:eastAsia="Calibri" w:hAnsi="Calibri"/>
          <w:color w:val="2B2B2B"/>
          <w:sz w:val="21"/>
          <w:szCs w:val="21"/>
        </w:rPr>
        <w:t xml:space="preserve">Mentor coverage — % of new Muslims paired with a mentor within their first 2 weeks.</w:t>
      </w:r>
    </w:p>
    <w:p>
      <w:pPr>
        <w:pStyle w:val="ListParagraph"/>
        <w:numPr>
          <w:ilvl w:val="0"/>
          <w:numId w:val="2"/>
        </w:numPr>
        <w:spacing w:after="90" w:line="268"/>
      </w:pPr>
      <w:r>
        <w:rPr>
          <w:rFonts w:ascii="Calibri" w:cs="Calibri" w:eastAsia="Calibri" w:hAnsi="Calibri"/>
          <w:color w:val="2B2B2B"/>
          <w:sz w:val="21"/>
          <w:szCs w:val="21"/>
        </w:rPr>
        <w:t xml:space="preserve">Program reach — number of classes, retreats, and events held; attendance per session.</w:t>
      </w:r>
    </w:p>
    <w:p>
      <w:pPr>
        <w:pStyle w:val="ListParagraph"/>
        <w:numPr>
          <w:ilvl w:val="0"/>
          <w:numId w:val="2"/>
        </w:numPr>
        <w:spacing w:after="90" w:line="268"/>
      </w:pPr>
      <w:r>
        <w:rPr>
          <w:rFonts w:ascii="Calibri" w:cs="Calibri" w:eastAsia="Calibri" w:hAnsi="Calibri"/>
          <w:color w:val="2B2B2B"/>
          <w:sz w:val="21"/>
          <w:szCs w:val="21"/>
        </w:rPr>
        <w:t xml:space="preserve">Mutual aid outcomes — number and type of need cases resolved; time to first response.</w:t>
      </w:r>
    </w:p>
    <w:p>
      <w:pPr>
        <w:pStyle w:val="ListParagraph"/>
        <w:numPr>
          <w:ilvl w:val="0"/>
          <w:numId w:val="2"/>
        </w:numPr>
        <w:spacing w:after="90" w:line="268"/>
      </w:pPr>
      <w:r>
        <w:rPr>
          <w:rFonts w:ascii="Calibri" w:cs="Calibri" w:eastAsia="Calibri" w:hAnsi="Calibri"/>
          <w:color w:val="2B2B2B"/>
          <w:sz w:val="21"/>
          <w:szCs w:val="21"/>
        </w:rPr>
        <w:t xml:space="preserve">Imam/teacher capacity — number of trained and certified teachers active per city.</w:t>
      </w:r>
    </w:p>
    <w:p>
      <w:pPr>
        <w:pStyle w:val="ListParagraph"/>
        <w:numPr>
          <w:ilvl w:val="0"/>
          <w:numId w:val="2"/>
        </w:numPr>
        <w:spacing w:after="90" w:line="268"/>
      </w:pPr>
      <w:r>
        <w:rPr>
          <w:rFonts w:ascii="Calibri" w:cs="Calibri" w:eastAsia="Calibri" w:hAnsi="Calibri"/>
          <w:color w:val="2B2B2B"/>
          <w:sz w:val="21"/>
          <w:szCs w:val="21"/>
        </w:rPr>
        <w:t xml:space="preserve">Network growth — number of partner mosques and countries with an active Imārah-model chapter.</w:t>
      </w:r>
    </w:p>
    <w:p>
      <w:pPr>
        <w:pStyle w:val="Heading2"/>
        <w:spacing w:after="160" w:before="320"/>
      </w:pPr>
      <w:r>
        <w:rPr>
          <w:rFonts w:ascii="Calibri" w:cs="Calibri" w:eastAsia="Calibri" w:hAnsi="Calibri"/>
          <w:b/>
          <w:bCs/>
          <w:color w:val="1F4D3A"/>
          <w:sz w:val="24"/>
          <w:szCs w:val="24"/>
        </w:rPr>
        <w:t xml:space="preserve">7.2 How we'll report it</w:t>
      </w:r>
    </w:p>
    <w:p>
      <w:pPr>
        <w:spacing w:after="160" w:line="276"/>
        <w:jc w:val="left"/>
      </w:pPr>
      <w:r>
        <w:rPr>
          <w:rFonts w:ascii="Calibri" w:cs="Calibri" w:eastAsia="Calibri" w:hAnsi="Calibri"/>
          <w:i w:val="false"/>
          <w:iCs w:val="false"/>
          <w:color w:val="2B2B2B"/>
          <w:sz w:val="21"/>
          <w:szCs w:val="21"/>
        </w:rPr>
        <w:t xml:space="preserve">We will publish an annual impact report to donors and partner mosques summarizing these metrics, alongside qualitative stories from participants (with consent), so funders can see both the numbers and the human outcomes behind them.</w:t>
      </w:r>
    </w:p>
    <w:p>
      <w:pPr>
        <w:pStyle w:val="Heading1"/>
        <w:pBdr>
          <w:bottom w:val="single" w:color="B08A3E" w:sz="8" w:space="4"/>
        </w:pBdr>
        <w:spacing w:after="240" w:before="480"/>
      </w:pPr>
      <w:r>
        <w:rPr>
          <w:rFonts w:ascii="Calibri" w:cs="Calibri" w:eastAsia="Calibri" w:hAnsi="Calibri"/>
          <w:b/>
          <w:bCs/>
          <w:color w:val="1F4D3A"/>
          <w:sz w:val="30"/>
          <w:szCs w:val="30"/>
        </w:rPr>
        <w:t xml:space="preserve">8. What We Need to Build This</w:t>
      </w:r>
    </w:p>
    <w:p>
      <w:pPr>
        <w:spacing w:after="160" w:line="276"/>
        <w:jc w:val="left"/>
      </w:pPr>
      <w:r>
        <w:rPr>
          <w:rFonts w:ascii="Calibri" w:cs="Calibri" w:eastAsia="Calibri" w:hAnsi="Calibri"/>
          <w:i w:val="false"/>
          <w:iCs w:val="false"/>
          <w:color w:val="2B2B2B"/>
          <w:sz w:val="21"/>
          <w:szCs w:val="21"/>
        </w:rPr>
        <w:t xml:space="preserve">The legal and financial foundation is already in place — incorporation is complete and the bank account is open. What remains is building the operating infrastructure for the programs above. The framework below outlines the categories of investment we are seeking; we welcome funders interested in supporting the whole model or a specific program area.</w:t>
      </w:r>
    </w:p>
    <w:p>
      <w:pPr>
        <w:pStyle w:val="Heading2"/>
        <w:spacing w:after="160" w:before="320"/>
      </w:pPr>
      <w:r>
        <w:rPr>
          <w:rFonts w:ascii="Calibri" w:cs="Calibri" w:eastAsia="Calibri" w:hAnsi="Calibri"/>
          <w:b/>
          <w:bCs/>
          <w:color w:val="1F4D3A"/>
          <w:sz w:val="24"/>
          <w:szCs w:val="24"/>
        </w:rPr>
        <w:t xml:space="preserve">8.1 Funding categories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5250"/>
        <w:gridCol w:w="2000"/>
      </w:tblGrid>
      <w:tr>
        <w:tc>
          <w:tcPr>
            <w:tcW w:type="dxa" w:w="2100"/>
            <w:shd w:fill="1F4D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Category</w:t>
            </w:r>
          </w:p>
        </w:tc>
        <w:tc>
          <w:tcPr>
            <w:tcW w:type="dxa" w:w="5250"/>
            <w:shd w:fill="1F4D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it covers</w:t>
            </w:r>
          </w:p>
        </w:tc>
        <w:tc>
          <w:tcPr>
            <w:tcW w:type="dxa" w:w="2000"/>
            <w:shd w:fill="1F4D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Funding type</w:t>
            </w:r>
          </w:p>
        </w:tc>
      </w:tr>
      <w:tr>
        <w:tc>
          <w:tcPr>
            <w:tcW w:type="dxa" w:w="210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Digital presence</w:t>
            </w:r>
          </w:p>
        </w:tc>
        <w:tc>
          <w:tcPr>
            <w:tcW w:type="dxa" w:w="525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Website, content library, prayer-time/community app, class registration system.</w:t>
            </w:r>
          </w:p>
        </w:tc>
        <w:tc>
          <w:tcPr>
            <w:tcW w:type="dxa" w:w="200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One-time + light annual maintenance</w:t>
            </w:r>
          </w:p>
        </w:tc>
      </w:tr>
      <w:tr>
        <w:tc>
          <w:tcPr>
            <w:tcW w:type="dxa" w:w="210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Education program</w:t>
            </w:r>
          </w:p>
        </w:tc>
        <w:tc>
          <w:tcPr>
            <w:tcW w:type="dxa" w:w="525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Curriculum development and translation, printed materials, classroom supplies, weekly food and drinks for classes.</w:t>
            </w:r>
          </w:p>
        </w:tc>
        <w:tc>
          <w:tcPr>
            <w:tcW w:type="dxa" w:w="200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Recurring / per-city</w:t>
            </w:r>
          </w:p>
        </w:tc>
      </w:tr>
      <w:tr>
        <w:tc>
          <w:tcPr>
            <w:tcW w:type="dxa" w:w="210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Imam &amp; teacher training</w:t>
            </w:r>
          </w:p>
        </w:tc>
        <w:tc>
          <w:tcPr>
            <w:tcW w:type="dxa" w:w="525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Trainer fees, training materials, annual gathering costs, teacher stipends.</w:t>
            </w:r>
          </w:p>
        </w:tc>
        <w:tc>
          <w:tcPr>
            <w:tcW w:type="dxa" w:w="200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Recurring / annual</w:t>
            </w:r>
          </w:p>
        </w:tc>
      </w:tr>
      <w:tr>
        <w:tc>
          <w:tcPr>
            <w:tcW w:type="dxa" w:w="210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Community events</w:t>
            </w:r>
          </w:p>
        </w:tc>
        <w:tc>
          <w:tcPr>
            <w:tcW w:type="dxa" w:w="525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Venue support, food, activities/games materials for monthly events and Eid/Ramadan gatherings.</w:t>
            </w:r>
          </w:p>
        </w:tc>
        <w:tc>
          <w:tcPr>
            <w:tcW w:type="dxa" w:w="200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Recurring / per-event</w:t>
            </w:r>
          </w:p>
        </w:tc>
      </w:tr>
      <w:tr>
        <w:tc>
          <w:tcPr>
            <w:tcW w:type="dxa" w:w="210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Mutual aid fund</w:t>
            </w:r>
          </w:p>
        </w:tc>
        <w:tc>
          <w:tcPr>
            <w:tcW w:type="dxa" w:w="525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Direct emergency support: food, clothing, cash assistance, micro-grants.</w:t>
            </w:r>
          </w:p>
        </w:tc>
        <w:tc>
          <w:tcPr>
            <w:tcW w:type="dxa" w:w="200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Recurring / demand-based</w:t>
            </w:r>
          </w:p>
        </w:tc>
      </w:tr>
      <w:tr>
        <w:tc>
          <w:tcPr>
            <w:tcW w:type="dxa" w:w="210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Outdoor retreats</w:t>
            </w:r>
          </w:p>
        </w:tc>
        <w:tc>
          <w:tcPr>
            <w:tcW w:type="dxa" w:w="525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Campsite/venue fees, transport, equipment (tents, sports gear), food for weekend retreats.</w:t>
            </w:r>
          </w:p>
        </w:tc>
        <w:tc>
          <w:tcPr>
            <w:tcW w:type="dxa" w:w="200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Recurring / quarterly</w:t>
            </w:r>
          </w:p>
        </w:tc>
      </w:tr>
      <w:tr>
        <w:tc>
          <w:tcPr>
            <w:tcW w:type="dxa" w:w="210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Regional exchange &amp; travel</w:t>
            </w:r>
          </w:p>
        </w:tc>
        <w:tc>
          <w:tcPr>
            <w:tcW w:type="dxa" w:w="525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Delegation travel costs, annual regional conference hosting/attendance.</w:t>
            </w:r>
          </w:p>
        </w:tc>
        <w:tc>
          <w:tcPr>
            <w:tcW w:type="dxa" w:w="200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Annual</w:t>
            </w:r>
          </w:p>
        </w:tc>
      </w:tr>
      <w:tr>
        <w:tc>
          <w:tcPr>
            <w:tcW w:type="dxa" w:w="210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Core operations</w:t>
            </w:r>
          </w:p>
        </w:tc>
        <w:tc>
          <w:tcPr>
            <w:tcW w:type="dxa" w:w="525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Staff/coordinator costs, office and mosque-partnership logistics, financial administration.</w:t>
            </w:r>
          </w:p>
        </w:tc>
        <w:tc>
          <w:tcPr>
            <w:tcW w:type="dxa" w:w="200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Recurring / annual</w:t>
            </w:r>
          </w:p>
        </w:tc>
      </w:tr>
    </w:tbl>
    <w:p>
      <w:pPr>
        <w:pStyle w:val="Heading2"/>
        <w:spacing w:after="160" w:before="320"/>
      </w:pPr>
      <w:r>
        <w:rPr>
          <w:rFonts w:ascii="Calibri" w:cs="Calibri" w:eastAsia="Calibri" w:hAnsi="Calibri"/>
          <w:b/>
          <w:bCs/>
          <w:color w:val="1F4D3A"/>
          <w:sz w:val="24"/>
          <w:szCs w:val="24"/>
        </w:rPr>
        <w:t xml:space="preserve">8.2 How funds can be directed</w:t>
      </w:r>
    </w:p>
    <w:p>
      <w:pPr>
        <w:spacing w:after="160" w:line="276"/>
        <w:jc w:val="left"/>
      </w:pPr>
      <w:r>
        <w:rPr>
          <w:rFonts w:ascii="Calibri" w:cs="Calibri" w:eastAsia="Calibri" w:hAnsi="Calibri"/>
          <w:i w:val="false"/>
          <w:iCs w:val="false"/>
          <w:color w:val="2B2B2B"/>
          <w:sz w:val="21"/>
          <w:szCs w:val="21"/>
        </w:rPr>
        <w:t xml:space="preserve">Donors and partner organizations may fund the organization generally, sponsor a specific program (e.g., "fund the mutual aid fund" or "fund imam training for one city"), or sponsor expansion into a specific country. Detailed line-item budgets will be provided on request once funding conversations begin, sized to the scope a given funder wants to support.</w:t>
      </w:r>
    </w:p>
    <w:p>
      <w:pPr>
        <w:pStyle w:val="Heading1"/>
        <w:pBdr>
          <w:bottom w:val="single" w:color="B08A3E" w:sz="8" w:space="4"/>
        </w:pBdr>
        <w:spacing w:after="240" w:before="480"/>
      </w:pPr>
      <w:r>
        <w:rPr>
          <w:rFonts w:ascii="Calibri" w:cs="Calibri" w:eastAsia="Calibri" w:hAnsi="Calibri"/>
          <w:b/>
          <w:bCs/>
          <w:color w:val="1F4D3A"/>
          <w:sz w:val="30"/>
          <w:szCs w:val="30"/>
        </w:rPr>
        <w:t xml:space="preserve">9.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850"/>
        <w:gridCol w:w="2500"/>
      </w:tblGrid>
      <w:tr>
        <w:tc>
          <w:tcPr>
            <w:tcW w:type="dxa" w:w="6850"/>
            <w:shd w:fill="1F4D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Milestone</w:t>
            </w:r>
          </w:p>
        </w:tc>
        <w:tc>
          <w:tcPr>
            <w:tcW w:type="dxa" w:w="2500"/>
            <w:shd w:fill="1F4D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Target</w:t>
            </w:r>
          </w:p>
        </w:tc>
      </w:tr>
      <w:tr>
        <w:tc>
          <w:tcPr>
            <w:tcW w:type="dxa" w:w="685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Website and digital hub live</w:t>
            </w:r>
          </w:p>
        </w:tc>
        <w:tc>
          <w:tcPr>
            <w:tcW w:type="dxa" w:w="250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Year 1, Q1–Q2</w:t>
            </w:r>
          </w:p>
        </w:tc>
      </w:tr>
      <w:tr>
        <w:tc>
          <w:tcPr>
            <w:tcW w:type="dxa" w:w="685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Education program running weekly in Playa del Carmen</w:t>
            </w:r>
          </w:p>
        </w:tc>
        <w:tc>
          <w:tcPr>
            <w:tcW w:type="dxa" w:w="250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Year 1, Q2</w:t>
            </w:r>
          </w:p>
        </w:tc>
      </w:tr>
      <w:tr>
        <w:tc>
          <w:tcPr>
            <w:tcW w:type="dxa" w:w="685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First imam/teacher training cohort certified</w:t>
            </w:r>
          </w:p>
        </w:tc>
        <w:tc>
          <w:tcPr>
            <w:tcW w:type="dxa" w:w="250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Year 1, Q3</w:t>
            </w:r>
          </w:p>
        </w:tc>
      </w:tr>
      <w:tr>
        <w:tc>
          <w:tcPr>
            <w:tcW w:type="dxa" w:w="685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Mentor system and mutual aid fund operational</w:t>
            </w:r>
          </w:p>
        </w:tc>
        <w:tc>
          <w:tcPr>
            <w:tcW w:type="dxa" w:w="250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Year 1, Q3–Q4</w:t>
            </w:r>
          </w:p>
        </w:tc>
      </w:tr>
      <w:tr>
        <w:tc>
          <w:tcPr>
            <w:tcW w:type="dxa" w:w="685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First outdoor retreat held</w:t>
            </w:r>
          </w:p>
        </w:tc>
        <w:tc>
          <w:tcPr>
            <w:tcW w:type="dxa" w:w="250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Year 1, Q4</w:t>
            </w:r>
          </w:p>
        </w:tc>
      </w:tr>
      <w:tr>
        <w:tc>
          <w:tcPr>
            <w:tcW w:type="dxa" w:w="685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Expansion to 2–3 additional Mexican cities</w:t>
            </w:r>
          </w:p>
        </w:tc>
        <w:tc>
          <w:tcPr>
            <w:tcW w:type="dxa" w:w="250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Year 2</w:t>
            </w:r>
          </w:p>
        </w:tc>
      </w:tr>
      <w:tr>
        <w:tc>
          <w:tcPr>
            <w:tcW w:type="dxa" w:w="685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First inter-country exchange visit</w:t>
            </w:r>
          </w:p>
        </w:tc>
        <w:tc>
          <w:tcPr>
            <w:tcW w:type="dxa" w:w="250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Year 2</w:t>
            </w:r>
          </w:p>
        </w:tc>
      </w:tr>
      <w:tr>
        <w:tc>
          <w:tcPr>
            <w:tcW w:type="dxa" w:w="685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First regional partner chapters outside Mexico</w:t>
            </w:r>
          </w:p>
        </w:tc>
        <w:tc>
          <w:tcPr>
            <w:tcW w:type="dxa" w:w="2500"/>
            <w:shd w:fill="F3EFE6"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Year 2–3</w:t>
            </w:r>
          </w:p>
        </w:tc>
      </w:tr>
      <w:tr>
        <w:tc>
          <w:tcPr>
            <w:tcW w:type="dxa" w:w="685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First annual Imārah regional conference</w:t>
            </w:r>
          </w:p>
        </w:tc>
        <w:tc>
          <w:tcPr>
            <w:tcW w:type="dxa" w:w="2500"/>
            <w:shd w:fill="FFFFFF" w:val="clear"/>
            <w:tcMar>
              <w:top w:type="dxa" w:w="100"/>
              <w:left w:type="dxa" w:w="120"/>
              <w:bottom w:type="dxa" w:w="100"/>
              <w:right w:type="dxa" w:w="120"/>
            </w:tcMar>
            <w:vAlign w:val="center"/>
          </w:tcPr>
          <w:p>
            <w:r>
              <w:rPr>
                <w:rFonts w:ascii="Calibri" w:cs="Calibri" w:eastAsia="Calibri" w:hAnsi="Calibri"/>
                <w:b w:val="false"/>
                <w:bCs w:val="false"/>
                <w:color w:val="2B2B2B"/>
                <w:sz w:val="20"/>
                <w:szCs w:val="20"/>
              </w:rPr>
              <w:t xml:space="preserve">Year 3</w:t>
            </w:r>
          </w:p>
        </w:tc>
      </w:tr>
    </w:tbl>
    <w:p>
      <w:pPr>
        <w:pStyle w:val="Heading1"/>
        <w:pBdr>
          <w:bottom w:val="single" w:color="B08A3E" w:sz="8" w:space="4"/>
        </w:pBdr>
        <w:spacing w:after="240" w:before="480"/>
      </w:pPr>
      <w:r>
        <w:rPr>
          <w:rFonts w:ascii="Calibri" w:cs="Calibri" w:eastAsia="Calibri" w:hAnsi="Calibri"/>
          <w:b/>
          <w:bCs/>
          <w:color w:val="1F4D3A"/>
          <w:sz w:val="30"/>
          <w:szCs w:val="30"/>
        </w:rPr>
        <w:t xml:space="preserve">10. Join Us in Building This</w:t>
      </w:r>
    </w:p>
    <w:p>
      <w:pPr>
        <w:spacing w:after="160" w:line="276"/>
        <w:jc w:val="left"/>
      </w:pPr>
      <w:r>
        <w:rPr>
          <w:rFonts w:ascii="Calibri" w:cs="Calibri" w:eastAsia="Calibri" w:hAnsi="Calibri"/>
          <w:i w:val="false"/>
          <w:iCs w:val="false"/>
          <w:color w:val="2B2B2B"/>
          <w:sz w:val="21"/>
          <w:szCs w:val="21"/>
        </w:rPr>
        <w:t xml:space="preserve">Every new Muslim who walks away silently is not a failure of belief — it's a failure of infrastructure that we can build. Imārah exists to make sure that from the moment someone says the shahada in Latin America, they are never left to figure it out alone.</w:t>
      </w:r>
    </w:p>
    <w:p>
      <w:pPr>
        <w:spacing w:after="160" w:line="276"/>
        <w:jc w:val="left"/>
      </w:pPr>
      <w:r>
        <w:rPr>
          <w:rFonts w:ascii="Calibri" w:cs="Calibri" w:eastAsia="Calibri" w:hAnsi="Calibri"/>
          <w:i w:val="false"/>
          <w:iCs w:val="false"/>
          <w:color w:val="2B2B2B"/>
          <w:sz w:val="21"/>
          <w:szCs w:val="21"/>
        </w:rPr>
        <w:t xml:space="preserve">We are seeking funding partners, program sponsors, partner mosques, and advisors who share this vision. Whether you can fund a single program, a single city, or the whole model, we would welcome the conversation.</w:t>
      </w:r>
    </w:p>
    <w:p>
      <w:pPr>
        <w:pStyle w:val="Heading2"/>
        <w:spacing w:after="160" w:before="320"/>
      </w:pPr>
      <w:r>
        <w:rPr>
          <w:rFonts w:ascii="Calibri" w:cs="Calibri" w:eastAsia="Calibri" w:hAnsi="Calibri"/>
          <w:b/>
          <w:bCs/>
          <w:color w:val="1F4D3A"/>
          <w:sz w:val="24"/>
          <w:szCs w:val="24"/>
        </w:rPr>
        <w:t xml:space="preserve">Contact</w:t>
      </w:r>
    </w:p>
    <w:p>
      <w:pPr>
        <w:spacing w:after="160" w:line="276"/>
        <w:jc w:val="left"/>
      </w:pPr>
      <w:r>
        <w:rPr>
          <w:rFonts w:ascii="Calibri" w:cs="Calibri" w:eastAsia="Calibri" w:hAnsi="Calibri"/>
          <w:i w:val="false"/>
          <w:iCs w:val="false"/>
          <w:color w:val="2B2B2B"/>
          <w:sz w:val="21"/>
          <w:szCs w:val="21"/>
        </w:rPr>
        <w:t xml:space="preserve">Imārah (عِمَارَة) — Playa del Carmen, Quintana Roo, Mexico</w:t>
      </w:r>
    </w:p>
    <w:p>
      <w:pPr>
        <w:spacing w:after="160" w:line="276"/>
        <w:jc w:val="left"/>
      </w:pPr>
      <w:r>
        <w:rPr>
          <w:rFonts w:ascii="Calibri" w:cs="Calibri" w:eastAsia="Calibri" w:hAnsi="Calibri"/>
          <w:i w:val="false"/>
          <w:iCs w:val="false"/>
          <w:color w:val="2B2B2B"/>
          <w:sz w:val="21"/>
          <w:szCs w:val="21"/>
        </w:rPr>
        <w:t xml:space="preserve">[Insert contact name, email, and phone number]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t xml:space="preserve">Imārah Program Prospectus  ·  </w:t>
    </w:r>
    <w:r>
      <w:rPr>
        <w:rFonts w:ascii="Calibri" w:cs="Calibri" w:eastAsia="Calibri" w:hAnsi="Calibri"/>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B6B"/>
        <w:sz w:val="16"/>
        <w:szCs w:val="16"/>
      </w:rPr>
      <w:t xml:space="preserve">IMĀRAH  |  عِمَارَة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2026-08-07T18:12:49.986Z</dcterms:created>
  <dcterms:modified xsi:type="dcterms:W3CDTF">2026-08-07T18:12:49.987Z</dcterms:modified>
</cp:coreProperties>
</file>

<file path=docProps/custom.xml><?xml version="1.0" encoding="utf-8"?>
<Properties xmlns="http://schemas.openxmlformats.org/officeDocument/2006/custom-properties" xmlns:vt="http://schemas.openxmlformats.org/officeDocument/2006/docPropsVTypes"/>
</file>