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ophix-v3--as-built-design-code-true"/>
    <w:p>
      <w:pPr>
        <w:pStyle w:val="Heading1"/>
      </w:pPr>
      <w:r>
        <w:t xml:space="preserve">SOPHIX V3 — As-Built Design (code-true)</w:t>
      </w:r>
    </w:p>
    <w:p>
      <w:pPr>
        <w:pStyle w:val="FirstParagraph"/>
      </w:pPr>
      <w:r>
        <w:t xml:space="preserve">This folder is the</w:t>
      </w:r>
      <w:r>
        <w:t xml:space="preserve"> </w:t>
      </w:r>
      <w:r>
        <w:rPr>
          <w:bCs/>
          <w:b/>
        </w:rPr>
        <w:t xml:space="preserve">reverse-engineered, code-true design</w:t>
      </w:r>
      <w:r>
        <w:t xml:space="preserve"> </w:t>
      </w:r>
      <w:r>
        <w:t xml:space="preserve">of the platform: written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the implementation (</w:t>
      </w:r>
      <w:r>
        <w:rPr>
          <w:rStyle w:val="VerbatimChar"/>
        </w:rPr>
        <w:t xml:space="preserve">Modules/*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app/Foundation</w:t>
      </w:r>
      <w:r>
        <w:t xml:space="preserve">) and verified against the test suite.</w:t>
      </w:r>
    </w:p>
    <w:p>
      <w:pPr>
        <w:pStyle w:val="BodyText"/>
      </w:pPr>
      <w:r>
        <w:t xml:space="preserve">It complements</w:t>
      </w:r>
      <w:r>
        <w:t xml:space="preserve"> </w:t>
      </w:r>
      <w:r>
        <w:rPr>
          <w:rStyle w:val="VerbatimChar"/>
        </w:rPr>
        <w:t xml:space="preserve">docs/design-text/</w:t>
      </w:r>
      <w:r>
        <w:t xml:space="preserve"> </w:t>
      </w:r>
      <w:r>
        <w:t xml:space="preserve">(the</w:t>
      </w:r>
      <w:r>
        <w:t xml:space="preserve"> </w:t>
      </w:r>
      <w:r>
        <w:rPr>
          <w:bCs/>
          <w:b/>
        </w:rPr>
        <w:t xml:space="preserve">forward</w:t>
      </w:r>
      <w:r>
        <w:t xml:space="preserve"> </w:t>
      </w:r>
      <w:r>
        <w:t xml:space="preserve">design the code was originally built from).</w:t>
      </w:r>
      <w:r>
        <w:t xml:space="preserve"> </w:t>
      </w:r>
      <w:r>
        <w:t xml:space="preserve">Where the two differ,</w:t>
      </w:r>
      <w:r>
        <w:t xml:space="preserve"> </w:t>
      </w:r>
      <w:r>
        <w:rPr>
          <w:bCs/>
          <w:b/>
        </w:rPr>
        <w:t xml:space="preserve">as-built wins</w:t>
      </w:r>
      <w:r>
        <w:t xml:space="preserve"> </w:t>
      </w:r>
      <w:r>
        <w:t xml:space="preserve">— the code is now the source of truth, and several</w:t>
      </w:r>
      <w:r>
        <w:t xml:space="preserve"> </w:t>
      </w:r>
      <w:r>
        <w:t xml:space="preserve">behaviours were corrected after the forward design was written.</w:t>
      </w:r>
    </w:p>
    <w:bookmarkStart w:id="20" w:name="why-this-exists--how-to-use-it"/>
    <w:p>
      <w:pPr>
        <w:pStyle w:val="Heading2"/>
      </w:pPr>
      <w:r>
        <w:t xml:space="preserve">Why this exists / how to use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 path</w:t>
      </w:r>
      <w:r>
        <w:t xml:space="preserve"> </w:t>
      </w:r>
      <w:r>
        <w:t xml:space="preserve">for new developers (read in order, 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Maintenance reference</w:t>
      </w:r>
      <w:r>
        <w:t xml:space="preserve"> </w:t>
      </w:r>
      <w:r>
        <w:t xml:space="preserve">that matches what the code actually does.</w:t>
      </w:r>
    </w:p>
    <w:p>
      <w:pPr>
        <w:numPr>
          <w:ilvl w:val="0"/>
          <w:numId w:val="1001"/>
        </w:numPr>
        <w:pStyle w:val="Compact"/>
      </w:pPr>
      <w:r>
        <w:t xml:space="preserve">The writing of these docs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onboarding exercise: you learn a module by producing</w:t>
      </w:r>
      <w:r>
        <w:t xml:space="preserve"> </w:t>
      </w:r>
      <w:r>
        <w:t xml:space="preserve">its as-built doc from the code and proving each claim against that module's tests.</w:t>
      </w:r>
    </w:p>
    <w:bookmarkEnd w:id="20"/>
    <w:bookmarkStart w:id="21" w:name="Xfdd9abc942062bf88a40e3ac94d986fd0a53b12"/>
    <w:p>
      <w:pPr>
        <w:pStyle w:val="Heading2"/>
      </w:pPr>
      <w:r>
        <w:t xml:space="preserve">📚 Reading order (follow top to bottom)</w:t>
      </w:r>
    </w:p>
    <w:p>
      <w:pPr>
        <w:pStyle w:val="FirstParagraph"/>
      </w:pPr>
      <w:r>
        <w:t xml:space="preserve">A new dev should read these</w:t>
      </w:r>
      <w:r>
        <w:t xml:space="preserve"> </w:t>
      </w:r>
      <w:r>
        <w:rPr>
          <w:bCs/>
          <w:b/>
        </w:rPr>
        <w:t xml:space="preserve">in this exact sequence</w:t>
      </w:r>
      <w:r>
        <w:t xml:space="preserve"> </w:t>
      </w:r>
      <w:r>
        <w:t xml:space="preserve">— it goes spine → one end-to-end story →</w:t>
      </w:r>
      <w:r>
        <w:t xml:space="preserve"> </w:t>
      </w:r>
      <w:r>
        <w:t xml:space="preserve">the engines → config → the revenue core → execution → edges. Each line says</w:t>
      </w:r>
      <w:r>
        <w:t xml:space="preserve"> </w:t>
      </w:r>
      <w:r>
        <w:rPr>
          <w:iCs/>
          <w:i/>
        </w:rPr>
        <w:t xml:space="preserve">why it's here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Phase 0 — Orient (the spine)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00_SPINE.md</w:t>
      </w:r>
      <w:r>
        <w:t xml:space="preserve"> </w:t>
      </w:r>
      <w:r>
        <w:t xml:space="preserve">— the ~7 cross-cutting Foundation patterns (tenancy, errors, outbox events,</w:t>
      </w:r>
      <w:r>
        <w:t xml:space="preserve"> </w:t>
      </w:r>
      <w:r>
        <w:t xml:space="preserve">workflow, approvals, rules, idempotency/scope) + the worked</w:t>
      </w:r>
      <w:r>
        <w:t xml:space="preserve"> </w:t>
      </w:r>
      <w:r>
        <w:rPr>
          <w:bCs/>
          <w:b/>
        </w:rPr>
        <w:t xml:space="preserve">"Jane activates"</w:t>
      </w:r>
      <w:r>
        <w:t xml:space="preserve"> </w:t>
      </w:r>
      <w:r>
        <w:t xml:space="preserve">trace. Read once;</w:t>
      </w:r>
      <w:r>
        <w:t xml:space="preserve"> </w:t>
      </w:r>
      <w:r>
        <w:t xml:space="preserve">then every module is "just business logic on top."</w:t>
      </w:r>
      <w:r>
        <w:t xml:space="preserve"> </w:t>
      </w:r>
      <w:r>
        <w:rPr>
          <w:bCs/>
          <w:b/>
        </w:rPr>
        <w:t xml:space="preserve">Start here.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_TEMPLATE.md</w:t>
      </w:r>
      <w:r>
        <w:t xml:space="preserve"> </w:t>
      </w:r>
      <w:r>
        <w:rPr>
          <w:iCs/>
          <w:i/>
        </w:rPr>
        <w:t xml:space="preserve">(skim)</w:t>
      </w:r>
      <w:r>
        <w:t xml:space="preserve"> </w:t>
      </w:r>
      <w:r>
        <w:t xml:space="preserve">— the shape every module doc follows, so you know where to find things.</w:t>
      </w:r>
    </w:p>
    <w:p>
      <w:pPr>
        <w:pStyle w:val="FirstParagraph"/>
      </w:pPr>
      <w:r>
        <w:rPr>
          <w:bCs/>
          <w:b/>
        </w:rPr>
        <w:t xml:space="preserve">Phase 1 — See it work end-to-end (the golden path)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fulfillment.md</w:t>
      </w:r>
      <w:r>
        <w:t xml:space="preserve"> </w:t>
      </w:r>
      <w:r>
        <w:rPr>
          <w:iCs/>
          <w:i/>
        </w:rPr>
        <w:t xml:space="preserve">(read the Scenarios first)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Modules/Fulfillment/tests/Feature/FulfillmentJourneyTest.php</w:t>
      </w:r>
      <w:r>
        <w:t xml:space="preserve"> </w:t>
      </w:r>
      <w:r>
        <w:t xml:space="preserve">— one order from capture → live,</w:t>
      </w:r>
      <w:r>
        <w:t xml:space="preserve"> </w:t>
      </w:r>
      <w:r>
        <w:t xml:space="preserve">threading workflow, events, approvals, Subscription, WorkOrder, ILM and Billing in a single story.</w:t>
      </w:r>
      <w:r>
        <w:t xml:space="preserve"> </w:t>
      </w:r>
      <w:r>
        <w:rPr>
          <w:iCs/>
          <w:i/>
        </w:rPr>
        <w:t xml:space="preserve">(You'll re-read it in full at step 12.)</w:t>
      </w:r>
    </w:p>
    <w:p>
      <w:pPr>
        <w:pStyle w:val="BodyText"/>
      </w:pPr>
      <w:r>
        <w:rPr>
          <w:bCs/>
          <w:b/>
        </w:rPr>
        <w:t xml:space="preserve">Phase 2 — The engines (the toolbox everything composes)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  <w:bCs/>
          <w:b/>
        </w:rPr>
        <w:t xml:space="preserve">workflow.md</w:t>
      </w:r>
      <w:r>
        <w:t xml:space="preserve"> </w:t>
      </w:r>
      <w:r>
        <w:t xml:space="preserve">— the process engine (definitions, external tasks, message catches, the worker).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  <w:bCs/>
          <w:b/>
        </w:rPr>
        <w:t xml:space="preserve">rules.md</w:t>
      </w:r>
      <w:r>
        <w:t xml:space="preserve"> </w:t>
      </w:r>
      <w:r>
        <w:t xml:space="preserve">— decision tables + the evaluate/fallback seam.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  <w:bCs/>
          <w:b/>
        </w:rPr>
        <w:t xml:space="preserve">rbac.md</w:t>
      </w:r>
      <w:r>
        <w:t xml:space="preserve"> </w:t>
      </w:r>
      <w:r>
        <w:t xml:space="preserve">— roles → permissions → scopes (the request guard).</w:t>
      </w:r>
    </w:p>
    <w:p>
      <w:pPr>
        <w:pStyle w:val="BodyText"/>
      </w:pPr>
      <w:r>
        <w:rPr>
          <w:bCs/>
          <w:b/>
        </w:rPr>
        <w:t xml:space="preserve">Phase 3 — The config substrate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  <w:bCs/>
          <w:b/>
        </w:rPr>
        <w:t xml:space="preserve">catalog.md</w:t>
      </w:r>
      <w:r>
        <w:t xml:space="preserve"> </w:t>
      </w:r>
      <w:r>
        <w:t xml:space="preserve">— packages/versions/services, tariffs,</w:t>
      </w:r>
      <w:r>
        <w:t xml:space="preserve"> </w:t>
      </w:r>
      <w:r>
        <w:rPr>
          <w:bCs/>
          <w:b/>
        </w:rPr>
        <w:t xml:space="preserve">discounts</w:t>
      </w:r>
      <w:r>
        <w:t xml:space="preserve">,</w:t>
      </w:r>
      <w:r>
        <w:t xml:space="preserve"> </w:t>
      </w:r>
      <w:r>
        <w:rPr>
          <w:bCs/>
          <w:b/>
        </w:rPr>
        <w:t xml:space="preserve">tax-compute</w:t>
      </w:r>
      <w:r>
        <w:t xml:space="preserve">, wallet</w:t>
      </w:r>
      <w:r>
        <w:t xml:space="preserve"> </w:t>
      </w:r>
      <w:r>
        <w:t xml:space="preserve">catalog, HomePass topology + network nodes. Everything else prices/sells against this.</w:t>
      </w:r>
    </w:p>
    <w:p>
      <w:pPr>
        <w:pStyle w:val="BodyText"/>
      </w:pPr>
      <w:r>
        <w:rPr>
          <w:bCs/>
          <w:b/>
        </w:rPr>
        <w:t xml:space="preserve">Phase 4 — The revenue core (read in this order — they build on each other)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  <w:bCs/>
          <w:b/>
        </w:rPr>
        <w:t xml:space="preserve">ilm.md</w:t>
      </w:r>
      <w:r>
        <w:t xml:space="preserve"> </w:t>
      </w:r>
      <w:r>
        <w:t xml:space="preserve">— customer/account masters, KYC, the flag &amp; sub-status catalogs, CVM,</w:t>
      </w:r>
      <w:r>
        <w:t xml:space="preserve"> </w:t>
      </w:r>
      <w:r>
        <w:rPr>
          <w:rStyle w:val="VerbatimChar"/>
        </w:rPr>
        <w:t xml:space="preserve">routingContext</w:t>
      </w:r>
      <w:r>
        <w:t xml:space="preserve">.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  <w:bCs/>
          <w:b/>
        </w:rPr>
        <w:t xml:space="preserve">subscription.md</w:t>
      </w:r>
      <w:r>
        <w:t xml:space="preserve"> </w:t>
      </w:r>
      <w:r>
        <w:t xml:space="preserve">— the lifecycle master + operation framework.</w:t>
      </w:r>
      <w:r>
        <w:t xml:space="preserve"> </w:t>
      </w:r>
      <w:r>
        <w:rPr>
          <w:bCs/>
          <w:b/>
        </w:rPr>
        <w:t xml:space="preserve">The gold-standard exemplar;</w:t>
      </w:r>
      <w:r>
        <w:t xml:space="preserve"> </w:t>
      </w:r>
      <w:r>
        <w:t xml:space="preserve">follow its shape when writing any new doc.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  <w:bCs/>
          <w:b/>
        </w:rPr>
        <w:t xml:space="preserve">billing.md</w:t>
      </w:r>
      <w:r>
        <w:t xml:space="preserve"> </w:t>
      </w:r>
      <w:r>
        <w:t xml:space="preserve">— charging, invoices, wallets, dunning, adjustments, tax invoices (the densest model).</w:t>
      </w:r>
    </w:p>
    <w:p>
      <w:pPr>
        <w:pStyle w:val="BodyText"/>
      </w:pPr>
      <w:r>
        <w:rPr>
          <w:bCs/>
          <w:b/>
        </w:rPr>
        <w:t xml:space="preserve">Phase 5 — Operations (field + network execution)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  <w:bCs/>
          <w:b/>
        </w:rPr>
        <w:t xml:space="preserve">workorder.md</w:t>
      </w:r>
      <w:r>
        <w:t xml:space="preserve"> </w:t>
      </w:r>
      <w:r>
        <w:t xml:space="preserve">— WO lifecycle, dispatch, field audits.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  <w:bCs/>
          <w:b/>
        </w:rPr>
        <w:t xml:space="preserve">workforce.md</w:t>
      </w:r>
      <w:r>
        <w:t xml:space="preserve"> </w:t>
      </w:r>
      <w:r>
        <w:t xml:space="preserve">— contractor capacity (the slots WorkOrder books).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  <w:bCs/>
          <w:b/>
        </w:rPr>
        <w:t xml:space="preserve">fulfillment.md</w:t>
      </w:r>
      <w:r>
        <w:t xml:space="preserve"> </w:t>
      </w:r>
      <w:r>
        <w:rPr>
          <w:iCs/>
          <w:i/>
        </w:rPr>
        <w:t xml:space="preserve">(now in full)</w:t>
      </w:r>
      <w:r>
        <w:t xml:space="preserve"> </w:t>
      </w:r>
      <w:r>
        <w:t xml:space="preserve">— the order-journey orchestrator.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  <w:bCs/>
          <w:b/>
        </w:rPr>
        <w:t xml:space="preserve">osr.md</w:t>
      </w:r>
      <w:r>
        <w:t xml:space="preserve"> </w:t>
      </w:r>
      <w:r>
        <w:t xml:space="preserve">— equipment instances, stock chain, procurement, swaps.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  <w:bCs/>
          <w:b/>
        </w:rPr>
        <w:t xml:space="preserve">provisioning.md</w:t>
      </w:r>
      <w:r>
        <w:t xml:space="preserve"> </w:t>
      </w:r>
      <w:r>
        <w:t xml:space="preserve">— ⭐</w:t>
      </w:r>
      <w:r>
        <w:t xml:space="preserve"> </w:t>
      </w:r>
      <w:r>
        <w:rPr>
          <w:bCs/>
          <w:b/>
        </w:rPr>
        <w:t xml:space="preserve">the vendor-binding module</w:t>
      </w:r>
      <w:r>
        <w:t xml:space="preserve">: service → HomePass/node path → target</w:t>
      </w:r>
      <w:r>
        <w:t xml:space="preserve"> </w:t>
      </w:r>
      <w:r>
        <w:t xml:space="preserve">plane → adapter → the network. Read §2.1 (the path) + §4 (the adapter contract) closely.</w:t>
      </w:r>
    </w:p>
    <w:p>
      <w:pPr>
        <w:pStyle w:val="BodyText"/>
      </w:pPr>
      <w:r>
        <w:rPr>
          <w:bCs/>
          <w:b/>
        </w:rPr>
        <w:t xml:space="preserve">Phase 6 — The edges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  <w:bCs/>
          <w:b/>
        </w:rPr>
        <w:t xml:space="preserve">notification.md</w:t>
      </w:r>
      <w:r>
        <w:t xml:space="preserve"> </w:t>
      </w:r>
      <w:r>
        <w:t xml:space="preserve">— customer (NOT-01) + staff (ICN-01) pipelines.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  <w:bCs/>
          <w:b/>
        </w:rPr>
        <w:t xml:space="preserve">ticketing.md</w:t>
      </w:r>
      <w:r>
        <w:t xml:space="preserve"> </w:t>
      </w:r>
      <w:r>
        <w:t xml:space="preserve">— tickets + SLA + ASR.</w:t>
      </w:r>
      <w:r>
        <w:t xml:space="preserve"> </w:t>
      </w:r>
      <w:r>
        <w:t xml:space="preserve">18.</w:t>
      </w:r>
      <w:r>
        <w:t xml:space="preserve"> </w:t>
      </w:r>
      <w:r>
        <w:rPr>
          <w:rStyle w:val="VerbatimChar"/>
          <w:bCs/>
          <w:b/>
        </w:rPr>
        <w:t xml:space="preserve">paymentgateway.md</w:t>
      </w:r>
      <w:r>
        <w:t xml:space="preserve"> </w:t>
      </w:r>
      <w:r>
        <w:t xml:space="preserve">— inbound payment-rail callbacks.</w:t>
      </w:r>
      <w:r>
        <w:t xml:space="preserve"> </w:t>
      </w:r>
      <w:r>
        <w:t xml:space="preserve">19.</w:t>
      </w:r>
      <w:r>
        <w:t xml:space="preserve"> </w:t>
      </w:r>
      <w:r>
        <w:rPr>
          <w:rStyle w:val="VerbatimChar"/>
          <w:bCs/>
          <w:b/>
        </w:rPr>
        <w:t xml:space="preserve">reporting.md</w:t>
      </w:r>
      <w:r>
        <w:t xml:space="preserve"> </w:t>
      </w:r>
      <w:r>
        <w:t xml:space="preserve">— the event-sourced metrics mart.</w:t>
      </w:r>
      <w:r>
        <w:t xml:space="preserve"> </w:t>
      </w:r>
      <w:r>
        <w:t xml:space="preserve">20.</w:t>
      </w:r>
      <w:r>
        <w:t xml:space="preserve"> </w:t>
      </w:r>
      <w:r>
        <w:rPr>
          <w:rStyle w:val="VerbatimChar"/>
          <w:bCs/>
          <w:b/>
        </w:rPr>
        <w:t xml:space="preserve">itops.md</w:t>
      </w:r>
      <w:r>
        <w:t xml:space="preserve"> </w:t>
      </w:r>
      <w:r>
        <w:t xml:space="preserve">— NOC console: heartbeats, worker control, trace.</w:t>
      </w:r>
    </w:p>
    <w:p>
      <w:pPr>
        <w:pStyle w:val="BlockText"/>
      </w:pPr>
      <w:r>
        <w:rPr>
          <w:bCs/>
          <w:b/>
        </w:rPr>
        <w:t xml:space="preserve">Each module doc reads the same way:</w:t>
      </w:r>
      <w:r>
        <w:t xml:space="preserve"> </w:t>
      </w:r>
      <w:r>
        <w:t xml:space="preserve">Purpose → 📖 Scenarios (start here) → Data model (sample</w:t>
      </w:r>
      <w:r>
        <w:t xml:space="preserve"> </w:t>
      </w:r>
      <w:r>
        <w:t xml:space="preserve">rows + readings) → Services → API → Events → Processes → Config → Dependencies → Invariants → Deltas.</w:t>
      </w:r>
      <w:r>
        <w:t xml:space="preserve"> </w:t>
      </w:r>
      <w:r>
        <w:t xml:space="preserve">Always cross-check a claim against the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it cites.</w:t>
      </w:r>
    </w:p>
    <w:p>
      <w:pPr>
        <w:pStyle w:val="BlockText"/>
      </w:pPr>
      <w:r>
        <w:rPr>
          <w:bCs/>
          <w:b/>
        </w:rPr>
        <w:t xml:space="preserve">Sample-row convention:</w:t>
      </w:r>
      <w:r>
        <w:t xml:space="preserve"> </w:t>
      </w:r>
      <w:r>
        <w:t xml:space="preserve">every sample row lists</w:t>
      </w:r>
      <w:r>
        <w:t xml:space="preserve"> </w:t>
      </w:r>
      <w:r>
        <w:rPr>
          <w:bCs/>
          <w:b/>
        </w:rPr>
        <w:t xml:space="preserve">all domain columns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  <w:r>
        <w:t xml:space="preserve"> </w:t>
      </w:r>
      <w:r>
        <w:t xml:space="preserve">— never a partial subset — so a reading can never name a column that isn't present. The Laravel</w:t>
      </w:r>
      <w:r>
        <w:t xml:space="preserve"> </w:t>
      </w:r>
      <w:r>
        <w:t xml:space="preserve">surrogate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timestamps are omitted by convention.</w:t>
      </w:r>
    </w:p>
    <w:p>
      <w:pPr>
        <w:pStyle w:val="BlockText"/>
      </w:pPr>
      <w:r>
        <w:rPr>
          <w:bCs/>
          <w:b/>
        </w:rPr>
        <w:t xml:space="preserve">Teaching style (how these are written):</w:t>
      </w:r>
      <w:r>
        <w:t xml:space="preserve"> </w:t>
      </w:r>
      <w:r>
        <w:t xml:space="preserve">lead each scenario with a</w:t>
      </w:r>
      <w:r>
        <w:t xml:space="preserve"> </w:t>
      </w:r>
      <w:r>
        <w:rPr>
          <w:bCs/>
          <w:b/>
        </w:rPr>
        <w:t xml:space="preserve">plain-English story</w:t>
      </w:r>
      <w:r>
        <w:t xml:space="preserve"> </w:t>
      </w:r>
      <w:r>
        <w:t xml:space="preserve">a</w:t>
      </w:r>
      <w:r>
        <w:t xml:space="preserve"> </w:t>
      </w:r>
      <w:r>
        <w:t xml:space="preserve">newcomer gets in one read, then the technical detail.</w:t>
      </w:r>
      <w:r>
        <w:t xml:space="preserve"> </w:t>
      </w:r>
      <w:r>
        <w:rPr>
          <w:bCs/>
          <w:b/>
        </w:rPr>
        <w:t xml:space="preserve">Show, don't just tell</w:t>
      </w:r>
      <w:r>
        <w:t xml:space="preserve"> </w:t>
      </w:r>
      <w:r>
        <w:t xml:space="preserve">— back a point with a</w:t>
      </w:r>
      <w:r>
        <w:t xml:space="preserve"> </w:t>
      </w:r>
      <w:r>
        <w:t xml:space="preserve">sample row or a</w:t>
      </w:r>
      <w:r>
        <w:t xml:space="preserve"> </w:t>
      </w:r>
      <w:r>
        <w:rPr>
          <w:bCs/>
          <w:b/>
        </w:rPr>
        <w:t xml:space="preserve">worked example with real numbers</w:t>
      </w:r>
      <w:r>
        <w:t xml:space="preserve"> </w:t>
      </w:r>
      <w:r>
        <w:t xml:space="preserve">(little tables for any calculation/cascade).</w:t>
      </w:r>
      <w:r>
        <w:t xml:space="preserve"> </w:t>
      </w:r>
      <w:r>
        <w:rPr>
          <w:bCs/>
          <w:b/>
        </w:rPr>
        <w:t xml:space="preserve">Draw the flow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mermaid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stateDiagram-v2</w:t>
      </w:r>
      <w:r>
        <w:t xml:space="preserve"> </w:t>
      </w:r>
      <w:r>
        <w:t xml:space="preserve">for a status lifecycle,</w:t>
      </w:r>
      <w:r>
        <w:t xml:space="preserve"> </w:t>
      </w:r>
      <w:r>
        <w:rPr>
          <w:rStyle w:val="VerbatimChar"/>
        </w:rPr>
        <w:t xml:space="preserve">sequenceDiagram</w:t>
      </w:r>
      <w:r>
        <w:t xml:space="preserve"> </w:t>
      </w:r>
      <w:r>
        <w:t xml:space="preserve">for</w:t>
      </w:r>
      <w:r>
        <w:t xml:space="preserve"> </w:t>
      </w:r>
      <w:r>
        <w:t xml:space="preserve">an approval / cross-module flow,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 </w:t>
      </w:r>
      <w:r>
        <w:t xml:space="preserve">for a branchy decision. (Mermaid renders as a diagram on</w:t>
      </w:r>
      <w:r>
        <w:t xml:space="preserve"> </w:t>
      </w:r>
      <w:r>
        <w:t xml:space="preserve">GitHub and in most Markdown viewers.) The</w:t>
      </w:r>
      <w:r>
        <w:t xml:space="preserve"> </w:t>
      </w:r>
      <w:r>
        <w:rPr>
          <w:bCs/>
          <w:b/>
        </w:rPr>
        <w:t xml:space="preserve">worked exemplars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catalog.md</w:t>
      </w:r>
      <w:r>
        <w:t xml:space="preserve"> </w:t>
      </w:r>
      <w:r>
        <w:t xml:space="preserve">scenario 1 (package</w:t>
      </w:r>
      <w:r>
        <w:t xml:space="preserve"> </w:t>
      </w:r>
      <w:r>
        <w:t xml:space="preserve">launch + approval) and its</w:t>
      </w:r>
      <w:r>
        <w:t xml:space="preserve"> </w:t>
      </w:r>
      <w:r>
        <w:rPr>
          <w:rStyle w:val="VerbatimChar"/>
        </w:rPr>
        <w:t xml:space="preserve">tax_group</w:t>
      </w:r>
      <w:r>
        <w:t xml:space="preserve">/</w:t>
      </w:r>
      <w:r>
        <w:rPr>
          <w:rStyle w:val="VerbatimChar"/>
        </w:rPr>
        <w:t xml:space="preserve">tax_rule</w:t>
      </w:r>
      <w:r>
        <w:t xml:space="preserve"> </w:t>
      </w:r>
      <w:r>
        <w:t xml:space="preserve">section (the tax cascade with numbers).</w:t>
      </w:r>
    </w:p>
    <w:p>
      <w:pPr>
        <w:pStyle w:val="BlockText"/>
      </w:pPr>
      <w:r>
        <w:rPr>
          <w:bCs/>
          <w:b/>
        </w:rPr>
        <w:t xml:space="preserve">Data-model readings = read the rows, don't lecture.</w:t>
      </w:r>
      <w:r>
        <w:t xml:space="preserve"> </w:t>
      </w:r>
      <w:r>
        <w:t xml:space="preserve">After the sample rows, translate</w:t>
      </w:r>
      <w:r>
        <w:t xml:space="preserve"> </w:t>
      </w:r>
      <w:r>
        <w:rPr>
          <w:bCs/>
          <w:b/>
        </w:rPr>
        <w:t xml:space="preserve">each row</w:t>
      </w:r>
      <w:r>
        <w:rPr>
          <w:bCs/>
          <w:b/>
        </w:rPr>
        <w:t xml:space="preserve"> </w:t>
      </w:r>
      <w:r>
        <w:rPr>
          <w:bCs/>
          <w:b/>
        </w:rPr>
        <w:t xml:space="preserve">into a plain-English sentence</w:t>
      </w:r>
      <w:r>
        <w:t xml:space="preserve"> </w:t>
      </w:r>
      <w:r>
        <w:t xml:space="preserve">("</w:t>
      </w:r>
      <w:r>
        <w:rPr>
          <w:bCs/>
          <w:b/>
        </w:rPr>
        <w:t xml:space="preserve">dasg_1</w:t>
      </w:r>
      <w:r>
        <w:t xml:space="preserve"> </w:t>
      </w:r>
      <w:r>
        <w:t xml:space="preserve">= customer cust_1 gets 25% off, granted by hand, live now")</w:t>
      </w:r>
      <w:r>
        <w:t xml:space="preserve"> </w:t>
      </w:r>
      <w:r>
        <w:t xml:space="preserve">in a little table —</w:t>
      </w:r>
      <w:r>
        <w:t xml:space="preserve"> </w:t>
      </w:r>
      <w:r>
        <w:rPr>
          <w:iCs/>
          <w:i/>
        </w:rPr>
        <w:t xml:space="preserve">illustrate via the data</w:t>
      </w:r>
      <w:r>
        <w:t xml:space="preserve">, not a dense paragraph re-defining columns. A short</w:t>
      </w:r>
      <w:r>
        <w:t xml:space="preserve"> </w:t>
      </w:r>
      <w:r>
        <w:t xml:space="preserve">"the columns that did the work" list can follow. Exemplar:</w:t>
      </w:r>
      <w:r>
        <w:t xml:space="preserve"> </w:t>
      </w:r>
      <w:r>
        <w:rPr>
          <w:rStyle w:val="VerbatimChar"/>
        </w:rPr>
        <w:t xml:space="preserve">catalog.md</w:t>
      </w:r>
      <w:r>
        <w:t xml:space="preserve"> </w:t>
      </w:r>
      <w:r>
        <w:rPr>
          <w:rStyle w:val="VerbatimChar"/>
        </w:rPr>
        <w:t xml:space="preserve">discount_assignment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DOCX output:</w:t>
      </w:r>
      <w:r>
        <w:t xml:space="preserve"> </w:t>
      </w:r>
      <w:r>
        <w:rPr>
          <w:rStyle w:val="VerbatimChar"/>
        </w:rPr>
        <w:t xml:space="preserve">node docs/as-built/build-docx.sh.js &lt;file.md …&gt;</w:t>
      </w:r>
      <w:r>
        <w:t xml:space="preserve"> </w:t>
      </w:r>
      <w:r>
        <w:t xml:space="preserve">renders every mermaid block to a PNG</w:t>
      </w:r>
      <w:r>
        <w:t xml:space="preserve"> </w:t>
      </w:r>
      <w:r>
        <w:t xml:space="preserve">and produces</w:t>
      </w:r>
      <w:r>
        <w:t xml:space="preserve"> </w:t>
      </w:r>
      <w:r>
        <w:rPr>
          <w:rStyle w:val="VerbatimChar"/>
        </w:rPr>
        <w:t xml:space="preserve">docs/as-built/docx/&lt;file&gt;.docx</w:t>
      </w:r>
      <w:r>
        <w:t xml:space="preserve"> </w:t>
      </w:r>
      <w:r>
        <w:t xml:space="preserve">with the diagrams embedded as images (needs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@mermaid-js/mermaid-cli</w:t>
      </w:r>
      <w:r>
        <w:t xml:space="preserve">). Run with no args to build all docs.</w:t>
      </w:r>
    </w:p>
    <w:bookmarkEnd w:id="21"/>
    <w:bookmarkStart w:id="22" w:name="Xa8821900ad48abffa68be944ba74ce536a95773"/>
    <w:p>
      <w:pPr>
        <w:pStyle w:val="Heading2"/>
      </w:pPr>
      <w:r>
        <w:t xml:space="preserve">How to write a module's as-built doc (the recipe)</w:t>
      </w:r>
    </w:p>
    <w:p>
      <w:pPr>
        <w:pStyle w:val="FirstParagraph"/>
      </w:pPr>
      <w:r>
        <w:t xml:space="preserve">Read these six code sources</w:t>
      </w:r>
      <w:r>
        <w:t xml:space="preserve"> </w:t>
      </w:r>
      <w:r>
        <w:rPr>
          <w:bCs/>
          <w:b/>
        </w:rPr>
        <w:t xml:space="preserve">in order</w:t>
      </w:r>
      <w:r>
        <w:t xml:space="preserve">; each maps to a section of</w:t>
      </w:r>
      <w:r>
        <w:t xml:space="preserve"> </w:t>
      </w:r>
      <w:r>
        <w:rPr>
          <w:rStyle w:val="VerbatimChar"/>
        </w:rPr>
        <w:t xml:space="preserve">_TEMPLATE.md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database/migrations/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 + invariants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behaviours &amp; business rules ("what it does")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routes/api.php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Controllers/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Listeners/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EventServiceProvider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(emits / consumes)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Workflow/</w:t>
            </w:r>
            <w:r>
              <w:t xml:space="preserve"> </w:t>
            </w:r>
            <w:r>
              <w:t xml:space="preserve">handlers + flow seeders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registrations + decision-table/config seeders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/ config knobs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tests/Feature/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authoritative behaviour spec</w:t>
            </w:r>
            <w:r>
              <w:t xml:space="preserve"> </w:t>
            </w:r>
            <w:r>
              <w:t xml:space="preserve">— verify every claim against a test</w:t>
            </w:r>
          </w:p>
        </w:tc>
      </w:tr>
    </w:tbl>
    <w:bookmarkEnd w:id="22"/>
    <w:bookmarkStart w:id="2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Cs/>
          <w:b/>
        </w:rPr>
        <w:t xml:space="preserve">All 17 module docs + the Foundation spine are complete at the deep bar</w:t>
      </w:r>
      <w:r>
        <w:t xml:space="preserve"> </w:t>
      </w:r>
      <w:r>
        <w:t xml:space="preserve">— every table has an</w:t>
      </w:r>
      <w:r>
        <w:t xml:space="preserve"> </w:t>
      </w:r>
      <w:r>
        <w:t xml:space="preserve">enum legend + ≥4 contrasting sample rows + a reading, and every module has ≥8 worked scenarios</w:t>
      </w:r>
      <w:r>
        <w:t xml:space="preserve"> </w:t>
      </w:r>
      <w:r>
        <w:t xml:space="preserve">naming the services + Foundation mechanics, each citing the test that proves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Spine + 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00_SPINE.md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_TEMPLATE.md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ilm.md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workorder.md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workforce.md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paymentgateway.md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itops.md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engines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rbac.md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2026-06-22T21:07:56Z</dcterms:created>
  <dcterms:modified xsi:type="dcterms:W3CDTF">2026-06-22T21:07:56Z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