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ece3a4d03628ab0b3de3ce2d475f9622a848da"/>
    <w:p>
      <w:pPr>
        <w:pStyle w:val="Heading1"/>
      </w:pPr>
      <w:r>
        <w:t xml:space="preserve"> </w:t>
      </w:r>
      <w:r>
        <w:t xml:space="preserve">— As-Built Design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&lt;e.g. SUB-LM-01, SUB-WF-*&gt;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Modules/&lt;Module&gt;</w:t>
      </w:r>
      <w:r>
        <w:t xml:space="preserve"> </w:t>
      </w:r>
      <w:r>
        <w:rPr>
          <w:bCs/>
          <w:b/>
        </w:rPr>
        <w:t xml:space="preserve">Source-of-truth tests:</w:t>
      </w:r>
      <w:r>
        <w:t xml:space="preserve"> </w:t>
      </w:r>
      <w:r>
        <w:rPr>
          <w:rStyle w:val="VerbatimChar"/>
        </w:rPr>
        <w:t xml:space="preserve">Modules/&lt;Module&gt;/tests/Feature/*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&lt;the authoritative state/decisions this module is the single writer of&gt;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&lt;what it delegates to other modules — name them&gt;</w:t>
      </w:r>
    </w:p>
    <w:p>
      <w:pPr>
        <w:numPr>
          <w:ilvl w:val="0"/>
          <w:numId w:val="1001"/>
        </w:numPr>
        <w:pStyle w:val="Compact"/>
      </w:pPr>
      <w:r>
        <w:t xml:space="preserve">One-paragraph summary of the module's job.</w:t>
      </w:r>
    </w:p>
    <w:bookmarkEnd w:id="20"/>
    <w:bookmarkStart w:id="26" w:name="X2e906852e16024337e1740046afac39ab681737"/>
    <w:p>
      <w:pPr>
        <w:pStyle w:val="Heading2"/>
      </w:pPr>
      <w:r>
        <w:t xml:space="preserve">📖 Scenarios (≥ 8) — read these first</w:t>
      </w:r>
    </w:p>
    <w:p>
      <w:pPr>
        <w:pStyle w:val="BlockText"/>
      </w:pPr>
      <w:r>
        <w:rPr>
          <w:bCs/>
          <w:b/>
        </w:rPr>
        <w:t xml:space="preserve">At least 8</w:t>
      </w:r>
      <w:r>
        <w:t xml:space="preserve"> </w:t>
      </w:r>
      <w:r>
        <w:t xml:space="preserve">concrete walk-throughs covering happy paths, every enum branch, failures, and</w:t>
      </w:r>
      <w:r>
        <w:t xml:space="preserve"> </w:t>
      </w:r>
      <w:r>
        <w:t xml:space="preserve">cross-module reactions.</w:t>
      </w:r>
      <w:r>
        <w:t xml:space="preserve"> </w:t>
      </w:r>
      <w:r>
        <w:rPr>
          <w:bCs/>
          <w:b/>
        </w:rPr>
        <w:t xml:space="preserve">Write them so a brand-new dev gets it in one read: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Simple English first.</w:t>
      </w:r>
      <w:r>
        <w:t xml:space="preserve"> </w:t>
      </w:r>
      <w:r>
        <w:t xml:space="preserve">Open each scenario with a 2–4 line</w:t>
      </w:r>
      <w:r>
        <w:t xml:space="preserve"> </w:t>
      </w:r>
      <w:r>
        <w:rPr>
          <w:iCs/>
          <w:i/>
        </w:rPr>
        <w:t xml:space="preserve">plain-English story</w:t>
      </w:r>
      <w:r>
        <w:t xml:space="preserve"> </w:t>
      </w:r>
      <w:r>
        <w:t xml:space="preserve">("A product</w:t>
      </w:r>
      <w:r>
        <w:t xml:space="preserve"> </w:t>
      </w:r>
      <w:r>
        <w:t xml:space="preserve">manager builds a package… it needs a second person to approve…"). THEN the technical detail</w:t>
      </w:r>
      <w:r>
        <w:t xml:space="preserve"> </w:t>
      </w:r>
      <w:r>
        <w:t xml:space="preserve">(services, tables, events). Don't lead with a wall of</w:t>
      </w:r>
      <w:r>
        <w:t xml:space="preserve"> </w:t>
      </w:r>
      <w:r>
        <w:rPr>
          <w:rStyle w:val="VerbatimChar"/>
        </w:rPr>
        <w:t xml:space="preserve">Class::method</w:t>
      </w:r>
      <w:r>
        <w:t xml:space="preserve"> </w:t>
      </w:r>
      <w:r>
        <w:t xml:space="preserve">+ enum jargon.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Show, don't just tell — use a sample.</w:t>
      </w:r>
      <w:r>
        <w:t xml:space="preserve"> </w:t>
      </w:r>
      <w:r>
        <w:t xml:space="preserve">Include a small JSON row or a worked example that makes</w:t>
      </w:r>
      <w:r>
        <w:t xml:space="preserve"> </w:t>
      </w:r>
      <w:r>
        <w:t xml:space="preserve">the point concrete (real ids, real values, real numbers). If there's any calculation, sequencing,</w:t>
      </w:r>
      <w:r>
        <w:t xml:space="preserve"> </w:t>
      </w:r>
      <w:r>
        <w:t xml:space="preserve">or cascade, show the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in a little table (see the tax worked example in</w:t>
      </w:r>
      <w:r>
        <w:t xml:space="preserve"> </w:t>
      </w:r>
      <w:r>
        <w:rPr>
          <w:rStyle w:val="VerbatimChar"/>
        </w:rPr>
        <w:t xml:space="preserve">catalog.md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Draw it when there's a flow.</w:t>
      </w:r>
      <w:r>
        <w:t xml:space="preserve"> </w:t>
      </w:r>
      <w:r>
        <w:t xml:space="preserve">Add a</w:t>
      </w:r>
      <w:r>
        <w:t xml:space="preserve"> </w:t>
      </w:r>
      <w:r>
        <w:rPr>
          <w:bCs/>
          <w:b/>
        </w:rPr>
        <w:t xml:space="preserve">mermaid</w:t>
      </w:r>
      <w:r>
        <w:t xml:space="preserve"> </w:t>
      </w:r>
      <w:r>
        <w:t xml:space="preserve">diagram for: a status</w:t>
      </w:r>
      <w:r>
        <w:t xml:space="preserve"> </w:t>
      </w:r>
      <w:r>
        <w:rPr>
          <w:bCs/>
          <w:b/>
        </w:rPr>
        <w:t xml:space="preserve">lifecycle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stateDiagram-v2</w:t>
      </w:r>
      <w:r>
        <w:t xml:space="preserve">), an</w:t>
      </w:r>
      <w:r>
        <w:t xml:space="preserve"> </w:t>
      </w:r>
      <w:r>
        <w:rPr>
          <w:bCs/>
          <w:b/>
        </w:rPr>
        <w:t xml:space="preserve">approval / cross-module</w:t>
      </w:r>
      <w:r>
        <w:t xml:space="preserve"> </w:t>
      </w:r>
      <w:r>
        <w:t xml:space="preserve">flow (</w:t>
      </w:r>
      <w:r>
        <w:rPr>
          <w:rStyle w:val="VerbatimChar"/>
        </w:rPr>
        <w:t xml:space="preserve">sequenceDiagram</w:t>
      </w:r>
      <w:r>
        <w:t xml:space="preserve">), or a branchy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flowchart</w:t>
      </w:r>
      <w:r>
        <w:t xml:space="preserve">). A picture beats a dense paragraph for journeys, state machines and approvals.</w:t>
      </w:r>
    </w:p>
    <w:p>
      <w:pPr>
        <w:numPr>
          <w:ilvl w:val="0"/>
          <w:numId w:val="1002"/>
        </w:numPr>
        <w:pStyle w:val="Compact"/>
      </w:pPr>
      <w:r>
        <w:t xml:space="preserve">Still name</w:t>
      </w:r>
      <w:r>
        <w:t xml:space="preserve"> </w:t>
      </w:r>
      <w:r>
        <w:rPr>
          <w:bCs/>
          <w:b/>
        </w:rPr>
        <w:t xml:space="preserve">which services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how the Foundation works</w:t>
      </w:r>
      <w:r>
        <w:t xml:space="preserve"> </w:t>
      </w:r>
      <w:r>
        <w:t xml:space="preserve">(outbox/events, workflow, approvals,</w:t>
      </w:r>
      <w:r>
        <w:t xml:space="preserve"> </w:t>
      </w:r>
      <w:r>
        <w:t xml:space="preserve">idempotency, rules, scope) + the</w:t>
      </w:r>
      <w:r>
        <w:t xml:space="preserve"> </w:t>
      </w:r>
      <w:r>
        <w:rPr>
          <w:bCs/>
          <w:b/>
        </w:rPr>
        <w:t xml:space="preserve">proving test</w:t>
      </w:r>
      <w:r>
        <w:t xml:space="preserve"> </w:t>
      </w:r>
      <w:r>
        <w:t xml:space="preserve">— right after the plain-English part.</w:t>
      </w:r>
      <w:r>
        <w:t xml:space="preserve"> </w:t>
      </w:r>
      <w:r>
        <w:t xml:space="preserve">Cover: create/activate · each state transition · each</w:t>
      </w:r>
      <w:r>
        <w:t xml:space="preserve"> </w:t>
      </w:r>
      <w:r>
        <w:rPr>
          <w:rStyle w:val="VerbatimChar"/>
        </w:rPr>
        <w:t xml:space="preserve">&lt;enum&gt;</w:t>
      </w:r>
      <w:r>
        <w:t xml:space="preserve"> </w:t>
      </w:r>
      <w:r>
        <w:t xml:space="preserve">value's branch · an approval-gated</w:t>
      </w:r>
      <w:r>
        <w:t xml:space="preserve"> </w:t>
      </w:r>
      <w:r>
        <w:t xml:space="preserve">path · an async/worker path · a failure+retry · a cross-module reaction (event → other module) ·</w:t>
      </w:r>
      <w:r>
        <w:t xml:space="preserve"> </w:t>
      </w:r>
      <w:r>
        <w:t xml:space="preserve">an idempotent retry. (</w:t>
      </w:r>
      <w:r>
        <w:rPr>
          <w:rStyle w:val="VerbatimChar"/>
        </w:rPr>
        <w:t xml:space="preserve">catalog.md</w:t>
      </w:r>
      <w:r>
        <w:t xml:space="preserve"> </w:t>
      </w:r>
      <w:r>
        <w:t xml:space="preserve">scenario 1 + the tax data-model section are the worked exemplars.)</w:t>
      </w:r>
    </w:p>
    <w:bookmarkStart w:id="24" w:name="scenario-1--"/>
    <w:p>
      <w:pPr>
        <w:pStyle w:val="Heading3"/>
      </w:pPr>
      <w:r>
        <w:t xml:space="preserve">Scenario 1 —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&lt;2–4 lines of plain English a newcomer understands with no codebase knowledge.&gt;</w:t>
      </w:r>
      <w:r>
        <w:t xml:space="preserve"> </w:t>
      </w:r>
      <w:r>
        <w:rPr>
          <w:bCs/>
          <w:b/>
        </w:rPr>
        <w:t xml:space="preserve">Who does what: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does &lt;…&gt; →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rPr>
          <w:rStyle w:val="VerbatimChar"/>
        </w:rPr>
        <w:t xml:space="preserve">&lt;status&gt;</w:t>
      </w:r>
      <w:r>
        <w:t xml:space="preserve"> </w:t>
      </w:r>
      <w:r>
        <w:t xml:space="preserve">A→B → 2) emits</w:t>
      </w:r>
      <w:r>
        <w:t xml:space="preserve"> </w:t>
      </w:r>
      <w:r>
        <w:rPr>
          <w:rStyle w:val="VerbatimChar"/>
        </w:rPr>
        <w:t xml:space="preserve">&lt;Event&gt;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&lt;Listener&gt;</w:t>
      </w:r>
      <w:r>
        <w:t xml:space="preserve"> </w:t>
      </w:r>
      <w:r>
        <w:t xml:space="preserve">reacts.</w:t>
      </w:r>
      <w:r>
        <w:t xml:space="preserve"> </w:t>
      </w:r>
      <w:r>
        <w:rPr>
          <w:bCs/>
          <w:b/>
        </w:rPr>
        <w:t xml:space="preserve">Sample:</w:t>
      </w:r>
      <w:r>
        <w:t xml:space="preserve"> </w:t>
      </w:r>
      <w:r>
        <w:rPr>
          <w:rStyle w:val="VerbatimChar"/>
        </w:rPr>
        <w:t xml:space="preserve">{ "&lt;id&gt;":"…", "status":"B" }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&lt;Test&gt;</w:t>
      </w:r>
      <w:r>
        <w:rPr>
          <w:iCs/>
          <w:i/>
        </w:rPr>
        <w:t xml:space="preserve">.</w:t>
      </w:r>
    </w:p>
    <w:p>
      <w:pPr>
        <w:pStyle w:val="BodyText"/>
      </w:pPr>
      <w:r>
        <w:drawing>
          <wp:inline>
            <wp:extent cx="1117600" cy="7620000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Y8fbM/_TEMPLATE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c7e316da2fecf753a8aa3c7da54103945e36712"/>
    <w:p>
      <w:pPr>
        <w:pStyle w:val="Heading3"/>
      </w:pPr>
      <w:r>
        <w:t xml:space="preserve">Scenario 2 … 8 — &lt;enum branches, approval, async worker, failure+retry, cross-module, idempotent&gt;</w:t>
      </w:r>
    </w:p>
    <w:p>
      <w:pPr>
        <w:pStyle w:val="FirstParagraph"/>
      </w:pPr>
      <w:r>
        <w:t xml:space="preserve">&lt;same shape; lead with the plain-English story, add a sample, and a mermaid diagram wherever a</w:t>
      </w:r>
      <w:r>
        <w:t xml:space="preserve"> </w:t>
      </w:r>
      <w:r>
        <w:t xml:space="preserve">lifecycle/approval/cross-module flow is involved.&gt;</w:t>
      </w:r>
    </w:p>
    <w:bookmarkEnd w:id="25"/>
    <w:bookmarkEnd w:id="26"/>
    <w:bookmarkStart w:id="28" w:name="Xafb28e70f3fa2ce587006627f0e2a0810571c79"/>
    <w:p>
      <w:pPr>
        <w:pStyle w:val="Heading2"/>
      </w:pPr>
      <w:r>
        <w:t xml:space="preserve">2. Data model —</w:t>
      </w:r>
      <w:r>
        <w:t xml:space="preserve"> </w:t>
      </w:r>
      <w:r>
        <w:rPr>
          <w:bCs/>
          <w:b/>
        </w:rPr>
        <w:t xml:space="preserve">≥ 4 complete sample rows + readings per table</w:t>
      </w:r>
    </w:p>
    <w:p>
      <w:pPr>
        <w:pStyle w:val="BlockText"/>
      </w:pPr>
      <w:r>
        <w:rPr>
          <w:bCs/>
          <w:b/>
        </w:rPr>
        <w:t xml:space="preserve">Every</w:t>
      </w:r>
      <w:r>
        <w:t xml:space="preserve"> </w:t>
      </w:r>
      <w:r>
        <w:t xml:space="preserve">table (ledger, config, catalog) gets: the</w:t>
      </w:r>
      <w:r>
        <w:t xml:space="preserve"> </w:t>
      </w:r>
      <w:r>
        <w:rPr>
          <w:bCs/>
          <w:b/>
        </w:rPr>
        <w:t xml:space="preserve">column list</w:t>
      </w:r>
      <w:r>
        <w:t xml:space="preserve">, an</w:t>
      </w:r>
      <w:r>
        <w:t xml:space="preserve"> </w:t>
      </w:r>
      <w:r>
        <w:rPr>
          <w:bCs/>
          <w:b/>
        </w:rPr>
        <w:t xml:space="preserve">enum legend</w:t>
      </w:r>
      <w:r>
        <w:t xml:space="preserve"> </w:t>
      </w:r>
      <w:r>
        <w:t xml:space="preserve">(what each</w:t>
      </w:r>
      <w:r>
        <w:t xml:space="preserve"> </w:t>
      </w:r>
      <w:r>
        <w:t xml:space="preserve">value</w:t>
      </w:r>
      <w:r>
        <w:t xml:space="preserve"> </w:t>
      </w:r>
      <w:r>
        <w:rPr>
          <w:iCs/>
          <w:i/>
        </w:rPr>
        <w:t xml:space="preserve">does</w:t>
      </w:r>
      <w:r>
        <w:t xml:space="preserve">), and</w:t>
      </w:r>
      <w:r>
        <w:t xml:space="preserve"> </w:t>
      </w:r>
      <w:r>
        <w:rPr>
          <w:bCs/>
          <w:b/>
        </w:rPr>
        <w:t xml:space="preserve">≥ 4 sample rows</w:t>
      </w:r>
      <w:r>
        <w:t xml:space="preserve"> </w:t>
      </w:r>
      <w:r>
        <w:t xml:space="preserve">chosen to contrast the enum states, then a plain-English</w:t>
      </w:r>
      <w:r>
        <w:t xml:space="preserve"> </w:t>
      </w:r>
      <w:r>
        <w:rPr>
          <w:bCs/>
          <w:b/>
        </w:rPr>
        <w:t xml:space="preserve">reading</w:t>
      </w:r>
      <w:r>
        <w:t xml:space="preserve">. Where a table drives a</w:t>
      </w:r>
      <w:r>
        <w:t xml:space="preserve"> </w:t>
      </w:r>
      <w:r>
        <w:rPr>
          <w:bCs/>
          <w:b/>
        </w:rPr>
        <w:t xml:space="preserve">calculation, sequence or cascade</w:t>
      </w:r>
      <w:r>
        <w:t xml:space="preserve"> </w:t>
      </w:r>
      <w:r>
        <w:t xml:space="preserve">(tax, rating, dunning steps,</w:t>
      </w:r>
      <w:r>
        <w:t xml:space="preserve"> </w:t>
      </w:r>
      <w:r>
        <w:t xml:space="preserve">proration), add a</w:t>
      </w:r>
      <w:r>
        <w:t xml:space="preserve"> </w:t>
      </w:r>
      <w:r>
        <w:rPr>
          <w:bCs/>
          <w:b/>
        </w:rPr>
        <w:t xml:space="preserve">worked example with real numbers</w:t>
      </w:r>
      <w:r>
        <w:t xml:space="preserve"> </w:t>
      </w:r>
      <w:r>
        <w:t xml:space="preserve">(a little table) and a</w:t>
      </w:r>
      <w:r>
        <w:t xml:space="preserve"> </w:t>
      </w:r>
      <w:r>
        <w:rPr>
          <w:bCs/>
          <w:b/>
        </w:rPr>
        <w:t xml:space="preserve">mermaid</w:t>
      </w:r>
      <w:r>
        <w:t xml:space="preserve"> </w:t>
      </w:r>
      <w:r>
        <w:t xml:space="preserve">diagram —</w:t>
      </w:r>
      <w:r>
        <w:t xml:space="preserve"> </w:t>
      </w:r>
      <w:r>
        <w:t xml:space="preserve">the sample should</w:t>
      </w:r>
      <w:r>
        <w:t xml:space="preserve"> </w:t>
      </w:r>
      <w:r>
        <w:rPr>
          <w:iCs/>
          <w:i/>
        </w:rPr>
        <w:t xml:space="preserve">tell the story</w:t>
      </w:r>
      <w:r>
        <w:t xml:space="preserve">, not just sit there (see</w:t>
      </w:r>
      <w:r>
        <w:t xml:space="preserve"> </w:t>
      </w:r>
      <w:r>
        <w:rPr>
          <w:rStyle w:val="VerbatimChar"/>
        </w:rPr>
        <w:t xml:space="preserve">catalog.md</w:t>
      </w:r>
      <w:r>
        <w:t xml:space="preserve"> </w:t>
      </w:r>
      <w:r>
        <w:rPr>
          <w:rStyle w:val="VerbatimChar"/>
        </w:rPr>
        <w:t xml:space="preserve">tax_group</w:t>
      </w:r>
      <w:r>
        <w:t xml:space="preserve">/</w:t>
      </w:r>
      <w:r>
        <w:rPr>
          <w:rStyle w:val="VerbatimChar"/>
        </w:rPr>
        <w:t xml:space="preserve">tax_rule</w:t>
      </w:r>
      <w:r>
        <w:t xml:space="preserve">).</w:t>
      </w:r>
      <w:r>
        <w:t xml:space="preserve"> </w:t>
      </w:r>
      <w:r>
        <w:rPr>
          <w:bCs/>
          <w:b/>
        </w:rPr>
        <w:t xml:space="preserve">Completeness rule:</w:t>
      </w:r>
      <w:r>
        <w:t xml:space="preserve"> </w:t>
      </w:r>
      <w:r>
        <w:t xml:space="preserve">each sample row shows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included,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  <w:r>
        <w:t xml:space="preserve"> </w:t>
      </w:r>
      <w:r>
        <w:t xml:space="preserve">— never a partial subset, so a reading can never reference a column that isn't there. The Laravel</w:t>
      </w:r>
      <w:r>
        <w:t xml:space="preserve"> </w:t>
      </w:r>
      <w:r>
        <w:t xml:space="preserve">surrogate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audit timestamps are omitted</w:t>
      </w:r>
      <w:r>
        <w:t xml:space="preserve"> </w:t>
      </w:r>
      <w:r>
        <w:rPr>
          <w:bCs/>
          <w:b/>
        </w:rPr>
        <w:t xml:space="preserve">by convention</w:t>
      </w:r>
      <w:r>
        <w:t xml:space="preserve"> </w:t>
      </w:r>
      <w:r>
        <w:t xml:space="preserve">(state it once; no reading depends on them).</w:t>
      </w:r>
    </w:p>
    <w:bookmarkStart w:id="27" w:name="table"/>
    <w:p>
      <w:pPr>
        <w:pStyle w:val="Heading3"/>
      </w:pPr>
      <w:r>
        <w:rPr>
          <w:rStyle w:val="VerbatimChar"/>
        </w:rPr>
        <w:t xml:space="preserve">&lt;table&gt;</w:t>
      </w:r>
    </w:p>
    <w:p>
      <w:pPr>
        <w:pStyle w:val="FirstParagraph"/>
      </w:pPr>
      <w:r>
        <w:rPr>
          <w:bCs/>
          <w:b/>
        </w:rPr>
        <w:t xml:space="preserve">Enum legend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&lt;status_col&gt;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(transient) = &lt;…&gt;.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"&lt;id&gt;"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"&lt;status_col&gt;"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"&lt;enum2&gt;"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typical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"&lt;id&gt;"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"&lt;status_col&gt;"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"&lt;enum2&gt;"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different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state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"&lt;id&gt;"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"&lt;status_col&gt;"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"&lt;enum2&gt;"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transient/edge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"&lt;id&gt;"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"&lt;status_col&gt;"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"&lt;enum2&gt;"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another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enum2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branch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</w:t>
      </w:r>
      <w:r>
        <w:t xml:space="preserve"> </w:t>
      </w:r>
      <w:r>
        <w:t xml:space="preserve">(the reading must ILLUSTRATE VIA THE DATA, not</w:t>
      </w:r>
      <w:r>
        <w:t xml:space="preserve"> </w:t>
      </w:r>
      <w:r>
        <w:t xml:space="preserve">restate column definitions; point at a row and say what it means in plain English — "if you see this</w:t>
      </w:r>
      <w:r>
        <w:t xml:space="preserve"> </w:t>
      </w:r>
      <w:r>
        <w:t xml:space="preserve">row, it means SO"). Use a little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&lt;plain-English meaning: who/what, in what state, what happens — naming the columns that make it so&gt;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&lt;…differs because</w:t>
            </w:r>
            <w:r>
              <w:t xml:space="preserve"> </w:t>
            </w:r>
            <w:r>
              <w:rPr>
                <w:rStyle w:val="VerbatimChar"/>
              </w:rPr>
              <w:t xml:space="preserve">&lt;status_col&gt;=B</w:t>
            </w:r>
            <w:r>
              <w:t xml:space="preserve">, so…&gt;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&lt;the transient/edge case in plain words&gt;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&lt;the</w:t>
            </w:r>
            <w:r>
              <w:t xml:space="preserve"> </w:t>
            </w:r>
            <w:r>
              <w:rPr>
                <w:rStyle w:val="VerbatimChar"/>
              </w:rPr>
              <w:t xml:space="preserve">&lt;enum2&gt;=Z</w:t>
            </w:r>
            <w:r>
              <w:t xml:space="preserve"> </w:t>
            </w:r>
            <w:r>
              <w:t xml:space="preserve">branch in plain words&gt;</w:t>
            </w:r>
          </w:p>
        </w:tc>
      </w:tr>
    </w:tbl>
    <w:p>
      <w:pPr>
        <w:pStyle w:val="BlockText"/>
      </w:pPr>
      <w:r>
        <w:t xml:space="preserve">Then, if useful,</w:t>
      </w:r>
      <w:r>
        <w:t xml:space="preserve"> </w:t>
      </w:r>
      <w:r>
        <w:rPr>
          <w:bCs/>
          <w:b/>
        </w:rPr>
        <w:t xml:space="preserve">one short list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the columns that did the work</w:t>
      </w:r>
      <w:r>
        <w:t xml:space="preserve"> </w:t>
      </w:r>
      <w:r>
        <w:t xml:space="preserve">(which column decides who it</w:t>
      </w:r>
      <w:r>
        <w:t xml:space="preserve"> </w:t>
      </w:r>
      <w:r>
        <w:t xml:space="preserve">applies to / its state / how it combines) — but lead with the per-row sentences, not a prose paragraph.</w:t>
      </w:r>
      <w:r>
        <w:t xml:space="preserve"> </w:t>
      </w:r>
      <w:r>
        <w:t xml:space="preserve">Worked exemplar:</w:t>
      </w:r>
      <w:r>
        <w:t xml:space="preserve"> </w:t>
      </w:r>
      <w:r>
        <w:rPr>
          <w:rStyle w:val="VerbatimChar"/>
        </w:rPr>
        <w:t xml:space="preserve">catalog.md</w:t>
      </w:r>
      <w:r>
        <w:t xml:space="preserve"> </w:t>
      </w:r>
      <w:r>
        <w:rPr>
          <w:rStyle w:val="VerbatimChar"/>
        </w:rPr>
        <w:t xml:space="preserve">discount_assignment</w:t>
      </w:r>
      <w:r>
        <w:t xml:space="preserve"> </w:t>
      </w:r>
      <w:r>
        <w:t xml:space="preserve">("dasg_1 = customer cust_1 gets 25% off, live now…").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name a column in a reading that isn't in the rows (the all-columns rule guarantees it's there).</w:t>
      </w:r>
    </w:p>
    <w:bookmarkEnd w:id="27"/>
    <w:bookmarkEnd w:id="28"/>
    <w:bookmarkStart w:id="29" w:name="Xd3b83d6eae9ece29b9710e54becee0bfb40f7cf"/>
    <w:p>
      <w:pPr>
        <w:pStyle w:val="Heading2"/>
      </w:pPr>
      <w:r>
        <w:t xml:space="preserve">3. Services &amp;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&lt;Service&gt;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&lt;…&gt;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call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&lt;Service::method&gt;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$svc</w:t>
      </w:r>
      <w:r>
        <w:rPr>
          <w:rStyle w:val="NormalTok"/>
        </w:rPr>
        <w:t xml:space="preserve">-&gt;method(</w:t>
      </w:r>
      <w:r>
        <w:rPr>
          <w:rStyle w:val="VariableTok"/>
        </w:rPr>
        <w:t xml:space="preserve">$arg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&lt;what it does step by step&gt; → returns &lt;X&gt;</w:t>
      </w:r>
    </w:p>
    <w:bookmarkEnd w:id="29"/>
    <w:bookmarkStart w:id="30" w:name="X2f811782454335478e1e858f8488c7ef97f48e2"/>
    <w:p>
      <w:pPr>
        <w:pStyle w:val="Heading2"/>
      </w:pPr>
      <w:r>
        <w:t xml:space="preserve">4. API surface (+ controller examples)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Controller→service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/api/&lt;…&gt;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&lt;perm&gt;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&lt;scope&gt;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&lt;Controller@action&gt;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&lt;Service::m&gt;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request/response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&lt;Controller@action&gt;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POST /api/&lt;…&gt;            →   201 { "&lt;id&gt;":"…", "status":"…" }</w:t>
      </w:r>
      <w:r>
        <w:br/>
      </w:r>
      <w:r>
        <w:rPr>
          <w:rStyle w:val="VerbatimChar"/>
        </w:rPr>
        <w:t xml:space="preserve">{ "field":"value" }</w:t>
      </w:r>
    </w:p>
    <w:bookmarkEnd w:id="30"/>
    <w:bookmarkStart w:id="31" w:name="X07dacc93631698218efdefc751f95c6ff1ce93c"/>
    <w:p>
      <w:pPr>
        <w:pStyle w:val="Heading2"/>
      </w:pPr>
      <w:r>
        <w:t xml:space="preserve">5. Integration (events)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&lt;EventType&gt;</w:t>
      </w:r>
      <w:r>
        <w:t xml:space="preserve"> </w:t>
      </w:r>
      <w:r>
        <w:t xml:space="preserve">(topic</w:t>
      </w:r>
      <w:r>
        <w:t xml:space="preserve"> </w:t>
      </w:r>
      <w:r>
        <w:rPr>
          <w:rStyle w:val="VerbatimChar"/>
        </w:rPr>
        <w:t xml:space="preserve">&lt;topic&gt;</w:t>
      </w:r>
      <w:r>
        <w:t xml:space="preserve">) — &lt;when / payload keys / who consumes&gt;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&lt;EventType&gt;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&lt;Listener&gt;</w:t>
      </w:r>
      <w:r>
        <w:t xml:space="preserve"> </w:t>
      </w:r>
      <w:r>
        <w:t xml:space="preserve">—</w:t>
      </w:r>
      <w:r>
        <w:t xml:space="preserve"> </w:t>
      </w:r>
    </w:p>
    <w:bookmarkEnd w:id="31"/>
    <w:bookmarkStart w:id="32" w:name="X5909db2aa868473524634132ee38a1b5a550c2c"/>
    <w:p>
      <w:pPr>
        <w:pStyle w:val="Heading2"/>
      </w:pPr>
      <w:r>
        <w:t xml:space="preserve">6. Processes (workflow) — with handler examples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Flows:</w:t>
      </w:r>
      <w:r>
        <w:t xml:space="preserve"> </w:t>
      </w:r>
      <w:r>
        <w:rPr>
          <w:rStyle w:val="VerbatimChar"/>
        </w:rPr>
        <w:t xml:space="preserve">&lt;process key&gt;</w:t>
      </w:r>
      <w:r>
        <w:t xml:space="preserve"> </w:t>
      </w:r>
      <w:r>
        <w:t xml:space="preserve">— &lt;when triggered, terminal states&gt;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Handlers (topics):</w:t>
      </w:r>
      <w:r>
        <w:t xml:space="preserve"> </w:t>
      </w:r>
      <w:r>
        <w:rPr>
          <w:rStyle w:val="VerbatimChar"/>
        </w:rPr>
        <w:t xml:space="preserve">&lt;topic&gt;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&lt;Handler&gt;</w:t>
      </w:r>
      <w:r>
        <w:t xml:space="preserve"> </w:t>
      </w:r>
      <w:r>
        <w:t xml:space="preserve">— &lt;what the step does, outputs&gt;</w:t>
      </w:r>
    </w:p>
    <w:p>
      <w:pPr>
        <w:numPr>
          <w:ilvl w:val="0"/>
          <w:numId w:val="1004"/>
        </w:numPr>
        <w:pStyle w:val="Compact"/>
      </w:pPr>
      <w:r>
        <w:t xml:space="preserve">Trigger entrypoint:</w:t>
      </w:r>
      <w:r>
        <w:t xml:space="preserve"> </w:t>
      </w:r>
      <w:r>
        <w:rPr>
          <w:rStyle w:val="VerbatimChar"/>
        </w:rPr>
        <w:t xml:space="preserve">&lt;Service::method&gt;</w:t>
      </w:r>
      <w:r>
        <w:t xml:space="preserve">; reconciliation:</w:t>
      </w:r>
      <w:r>
        <w:t xml:space="preserve"> </w:t>
      </w:r>
      <w:r>
        <w:rPr>
          <w:rStyle w:val="VerbatimChar"/>
        </w:rPr>
        <w:t xml:space="preserve">&lt;…&gt;</w:t>
      </w:r>
    </w:p>
    <w:p>
      <w:pPr>
        <w:pStyle w:val="FirstParagraph"/>
      </w:pPr>
      <w:r>
        <w:rPr>
          <w:bCs/>
          <w:b/>
        </w:rPr>
        <w:t xml:space="preserve">Worked handler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&lt;Handler&gt;</w:t>
      </w:r>
      <w:r>
        <w:rPr>
          <w:bCs/>
          <w:b/>
        </w:rPr>
        <w:t xml:space="preserve"> </w:t>
      </w:r>
      <w:r>
        <w:rPr>
          <w:bCs/>
          <w:b/>
        </w:rPr>
        <w:t xml:space="preserve">(topic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&lt;topic&gt;</w:t>
      </w:r>
      <w:r>
        <w:rPr>
          <w:bCs/>
          <w:b/>
        </w:rPr>
        <w:t xml:space="preserve">):</w:t>
      </w:r>
    </w:p>
    <w:p>
      <w:pPr>
        <w:pStyle w:val="BlockText"/>
      </w:pPr>
      <w:r>
        <w:t xml:space="preserve">Invoked by the worker when the flow reaches the</w:t>
      </w:r>
      <w:r>
        <w:t xml:space="preserve"> </w:t>
      </w:r>
      <w:r>
        <w:rPr>
          <w:rStyle w:val="VerbatimChar"/>
        </w:rPr>
        <w:t xml:space="preserve">&lt;node&gt;</w:t>
      </w:r>
      <w:r>
        <w:t xml:space="preserve"> </w:t>
      </w:r>
      <w:r>
        <w:t xml:space="preserve">node.</w:t>
      </w:r>
      <w:r>
        <w:t xml:space="preserve"> </w:t>
      </w:r>
      <w:r>
        <w:rPr>
          <w:bCs/>
          <w:b/>
        </w:rPr>
        <w:t xml:space="preserve">Reads vars:</w:t>
      </w:r>
      <w:r>
        <w:t xml:space="preserve"> </w:t>
      </w:r>
      <w:r>
        <w:rPr>
          <w:rStyle w:val="VerbatimChar"/>
        </w:rPr>
        <w:t xml:space="preserve">{subscriptionId, …}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Does:</w:t>
      </w:r>
      <w:r>
        <w:t xml:space="preserve"> </w:t>
      </w:r>
      <w:r>
        <w:t xml:space="preserve">&lt;…&gt; ·</w:t>
      </w:r>
      <w:r>
        <w:t xml:space="preserve"> </w:t>
      </w: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{&lt;key&gt;:&lt;val&gt;}</w:t>
      </w:r>
      <w:r>
        <w:t xml:space="preserve"> </w:t>
      </w:r>
      <w:r>
        <w:t xml:space="preserve">(drives the</w:t>
      </w:r>
      <w:r>
        <w:t xml:space="preserve"> </w:t>
      </w:r>
      <w:r>
        <w:t xml:space="preserve">next gateway) ·</w:t>
      </w:r>
      <w:r>
        <w:t xml:space="preserve"> </w:t>
      </w:r>
      <w:r>
        <w:rPr>
          <w:bCs/>
          <w:b/>
        </w:rPr>
        <w:t xml:space="preserve">On fail:</w:t>
      </w:r>
      <w:r>
        <w:t xml:space="preserve"> </w:t>
      </w:r>
      <w:r>
        <w:rPr>
          <w:rStyle w:val="VerbatimChar"/>
        </w:rPr>
        <w:t xml:space="preserve">TaskResult::fail(...)</w:t>
      </w:r>
      <w:r>
        <w:t xml:space="preserve"> </w:t>
      </w:r>
      <w:r>
        <w:t xml:space="preserve">(retryable? &lt;y/n&gt;).</w:t>
      </w:r>
    </w:p>
    <w:bookmarkEnd w:id="32"/>
    <w:bookmarkStart w:id="33" w:name="Xe5bd77eb5760fdeee6485feae20b10260cfbb5d"/>
    <w:p>
      <w:pPr>
        <w:pStyle w:val="Heading2"/>
      </w:pPr>
      <w:r>
        <w:t xml:space="preserve">7. Policy &amp; config (no-code knobs)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Rules packages:</w:t>
      </w:r>
      <w:r>
        <w:t xml:space="preserve"> </w:t>
      </w:r>
      <w:r>
        <w:rPr>
          <w:rStyle w:val="VerbatimChar"/>
        </w:rPr>
        <w:t xml:space="preserve">&lt;rules.xxx&gt;</w:t>
      </w:r>
      <w:r>
        <w:t xml:space="preserve"> </w:t>
      </w:r>
      <w:r>
        <w:t xml:space="preserve">— &lt;inputs → outputs, fallback&gt;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Catalogs / config tables: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—</w:t>
      </w:r>
      <w:r>
        <w:t xml:space="preserve"> </w:t>
      </w:r>
    </w:p>
    <w:bookmarkEnd w:id="33"/>
    <w:bookmarkStart w:id="34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6"/>
        </w:numPr>
        <w:pStyle w:val="Compact"/>
      </w:pPr>
      <w:r>
        <w:t xml:space="preserve">Calls →</w:t>
      </w:r>
      <w:r>
        <w:t xml:space="preserve"> </w:t>
      </w:r>
      <w:r>
        <w:rPr>
          <w:rStyle w:val="VerbatimChar"/>
        </w:rPr>
        <w:t xml:space="preserve">&lt;Module::Service&gt;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&lt;purpose&gt;</w:t>
      </w:r>
    </w:p>
    <w:p>
      <w:pPr>
        <w:numPr>
          <w:ilvl w:val="0"/>
          <w:numId w:val="1006"/>
        </w:numPr>
        <w:pStyle w:val="Compact"/>
      </w:pPr>
      <w:r>
        <w:t xml:space="preserve">Called by →</w:t>
      </w:r>
      <w:r>
        <w:t xml:space="preserve"> </w:t>
      </w:r>
      <w:r>
        <w:rPr>
          <w:rStyle w:val="VerbatimChar"/>
        </w:rPr>
        <w:t xml:space="preserve">&lt;Module&gt;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&lt;event/service&gt;</w:t>
      </w:r>
    </w:p>
    <w:bookmarkEnd w:id="34"/>
    <w:bookmarkStart w:id="35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R-&lt;…&gt;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&lt;…&gt;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&lt;class::method&gt;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&lt;test name&gt;</w:t>
            </w:r>
          </w:p>
        </w:tc>
      </w:tr>
    </w:tbl>
    <w:bookmarkEnd w:id="35"/>
    <w:bookmarkStart w:id="36" w:name="X70778b900b53e212223629b9ca23b331e8f1734"/>
    <w:p>
      <w:pPr>
        <w:pStyle w:val="Heading2"/>
      </w:pPr>
      <w:r>
        <w:t xml:space="preserve">10. Open items / deltas from</w:t>
      </w:r>
      <w:r>
        <w:t xml:space="preserve"> </w:t>
      </w:r>
      <w:r>
        <w:rPr>
          <w:rStyle w:val="VerbatimChar"/>
        </w:rPr>
        <w:t xml:space="preserve">docs/design-text/</w:t>
      </w:r>
    </w:p>
    <w:p>
      <w:pPr>
        <w:numPr>
          <w:ilvl w:val="0"/>
          <w:numId w:val="1007"/>
        </w:numPr>
        <w:pStyle w:val="Compact"/>
      </w:pPr>
      <w:r>
        <w:t xml:space="preserve">&lt;where the code intentionally differs from the forward design, and why&gt;</w:t>
      </w:r>
    </w:p>
    <w:p>
      <w:pPr>
        <w:numPr>
          <w:ilvl w:val="0"/>
          <w:numId w:val="1007"/>
        </w:numPr>
        <w:pStyle w:val="Compact"/>
      </w:pPr>
      <w:r>
        <w:t xml:space="preserve">&lt;dead/advisory columns, optional backlog&gt;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2026-06-22T21:07:58Z</dcterms:created>
  <dcterms:modified xsi:type="dcterms:W3CDTF">2026-06-22T21:07:58Z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