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Times New Roman" w:cs="Times New Roman" w:eastAsia="Times New Roman" w:hAnsi="Times New Roman"/>
          <w:b w:val="false"/>
          <w:bCs w:val="false"/>
          <w:i w:val="false"/>
          <w:iCs w:val="false"/>
          <w:color w:val="1B1C1D"/>
          <w:sz w:val="26"/>
          <w:szCs w:val="26"/>
        </w:rPr>
        <w:t xml:space="preserve"/>
      </w:r>
    </w:p>
    <w:p>
      <w:pPr>
        <w:spacing w:after="80" w:before="0" w:line="280" w:lineRule="auto"/>
        <w:jc w:val="center"/>
      </w:pPr>
      <w:r>
        <w:rPr>
          <w:rFonts w:ascii="Times New Roman" w:cs="Times New Roman" w:eastAsia="Times New Roman" w:hAnsi="Times New Roman"/>
          <w:b w:val="false"/>
          <w:bCs w:val="false"/>
          <w:i w:val="false"/>
          <w:iCs w:val="false"/>
          <w:color w:val="6B7780"/>
          <w:sz w:val="24"/>
          <w:szCs w:val="24"/>
        </w:rPr>
        <w:t xml:space="preserve">ĐỒ ÁN CƠ SỞ HẠ TẦNG CÔNG NGHỆ THÔNG TIN</w:t>
      </w:r>
    </w:p>
    <w:p>
      <w:pPr>
        <w:spacing w:after="600" w:before="0" w:line="280" w:lineRule="auto"/>
        <w:jc w:val="center"/>
      </w:pPr>
      <w:r>
        <w:rPr>
          <w:rFonts w:ascii="Times New Roman" w:cs="Times New Roman" w:eastAsia="Times New Roman" w:hAnsi="Times New Roman"/>
          <w:b w:val="false"/>
          <w:bCs w:val="false"/>
          <w:i w:val="false"/>
          <w:iCs w:val="false"/>
          <w:color w:val="6B7780"/>
          <w:sz w:val="24"/>
          <w:szCs w:val="24"/>
        </w:rPr>
        <w:t xml:space="preserve">BỆNH VIỆN NGUYỄN TRI PHƯƠNG</w:t>
      </w:r>
    </w:p>
    <w:p>
      <w:pPr>
        <w:spacing w:after="80" w:before="0" w:line="280" w:lineRule="auto"/>
        <w:jc w:val="center"/>
      </w:pPr>
      <w:r>
        <w:rPr>
          <w:rFonts w:ascii="Times New Roman" w:cs="Times New Roman" w:eastAsia="Times New Roman" w:hAnsi="Times New Roman"/>
          <w:b/>
          <w:bCs/>
          <w:i w:val="false"/>
          <w:iCs w:val="false"/>
          <w:color w:val="2E4F6B"/>
          <w:sz w:val="32"/>
          <w:szCs w:val="32"/>
        </w:rPr>
        <w:t xml:space="preserve">TÀI LIỆU CẢI THIỆN</w:t>
      </w:r>
    </w:p>
    <w:p>
      <w:pPr>
        <w:spacing w:after="240" w:before="0" w:line="280" w:lineRule="auto"/>
        <w:jc w:val="center"/>
      </w:pPr>
      <w:r>
        <w:rPr>
          <w:rFonts w:ascii="Times New Roman" w:cs="Times New Roman" w:eastAsia="Times New Roman" w:hAnsi="Times New Roman"/>
          <w:b/>
          <w:bCs/>
          <w:i w:val="false"/>
          <w:iCs w:val="false"/>
          <w:color w:val="2E4F6B"/>
          <w:sz w:val="40"/>
          <w:szCs w:val="40"/>
        </w:rPr>
        <w:t xml:space="preserve">MỤC 2.3 — HẠ TẦNG PHẦN MỀM</w:t>
      </w:r>
    </w:p>
    <w:p>
      <w:pPr>
        <w:spacing w:after="80" w:before="0" w:line="280" w:lineRule="auto"/>
        <w:jc w:val="center"/>
      </w:pPr>
      <w:r>
        <w:rPr>
          <w:rFonts w:ascii="Times New Roman" w:cs="Times New Roman" w:eastAsia="Times New Roman" w:hAnsi="Times New Roman"/>
          <w:b w:val="false"/>
          <w:bCs w:val="false"/>
          <w:i/>
          <w:iCs/>
          <w:color w:val="5E6E7A"/>
          <w:sz w:val="26"/>
          <w:szCs w:val="26"/>
        </w:rPr>
        <w:t xml:space="preserve">Chẩn đoán hiện trạng · Phân tích nội dung bổ sung · Bản viết lại</w:t>
      </w:r>
    </w:p>
    <w:p>
      <w:pPr>
        <w:spacing w:after="900" w:before="0" w:line="280" w:lineRule="auto"/>
        <w:jc w:val="center"/>
      </w:pPr>
      <w:r>
        <w:rPr>
          <w:rFonts w:ascii="Times New Roman" w:cs="Times New Roman" w:eastAsia="Times New Roman" w:hAnsi="Times New Roman"/>
          <w:b w:val="false"/>
          <w:bCs w:val="false"/>
          <w:i/>
          <w:iCs/>
          <w:color w:val="5E6E7A"/>
          <w:sz w:val="26"/>
          <w:szCs w:val="26"/>
        </w:rPr>
        <w:t xml:space="preserve">Hướng dẫn tích hợp · Ghi chú phản biện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E9E" w:sz="4"/>
              <w:left w:val="single" w:color="A79C86" w:sz="18"/>
              <w:bottom w:val="single" w:color="C8BE9E" w:sz="4"/>
              <w:right w:val="single" w:color="C8BE9E" w:sz="4"/>
            </w:tcBorders>
            <w:shd w:fill="F7F5EF" w:color="auto" w:val="clear"/>
            <w:tcMar>
              <w:top w:type="dxa" w:w="140"/>
              <w:left w:type="dxa" w:w="200"/>
              <w:bottom w:type="dxa" w:w="140"/>
              <w:right w:type="dxa" w:w="160"/>
            </w:tcMar>
          </w:tcPr>
          <w:p>
            <w:pPr>
              <w:spacing w:after="0" w:before="0" w:line="280" w:lineRule="auto"/>
              <w:jc w:val="both"/>
            </w:pPr>
            <w:r>
              <w:rPr>
                <w:rFonts w:ascii="Times New Roman" w:cs="Times New Roman" w:eastAsia="Times New Roman" w:hAnsi="Times New Roman"/>
                <w:b/>
                <w:bCs/>
                <w:i w:val="false"/>
                <w:iCs w:val="false"/>
                <w:color w:val="6B5A33"/>
                <w:sz w:val="22"/>
                <w:szCs w:val="22"/>
              </w:rPr>
              <w:t xml:space="preserve">PHẠM VI VÀ NGUYÊN TẮC LÀM VIỆC</w:t>
            </w:r>
          </w:p>
          <w:p>
            <w:pPr>
              <w:spacing w:after="0" w:before="80" w:line="280" w:lineRule="auto"/>
              <w:jc w:val="both"/>
            </w:pPr>
            <w:r>
              <w:rPr>
                <w:rFonts w:ascii="Times New Roman" w:cs="Times New Roman" w:eastAsia="Times New Roman" w:hAnsi="Times New Roman"/>
                <w:b/>
                <w:bCs/>
                <w:i w:val="false"/>
                <w:iCs w:val="false"/>
                <w:color w:val="1B1C1D"/>
                <w:sz w:val="22"/>
                <w:szCs w:val="22"/>
              </w:rPr>
              <w:t xml:space="preserve">Mục 2.3 chỉ mô tả kiến trúc — </w:t>
            </w:r>
            <w:r>
              <w:rPr>
                <w:rFonts w:ascii="Times New Roman" w:cs="Times New Roman" w:eastAsia="Times New Roman" w:hAnsi="Times New Roman"/>
                <w:b w:val="false"/>
                <w:bCs w:val="false"/>
                <w:i w:val="false"/>
                <w:iCs w:val="false"/>
                <w:color w:val="1B1C1D"/>
                <w:sz w:val="22"/>
                <w:szCs w:val="22"/>
              </w:rPr>
              <w:t xml:space="preserve">bệnh viện có phần mềm gì, chạy trên nền nào, tích hợp với nhau ra sao. Phần đánh giá mức độ đạt chuẩn theo Thông tư 54/2017/TT-BYT được giữ nguyên cho Chương 4 nhằm tránh trùng lặp.</w:t>
            </w:r>
          </w:p>
          <w:p>
            <w:pPr>
              <w:spacing w:after="0" w:before="80" w:line="280" w:lineRule="auto"/>
              <w:jc w:val="both"/>
            </w:pPr>
            <w:r>
              <w:rPr>
                <w:rFonts w:ascii="Times New Roman" w:cs="Times New Roman" w:eastAsia="Times New Roman" w:hAnsi="Times New Roman"/>
                <w:b/>
                <w:bCs/>
                <w:i w:val="false"/>
                <w:iCs w:val="false"/>
                <w:color w:val="1B1C1D"/>
                <w:sz w:val="22"/>
                <w:szCs w:val="22"/>
              </w:rPr>
              <w:t xml:space="preserve">Nguồn nội dung bổ sung: </w:t>
            </w:r>
            <w:r>
              <w:rPr>
                <w:rFonts w:ascii="Times New Roman" w:cs="Times New Roman" w:eastAsia="Times New Roman" w:hAnsi="Times New Roman"/>
                <w:b w:val="false"/>
                <w:bCs w:val="false"/>
                <w:i w:val="false"/>
                <w:iCs w:val="false"/>
                <w:color w:val="1B1C1D"/>
                <w:sz w:val="22"/>
                <w:szCs w:val="22"/>
              </w:rPr>
              <w:t xml:space="preserve">chỉ lấy từ chính báo cáo (Chương 1, 3, 4 và 5). Không đưa thêm dữ liệu từ nguồn ngoài, để mọi thông tin đều truy vết được khi phản biện.</w:t>
            </w:r>
          </w:p>
          <w:p>
            <w:pPr>
              <w:spacing w:after="0" w:before="80" w:line="280" w:lineRule="auto"/>
              <w:jc w:val="both"/>
            </w:pPr>
            <w:r>
              <w:rPr>
                <w:rFonts w:ascii="Times New Roman" w:cs="Times New Roman" w:eastAsia="Times New Roman" w:hAnsi="Times New Roman"/>
                <w:b/>
                <w:bCs/>
                <w:i w:val="false"/>
                <w:iCs w:val="false"/>
                <w:color w:val="1B1C1D"/>
                <w:sz w:val="22"/>
                <w:szCs w:val="22"/>
              </w:rPr>
              <w:t xml:space="preserve">Mối liên hệ phần cứng – phần mềm </w:t>
            </w:r>
            <w:r>
              <w:rPr>
                <w:rFonts w:ascii="Times New Roman" w:cs="Times New Roman" w:eastAsia="Times New Roman" w:hAnsi="Times New Roman"/>
                <w:b w:val="false"/>
                <w:bCs w:val="false"/>
                <w:i w:val="false"/>
                <w:iCs w:val="false"/>
                <w:color w:val="1B1C1D"/>
                <w:sz w:val="22"/>
                <w:szCs w:val="22"/>
              </w:rPr>
              <w:t xml:space="preserve">được trình bày bằng bảng ánh xạ hai chiều giữa mục 2.2, 2.3 và 2.4.</w:t>
            </w:r>
          </w:p>
        </w:tc>
      </w:tr>
    </w:tbl>
    <w:p>
      <w:r>
        <w:br w:type="page"/>
      </w:r>
    </w:p>
    <w:p>
      <w:pPr>
        <w:pStyle w:val="Heading1"/>
        <w:keepNext/>
        <w:spacing w:after="140" w:before="0" w:line="300" w:lineRule="auto"/>
      </w:pPr>
      <w:r>
        <w:rPr>
          <w:rFonts w:ascii="Times New Roman" w:cs="Times New Roman" w:eastAsia="Times New Roman" w:hAnsi="Times New Roman"/>
          <w:b/>
          <w:bCs/>
          <w:i w:val="false"/>
          <w:iCs w:val="false"/>
          <w:color w:val="2E4F6B"/>
          <w:sz w:val="30"/>
          <w:szCs w:val="30"/>
        </w:rPr>
        <w:t xml:space="preserve">NỘI DUNG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cantSplit/>
        </w:trPr>
        <w:tc>
          <w:tcPr>
            <w:tcW w:type="dxa" w:w="1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A</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Chẩn đoán mục 2.3 hiện tại</w:t>
            </w:r>
          </w:p>
        </w:tc>
        <w:tc>
          <w:tcPr>
            <w:tcW w:type="dxa" w:w="4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Hiện trạng định lượng · 12 điểm cần cải thiện · Những điểm đã làm tốt</w:t>
            </w:r>
          </w:p>
        </w:tc>
      </w:tr>
      <w:tr>
        <w:trPr>
          <w:cantSplit/>
        </w:trPr>
        <w:tc>
          <w:tcPr>
            <w:tcW w:type="dxa" w:w="1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B</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Phân tích thông tin cần bổ sung</w:t>
            </w:r>
          </w:p>
        </w:tc>
        <w:tc>
          <w:tcPr>
            <w:tcW w:type="dxa" w:w="4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Bảng truy vết 21 thông tin nằm ở chương khác · 3 khoảng trống chưa có dữ liệu</w:t>
            </w:r>
          </w:p>
        </w:tc>
      </w:tr>
      <w:tr>
        <w:trPr>
          <w:cantSplit/>
        </w:trPr>
        <w:tc>
          <w:tcPr>
            <w:tcW w:type="dxa" w:w="1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C</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Bản viết lại hoàn chỉnh mục 2.3</w:t>
            </w:r>
          </w:p>
        </w:tc>
        <w:tc>
          <w:tcPr>
            <w:tcW w:type="dxa" w:w="4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Chín mục con từ 2.3.1 đến 2.3.9, kèm 2 hình và 9 bảng</w:t>
            </w:r>
          </w:p>
        </w:tc>
      </w:tr>
      <w:tr>
        <w:trPr>
          <w:cantSplit/>
        </w:trPr>
        <w:tc>
          <w:tcPr>
            <w:tcW w:type="dxa" w:w="1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D</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Hướng dẫn tích hợp vào báo cáo</w:t>
            </w:r>
          </w:p>
        </w:tc>
        <w:tc>
          <w:tcPr>
            <w:tcW w:type="dxa" w:w="4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Ánh xạ cấu trúc cũ – mới · Đánh số hình và bảng · Việc cần làm trước khi nộp</w:t>
            </w:r>
          </w:p>
        </w:tc>
      </w:tr>
      <w:tr>
        <w:trPr>
          <w:cantSplit/>
        </w:trPr>
        <w:tc>
          <w:tcPr>
            <w:tcW w:type="dxa" w:w="1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E</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Ghi chú phản biện cho mục 2.3</w:t>
            </w:r>
          </w:p>
        </w:tc>
        <w:tc>
          <w:tcPr>
            <w:tcW w:type="dxa" w:w="4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Bảy câu hỏi có khả năng gặp và hướng trả lời</w:t>
            </w:r>
          </w:p>
        </w:tc>
      </w:tr>
    </w:tbl>
    <w:p>
      <w:r>
        <w:br w:type="page"/>
      </w:r>
    </w:p>
    <w:p>
      <w:pPr>
        <w:pStyle w:val="Heading1"/>
        <w:keepNext/>
        <w:spacing w:after="140" w:before="0" w:line="300" w:lineRule="auto"/>
      </w:pPr>
      <w:r>
        <w:rPr>
          <w:rFonts w:ascii="Times New Roman" w:cs="Times New Roman" w:eastAsia="Times New Roman" w:hAnsi="Times New Roman"/>
          <w:b/>
          <w:bCs/>
          <w:i w:val="false"/>
          <w:iCs w:val="false"/>
          <w:color w:val="2E4F6B"/>
          <w:sz w:val="30"/>
          <w:szCs w:val="30"/>
        </w:rPr>
        <w:t xml:space="preserve">PHẦN A. CHẨN ĐOÁN MỤC 2.3 HIỆN TẠI</w:t>
      </w:r>
    </w:p>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A.1. Hiện trạng định lượng</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Đặt mục 2.3 cạnh hai mục còn lại của Chương 2 cho thấy ngay vấn đề gốc của phần này.</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A.1. So sánh dung lượng trình bày giữa ba mục của Chương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000"/>
        <w:gridCol w:w="2360"/>
      </w:tblGrid>
      <w:tr>
        <w:trPr>
          <w:cantSplit/>
          <w:tblHeader/>
        </w:trPr>
        <w:tc>
          <w:tcPr>
            <w:tcW w:type="dxa" w:w="27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Chỉ số</w:t>
            </w:r>
          </w:p>
        </w:tc>
        <w:tc>
          <w:tcPr>
            <w:tcW w:type="dxa" w:w="23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Mục 2.2 – Phần cứng</w:t>
            </w:r>
          </w:p>
        </w:tc>
        <w:tc>
          <w:tcPr>
            <w:tcW w:type="dxa" w:w="20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Mục 2.4 – Mạng</w:t>
            </w:r>
          </w:p>
        </w:tc>
        <w:tc>
          <w:tcPr>
            <w:tcW w:type="dxa" w:w="23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Mục 2.3 – Phần mềm</w:t>
            </w:r>
          </w:p>
        </w:tc>
      </w:tr>
      <w:tr>
        <w:trPr>
          <w:cantSplit/>
        </w:trPr>
        <w:tc>
          <w:tcPr>
            <w:tcW w:type="dxa" w:w="27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Số mục con</w:t>
            </w:r>
          </w:p>
        </w:tc>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4</w:t>
            </w:r>
          </w:p>
        </w:tc>
        <w:tc>
          <w:tcPr>
            <w:tcW w:type="dxa" w:w="2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5</w:t>
            </w:r>
          </w:p>
        </w:tc>
        <w:tc>
          <w:tcPr>
            <w:tcW w:type="dxa" w:w="2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3</w:t>
            </w:r>
          </w:p>
        </w:tc>
      </w:tr>
      <w:tr>
        <w:trPr>
          <w:cantSplit/>
        </w:trPr>
        <w:tc>
          <w:tcPr>
            <w:tcW w:type="dxa" w:w="27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Số bảng</w:t>
            </w:r>
          </w:p>
        </w:tc>
        <w:tc>
          <w:tcPr>
            <w:tcW w:type="dxa" w:w="2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8</w:t>
            </w:r>
          </w:p>
        </w:tc>
        <w:tc>
          <w:tcPr>
            <w:tcW w:type="dxa" w:w="2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0</w:t>
            </w:r>
          </w:p>
        </w:tc>
        <w:tc>
          <w:tcPr>
            <w:tcW w:type="dxa" w:w="2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0</w:t>
            </w:r>
          </w:p>
        </w:tc>
      </w:tr>
      <w:tr>
        <w:trPr>
          <w:cantSplit/>
        </w:trPr>
        <w:tc>
          <w:tcPr>
            <w:tcW w:type="dxa" w:w="27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Số hình</w:t>
            </w:r>
          </w:p>
        </w:tc>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6</w:t>
            </w:r>
          </w:p>
        </w:tc>
        <w:tc>
          <w:tcPr>
            <w:tcW w:type="dxa" w:w="2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0</w:t>
            </w:r>
          </w:p>
        </w:tc>
        <w:tc>
          <w:tcPr>
            <w:tcW w:type="dxa" w:w="2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0</w:t>
            </w:r>
          </w:p>
        </w:tc>
      </w:tr>
      <w:tr>
        <w:trPr>
          <w:cantSplit/>
        </w:trPr>
        <w:tc>
          <w:tcPr>
            <w:tcW w:type="dxa" w:w="27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Dung lượng ước tính</w:t>
            </w:r>
          </w:p>
        </w:tc>
        <w:tc>
          <w:tcPr>
            <w:tcW w:type="dxa" w:w="2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Khoảng 12 trang</w:t>
            </w:r>
          </w:p>
        </w:tc>
        <w:tc>
          <w:tcPr>
            <w:tcW w:type="dxa" w:w="2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Khoảng 4 trang</w:t>
            </w:r>
          </w:p>
        </w:tc>
        <w:tc>
          <w:tcPr>
            <w:tcW w:type="dxa" w:w="2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Khoảng 1 trang</w:t>
            </w:r>
          </w:p>
        </w:tc>
      </w:tr>
      <w:tr>
        <w:trPr>
          <w:cantSplit/>
        </w:trPr>
        <w:tc>
          <w:tcPr>
            <w:tcW w:type="dxa" w:w="27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Số phần mềm được nêu tên</w:t>
            </w:r>
          </w:p>
        </w:tc>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w:t>
            </w:r>
          </w:p>
        </w:tc>
        <w:tc>
          <w:tcPr>
            <w:tcW w:type="dxa" w:w="2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w:t>
            </w:r>
          </w:p>
        </w:tc>
        <w:tc>
          <w:tcPr>
            <w:tcW w:type="dxa" w:w="2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6</w:t>
            </w:r>
          </w:p>
        </w:tc>
      </w:tr>
    </w:tbl>
    <w:p>
      <w:pPr>
        <w:spacing w:after="120" w:before="20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Phần mềm mới là thành phần quyết định giá trị của hạ tầng công nghệ thông tin y tế: bệnh viện đạt mức 6+ theo Thông tư 54/2017/TT-BYT là nhờ hệ thống phần mềm, không phải nhờ cấu hình máy chủ. Tuy vậy đây lại là mục mỏng nhất Chương 2. Tỷ lệ khoảng 12 trang phần cứng so với 1 trang phần mềm là mất cân đối rõ rệt và nhiều khả năng sẽ được hội đồng đặt câu hỏi ngay khi bảo vệ.</w:t>
      </w:r>
    </w:p>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A.2. Mười hai điểm cần cải thiện</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Các điểm dưới đây được xác định qua đối chiếu trực tiếp với văn bản hiện có của mục 2.3, sắp xếp theo vị trí xuất hiện trong tài liệu.</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A.2. Danh mục các điểm cần cải thiện trong mục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880"/>
        <w:gridCol w:w="3360"/>
      </w:tblGrid>
      <w:tr>
        <w:trPr>
          <w:cantSplit/>
          <w:tblHeader/>
        </w:trPr>
        <w:tc>
          <w:tcPr>
            <w:tcW w:type="dxa" w:w="82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STT</w:t>
            </w:r>
          </w:p>
        </w:tc>
        <w:tc>
          <w:tcPr>
            <w:tcW w:type="dxa" w:w="13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Vị trí</w:t>
            </w:r>
          </w:p>
        </w:tc>
        <w:tc>
          <w:tcPr>
            <w:tcW w:type="dxa" w:w="388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Vấn đề</w:t>
            </w:r>
          </w:p>
        </w:tc>
        <w:tc>
          <w:tcPr>
            <w:tcW w:type="dxa" w:w="33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Hướng xử lý</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1</w:t>
            </w:r>
          </w:p>
        </w:tc>
        <w:tc>
          <w:tcPr>
            <w:tcW w:type="dxa" w:w="1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Mở đầu 2.3</w:t>
            </w:r>
          </w:p>
        </w:tc>
        <w:tc>
          <w:tcPr>
            <w:tcW w:type="dxa" w:w="388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có đoạn dẫn nhập, vào thẳng mục 2.3.1. Người đọc không biết vì sao chia làm ba nhóm, cũng không thấy nguyên tắc phân loại</w:t>
            </w:r>
          </w:p>
        </w:tc>
        <w:tc>
          <w:tcPr>
            <w:tcW w:type="dxa" w:w="3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Bổ sung đoạn dẫn nêu nguyên tắc phân tầng, tương tự cách mục 2.2.1 giới thiệu mô hình đa máy chủ</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2</w:t>
            </w:r>
          </w:p>
        </w:tc>
        <w:tc>
          <w:tcPr>
            <w:tcW w:type="dxa" w:w="1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2.3.1</w:t>
            </w:r>
          </w:p>
        </w:tc>
        <w:tc>
          <w:tcPr>
            <w:tcW w:type="dxa" w:w="388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Tiêu đề là “Phần mềm quản lý và vận hành hệ thống” nhưng nội dung chỉ có một câu, nói về hệ điều hành và sao lưu, không phủ hết phạm vi tiêu đề</w:t>
            </w:r>
          </w:p>
        </w:tc>
        <w:tc>
          <w:tcPr>
            <w:tcW w:type="dxa" w:w="3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Viết lại thành mục đầy đủ gồm bảy lớp: hệ điều hành, cơ sở dữ liệu, ảo hóa, sao lưu, bảo mật điểm cuối, giám sát và ký số</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3</w:t>
            </w:r>
          </w:p>
        </w:tc>
        <w:tc>
          <w:tcPr>
            <w:tcW w:type="dxa" w:w="1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2.3.1</w:t>
            </w:r>
          </w:p>
        </w:tc>
        <w:tc>
          <w:tcPr>
            <w:tcW w:type="dxa" w:w="388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Thiếu hệ quản trị cơ sở dữ liệu, trong khi mục 2.2.1.4 và 2.5 đều đã nhắc tới Oracle, Data Guard và SQL Server. Đây là thiếu sót nghiêm trọng nhất của mục 2.3.1</w:t>
            </w:r>
          </w:p>
        </w:tc>
        <w:tc>
          <w:tcPr>
            <w:tcW w:type="dxa" w:w="3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Bổ sung lớp hệ quản trị cơ sở dữ liệu, có dẫn chiếu chéo tới mục 2.2.1.4</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4</w:t>
            </w:r>
          </w:p>
        </w:tc>
        <w:tc>
          <w:tcPr>
            <w:tcW w:type="dxa" w:w="1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2.3.2</w:t>
            </w:r>
          </w:p>
        </w:tc>
        <w:tc>
          <w:tcPr>
            <w:tcW w:type="dxa" w:w="388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Trình bày không nhất quán: HIS và EMR có mục “Trạng thái”, LIS và RIS/PACS không có; cấu trúc mỗi hệ thống một kiểu</w:t>
            </w:r>
          </w:p>
        </w:tc>
        <w:tc>
          <w:tcPr>
            <w:tcW w:type="dxa" w:w="3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Chuẩn hóa cả bốn hệ thống theo cùng một khung bảy tiêu chí và đưa vào bảng</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5</w:t>
            </w:r>
          </w:p>
        </w:tc>
        <w:tc>
          <w:tcPr>
            <w:tcW w:type="dxa" w:w="1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2.3.2</w:t>
            </w:r>
          </w:p>
        </w:tc>
        <w:tc>
          <w:tcPr>
            <w:tcW w:type="dxa" w:w="388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Câu “Lợi ích tích hợp AI (FSpineNet)…” thiếu vế, không rõ là “Lợi ích:” hay “Lợi ích của tích hợp AI”</w:t>
            </w:r>
          </w:p>
        </w:tc>
        <w:tc>
          <w:tcPr>
            <w:tcW w:type="dxa" w:w="3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Viết lại thành câu hoàn chỉnh; tách nội dung AI thành mục riêng</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6</w:t>
            </w:r>
          </w:p>
        </w:tc>
        <w:tc>
          <w:tcPr>
            <w:tcW w:type="dxa" w:w="1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2.3.2</w:t>
            </w:r>
          </w:p>
        </w:tc>
        <w:tc>
          <w:tcPr>
            <w:tcW w:type="dxa" w:w="388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Còn để lộ ký hiệu tài liệu nội bộ trong văn bản chính thức: “(Theo tài liệu 02_V)” và “(Theo tài liệu 02_VIII)”</w:t>
            </w:r>
          </w:p>
        </w:tc>
        <w:tc>
          <w:tcPr>
            <w:tcW w:type="dxa" w:w="3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Chuyển thành trích dẫn chuẩn theo định dạng đang dùng trong phần còn lại của báo cáo</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7</w:t>
            </w:r>
          </w:p>
        </w:tc>
        <w:tc>
          <w:tcPr>
            <w:tcW w:type="dxa" w:w="1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2.3.2</w:t>
            </w:r>
          </w:p>
        </w:tc>
        <w:tc>
          <w:tcPr>
            <w:tcW w:type="dxa" w:w="388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Con số “rút ngắn 30–50% thời gian trả kết quả” của LIS không có nguồn và không khớp với Chương 4 (“giảm 30–40% thời gian hành chính”)</w:t>
            </w:r>
          </w:p>
        </w:tc>
        <w:tc>
          <w:tcPr>
            <w:tcW w:type="dxa" w:w="3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Ghi rõ nguồn hoặc chuyển thành phát biểu định tính; thống nhất số liệu với Chương 4</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8</w:t>
            </w:r>
          </w:p>
        </w:tc>
        <w:tc>
          <w:tcPr>
            <w:tcW w:type="dxa" w:w="1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2.3.2</w:t>
            </w:r>
          </w:p>
        </w:tc>
        <w:tc>
          <w:tcPr>
            <w:tcW w:type="dxa" w:w="388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Viết “RIS/PACS” trong khi Chương 4 viết “RIS-PACS”</w:t>
            </w:r>
          </w:p>
        </w:tc>
        <w:tc>
          <w:tcPr>
            <w:tcW w:type="dxa" w:w="3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Thống nhất một cách viết trong toàn báo cáo</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9</w:t>
            </w:r>
          </w:p>
        </w:tc>
        <w:tc>
          <w:tcPr>
            <w:tcW w:type="dxa" w:w="1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2.3.3</w:t>
            </w:r>
          </w:p>
        </w:tc>
        <w:tc>
          <w:tcPr>
            <w:tcW w:type="dxa" w:w="388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Tiêu đề “Các phần mềm hỗ trợ khác” mơ hồ và chỉ chứa hai phần mềm, trong khi Chương 1 còn nêu phần mềm quản lý chất lượng, giám sát sự cố y khoa, kiosk khảo sát hài lòng và quản lý máy thở trung tâm</w:t>
            </w:r>
          </w:p>
        </w:tc>
        <w:tc>
          <w:tcPr>
            <w:tcW w:type="dxa" w:w="3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Đổi tên thành “Phần mềm quản lý điều hành và hỗ trợ vận hành”, gom đủ các nhóm</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10</w:t>
            </w:r>
          </w:p>
        </w:tc>
        <w:tc>
          <w:tcPr>
            <w:tcW w:type="dxa" w:w="1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Toàn mục 2.3</w:t>
            </w:r>
          </w:p>
        </w:tc>
        <w:tc>
          <w:tcPr>
            <w:tcW w:type="dxa" w:w="388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có bảng và không có hình, trái hẳn phong cách của mục 2.2 với 8 bảng và 6 hình</w:t>
            </w:r>
          </w:p>
        </w:tc>
        <w:tc>
          <w:tcPr>
            <w:tcW w:type="dxa" w:w="3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Bổ sung tối thiểu 9 bảng và 2 sơ đồ</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11</w:t>
            </w:r>
          </w:p>
        </w:tc>
        <w:tc>
          <w:tcPr>
            <w:tcW w:type="dxa" w:w="1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Toàn mục 2.3</w:t>
            </w:r>
          </w:p>
        </w:tc>
        <w:tc>
          <w:tcPr>
            <w:tcW w:type="dxa" w:w="388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có bất kỳ liên kết nào tới mục 2.2 và 2.4, khiến Chương 2 trở nên rời rạc</w:t>
            </w:r>
          </w:p>
        </w:tc>
        <w:tc>
          <w:tcPr>
            <w:tcW w:type="dxa" w:w="3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Thêm mục 2.3.8 về mối liên hệ giữa phần cứng và phần mềm, trình bày bằng bảng ánh xạ</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1"/>
                <w:szCs w:val="21"/>
              </w:rPr>
              <w:t xml:space="preserve">12</w:t>
            </w:r>
          </w:p>
        </w:tc>
        <w:tc>
          <w:tcPr>
            <w:tcW w:type="dxa" w:w="1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Toàn mục 2.3</w:t>
            </w:r>
          </w:p>
        </w:tc>
        <w:tc>
          <w:tcPr>
            <w:tcW w:type="dxa" w:w="388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nêu nhà cung cấp, mô hình triển khai, bản quyền và vòng đời phần mềm, trong khi Chương 3 đã nêu VietSens và Chương 4 đã nêu mô hình thuê dịch vụ</w:t>
            </w:r>
          </w:p>
        </w:tc>
        <w:tc>
          <w:tcPr>
            <w:tcW w:type="dxa" w:w="3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Thêm mục 2.3.7 về mô hình cung cấp và quản lý vòng đời phần mềm</w:t>
            </w:r>
          </w:p>
        </w:tc>
      </w:tr>
    </w:tbl>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A.3. Những điểm đã làm tốt và nên giữ</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Phân biệt đúng HIS là lõi hành chính – tài chính và EMR là lõi lâm sàng. Đây là cách phân định chuẩn xác mà nhiều báo cáo cùng chủ đề thường nhầm lẫn.</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Nêu được đặc trưng kỹ thuật quan trọng nhất của LIS: kết nối hai chiều với máy phân tích và trả kết quả bằng mã vạch.</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Có ý thức gắn mỗi phần mềm với lợi ích nghiệp vụ cụ thể thay vì chỉ liệt kê tên hệ thống.</w:t>
      </w:r>
    </w:p>
    <w:p>
      <w:r>
        <w:br w:type="page"/>
      </w:r>
    </w:p>
    <w:p>
      <w:pPr>
        <w:pStyle w:val="Heading1"/>
        <w:keepNext/>
        <w:spacing w:after="140" w:before="0" w:line="300" w:lineRule="auto"/>
      </w:pPr>
      <w:r>
        <w:rPr>
          <w:rFonts w:ascii="Times New Roman" w:cs="Times New Roman" w:eastAsia="Times New Roman" w:hAnsi="Times New Roman"/>
          <w:b/>
          <w:bCs/>
          <w:i w:val="false"/>
          <w:iCs w:val="false"/>
          <w:color w:val="2E4F6B"/>
          <w:sz w:val="30"/>
          <w:szCs w:val="30"/>
        </w:rPr>
        <w:t xml:space="preserve">PHẦN B. PHÂN TÍCH THÔNG TIN CẦN BỔ SUNG</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Toàn bộ thông tin trong Bảng B.1 đã có sẵn trong báo cáo nhưng đang nằm ở chương khác. Việc đưa các nội dung này về mục 2.3 giúp mục trở nên đầy đủ mà không cần bổ sung bất kỳ nguồn ngoài nào — đây cũng là căn cứ để trả lời câu hỏi phản biện dạng “thông tin này lấy từ đâu”.</w:t>
      </w:r>
    </w:p>
    <w:p>
      <w:pPr>
        <w:sectPr>
          <w:footerReference w:type="default" r:id="rId7"/>
          <w:pgSz w:w="12240" w:h="15840" w:orient="portrait"/>
          <w:pgMar w:top="1440" w:right="1440" w:bottom="1440" w:left="1440" w:header="708" w:footer="708" w:gutter="0"/>
          <w:pgNumType/>
          <w:docGrid w:linePitch="360"/>
        </w:sectPr>
      </w:pPr>
    </w:p>
    <w:p>
      <w:pPr>
        <w:keepNext/>
        <w:spacing w:after="120" w:before="0" w:line="260" w:lineRule="auto"/>
        <w:jc w:val="center"/>
      </w:pPr>
      <w:r>
        <w:rPr>
          <w:rFonts w:ascii="Times New Roman" w:cs="Times New Roman" w:eastAsia="Times New Roman" w:hAnsi="Times New Roman"/>
          <w:b/>
          <w:bCs/>
          <w:i/>
          <w:iCs/>
          <w:color w:val="1B1C1D"/>
          <w:sz w:val="24"/>
          <w:szCs w:val="24"/>
        </w:rPr>
        <w:t xml:space="preserve">Bảng B.1. Truy vết nguồn nội bộ của các thông tin cần bổ sung vào mục 2.3</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4800"/>
      </w:tblGrid>
      <w:tr>
        <w:trPr>
          <w:cantSplit/>
          <w:tblHeader/>
        </w:trPr>
        <w:tc>
          <w:tcPr>
            <w:tcW w:type="dxa" w:w="46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Thông tin còn thiếu ở mục 2.3</w:t>
            </w:r>
          </w:p>
        </w:tc>
        <w:tc>
          <w:tcPr>
            <w:tcW w:type="dxa" w:w="35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Vị trí hiện tại trong báo cáo</w:t>
            </w:r>
          </w:p>
        </w:tc>
        <w:tc>
          <w:tcPr>
            <w:tcW w:type="dxa" w:w="48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Vì sao mục 2.3 cần có</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Nhà cung cấp HIS và EMR: công ty VietSens</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3, mục 3.2.1 – Quy trình khắc phục sự cố biểu mẫu EMR</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nêu nhà cung cấp thì mục hạ tầng phần mềm thiếu chủ thể sở hữu và vận hành</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Mô hình triển khai: thuê dịch vụ (SaaS)</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4.1.2</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Quyết định toàn bộ cách quản trị, chi phí và mức độ phụ thuộc nhà cung cấp</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Chữ ký số: nhà cung cấp SoftDreams; có máy chủ chứng thư số và API kết nối EMR</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mục 2.5; Chương 3 mục 3.2.1</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Là một cấu phần phần mềm độc lập, không phải một tính năng nội tại của EMR</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Mốc triển khai EMR: thẩm định 23/11/2023, bỏ bệnh án giấy từ 01/01/2024</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4.1.2 và 4.2.2</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Biến mô tả tĩnh thành mô tả có lộ trình phát triển</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Chuẩn tích hợp: HL7 FHIR, HL7 CDA, DICOM, JPEG2000, XML (BHXH), Modality Worklist</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4.2.3 và 4.3.1 – 4.3.2</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Đây là lớp kết dính của hạ tầng phần mềm y tế; thiếu phần này thì mục 2.3 chỉ còn là danh sách tên</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Hệ quản trị cơ sở dữ liệu: Oracle và cơ chế Data Guard Failover</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mục 2.5; Chương 5 mục 5.2</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Lớp phần mềm nền tảng bắt buộc phải có trong mục 2.3.1</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Nền tảng ảo hóa: cụm Proxmox HA</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Bảng 5 – cột ứng dụng của SAN</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Đã được nhắc ở mục 2.2 nhưng chưa hề được mô tả ở mục 2.3</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Phần mềm sao lưu chuyên dụng</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Bảng 2 – ghi chú cột RAM của Backup Server</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Đang bị ẩn trong một ô ghi chú của bảng phần cứng</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Bảo mật điểm cuối Check Point có bản quyền</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Bảng 9 – tiêu chí 117</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Là phần mềm nhưng đang được xếp hoàn toàn vào mục bảo mật</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Công cụ giám sát hệ thống</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3, mục 3.2</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Thành phần vận hành thiết yếu, chưa từng xuất hiện trong mục 2.3</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AI lâm sàng: FSpineNet, AI hỗ trợ X-quang phổi, AI kiểm soát gây mê</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1, mục 1.4.2</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Mục 2.3 mới chỉ nhắc FSpineNet một dòng, bỏ sót hai ứng dụng còn lại</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SNOMED CT – chuẩn hóa thuật ngữ lâm sàng</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1, mục 1.4.2 và 1.4.3</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Là lớp chuẩn hóa dữ liệu, chưa thuộc nhóm nào trong cấu trúc hiện tại</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Hệ thống quản lý máy thở trung tâm</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1, mục 1.4.2</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Phần mềm y tế chuyên khoa, hoàn toàn vắng mặt trong mục 2.3</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Phần mềm quản lý chất lượng, giám sát sự cố y khoa, kiosk khảo sát hài lòng</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1, mục 1.4.2</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Thuộc nhóm hỗ trợ vận hành, đang bị bỏ sót</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Ứng dụng GlobeDr phục vụ đặt lịch khám</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mục 2.2.1.3</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Đang được nhắc trong phần phần cứng của máy chủ Web, đúng ra phải thuộc mục 2.3</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KIOSK tra cứu; thanh toán POS và QR-Code</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4.1.1</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Nhóm phần mềm phục vụ người bệnh, chưa có trong mục 2.3</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Web Viewer và Mobile Viewer phục vụ hội chẩn đa điểm cầu</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4.3.2</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Cấu phần phần mềm của PACS, chưa được mô tả</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Dashboard điều hành thời gian thực cho lãnh đạo</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4.4.1</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Phần mềm quản trị cấp cao, chưa có trong mục 2.3</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Telemedicine và hội chẩn từ xa theo mô hình Viện – Trường</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1, mục 1.4.3</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Đang được nêu như một vai trò, cần được ghi nhận như một cấu phần phần mềm</w:t>
            </w:r>
          </w:p>
        </w:tc>
      </w:tr>
      <w:tr>
        <w:trPr>
          <w:cantSplit/>
        </w:trPr>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Cổng giám định BHYT và Cổng dữ liệu y tế quốc gia</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2, mục 2.2.1.1</w:t>
            </w:r>
          </w:p>
        </w:tc>
        <w:tc>
          <w:tcPr>
            <w:tcW w:type="dxa" w:w="4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Là hai hệ thống ngoại viện mà phần mềm bệnh viện phải liên thông</w:t>
            </w:r>
          </w:p>
        </w:tc>
      </w:tr>
      <w:tr>
        <w:trPr>
          <w:cantSplit/>
        </w:trPr>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Các phân hệ của HIS: dược, vật tư, giường bệnh, phòng mổ, cấp cứu, ngân hàng máu, dinh dưỡng, lịch hẹn, hàng đợi</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Chương 4, mục 4.1.1</w:t>
            </w:r>
          </w:p>
        </w:tc>
        <w:tc>
          <w:tcPr>
            <w:tcW w:type="dxa" w:w="4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Mục 2.3 mô tả HIS quá sơ sài so với thực tế đã khảo sát được</w:t>
            </w:r>
          </w:p>
        </w:tc>
      </w:tr>
    </w:tbl>
    <w:p>
      <w:pPr>
        <w:sectPr>
          <w:footerReference w:type="default" r:id="rId8"/>
          <w:pgSz w:w="15840" w:h="12240" w:orient="landscape"/>
          <w:pgMar w:top="1440" w:right="1440" w:bottom="1440" w:left="1440" w:header="708" w:footer="708" w:gutter="0"/>
          <w:pgNumType/>
          <w:docGrid w:linePitch="360"/>
        </w:sectPr>
      </w:pPr>
    </w:p>
    <w:p>
      <w:pPr>
        <w:pStyle w:val="Heading2"/>
        <w:keepNext/>
        <w:spacing w:after="140" w:before="0" w:line="300" w:lineRule="auto"/>
      </w:pPr>
      <w:r>
        <w:rPr>
          <w:rFonts w:ascii="Times New Roman" w:cs="Times New Roman" w:eastAsia="Times New Roman" w:hAnsi="Times New Roman"/>
          <w:b/>
          <w:bCs/>
          <w:i w:val="false"/>
          <w:iCs w:val="false"/>
          <w:color w:val="2E4F6B"/>
          <w:sz w:val="28"/>
          <w:szCs w:val="28"/>
        </w:rPr>
        <w:t xml:space="preserve">B.2. Ba khoảng trống chưa có dữ liệu ở bất kỳ chương nào</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Ba nội dung dưới đây không xuất hiện ở bất kỳ chương nào của báo cáo. Nếu muốn mục 2.3 thật sự đầy đủ, cần khảo sát bổ sung; nếu không, nên ghi nhận thẳng như giới hạn khảo sát — cách nhóm đã làm ở mục 3.1.2 và 3.1.3, hoàn toàn hợp lệ về mặt học thuật.</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B.2. Ba khoảng trống thông tin và ảnh hưởng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cantSplit/>
          <w:tblHeader/>
        </w:trPr>
        <w:tc>
          <w:tcPr>
            <w:tcW w:type="dxa" w:w="24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Khoảng trống</w:t>
            </w:r>
          </w:p>
        </w:tc>
        <w:tc>
          <w:tcPr>
            <w:tcW w:type="dxa" w:w="42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Hiện trạng trong báo cáo</w:t>
            </w:r>
          </w:p>
        </w:tc>
        <w:tc>
          <w:tcPr>
            <w:tcW w:type="dxa" w:w="27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Ảnh hưởng nếu thiếu</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Tình trạng bản quyền phần mềm</w:t>
            </w:r>
          </w:p>
        </w:tc>
        <w:tc>
          <w:tcPr>
            <w:tcW w:type="dxa" w:w="42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 chỉ có hai câu rời rạc: “hệ điều hành máy chủ có bản quyền” (mục 2.1) và “Endpoint Check Point có bản quyền” (Bảng 9). Chưa rõ số lượng giấy phép, hình thức mua và thời hạn</w:t>
            </w:r>
          </w:p>
        </w:tc>
        <w:tc>
          <w:tcPr>
            <w:tcW w:type="dxa" w:w="27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đánh giá được rủi ro pháp lý và chi phí duy trì hệ thống</w:t>
            </w:r>
          </w:p>
        </w:tc>
      </w:tr>
      <w:tr>
        <w:trPr>
          <w:cantSplit/>
        </w:trPr>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Kiến trúc kỹ thuật của HIS và EMR</w:t>
            </w:r>
          </w:p>
        </w:tc>
        <w:tc>
          <w:tcPr>
            <w:tcW w:type="dxa" w:w="42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 thông tin. Chưa rõ hệ thống theo mô hình khách – chủ, nền tảng web hay hỗn hợp; cũng chưa rõ ngôn ngữ và nền tảng phát triển</w:t>
            </w:r>
          </w:p>
        </w:tc>
        <w:tc>
          <w:tcPr>
            <w:tcW w:type="dxa" w:w="27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Ảnh hưởng trực tiếp tới lập luận về yêu cầu cấu hình máy trạm ở mục 2.2.2</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Cơ chế tích hợp giữa các phần mềm</w:t>
            </w:r>
          </w:p>
        </w:tc>
        <w:tc>
          <w:tcPr>
            <w:tcW w:type="dxa" w:w="42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Báo cáo nêu các chuẩn dữ liệu nhưng không nói rõ hệ thống dùng nền tảng trung gian tích hợp riêng hay tích hợp trực tiếp theo từng cặp</w:t>
            </w:r>
          </w:p>
        </w:tc>
        <w:tc>
          <w:tcPr>
            <w:tcW w:type="dxa" w:w="27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Đây là câu hỏi kỹ thuật hội đồng rất dễ đặt ra khi đã nhắc tới HL7 FHIR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E9E" w:sz="4"/>
              <w:left w:val="single" w:color="A79C86" w:sz="18"/>
              <w:bottom w:val="single" w:color="C8BE9E" w:sz="4"/>
              <w:right w:val="single" w:color="C8BE9E" w:sz="4"/>
            </w:tcBorders>
            <w:shd w:fill="F7F5EF" w:color="auto" w:val="clear"/>
            <w:tcMar>
              <w:top w:type="dxa" w:w="140"/>
              <w:left w:type="dxa" w:w="200"/>
              <w:bottom w:type="dxa" w:w="140"/>
              <w:right w:type="dxa" w:w="160"/>
            </w:tcMar>
          </w:tcPr>
          <w:p>
            <w:pPr>
              <w:spacing w:after="0" w:before="0" w:line="280" w:lineRule="auto"/>
              <w:jc w:val="both"/>
            </w:pPr>
            <w:r>
              <w:rPr>
                <w:rFonts w:ascii="Times New Roman" w:cs="Times New Roman" w:eastAsia="Times New Roman" w:hAnsi="Times New Roman"/>
                <w:b/>
                <w:bCs/>
                <w:i w:val="false"/>
                <w:iCs w:val="false"/>
                <w:color w:val="1B1C1D"/>
                <w:sz w:val="22"/>
                <w:szCs w:val="22"/>
              </w:rPr>
              <w:t xml:space="preserve">Khuyến nghị cách xử lý: </w:t>
            </w:r>
            <w:r>
              <w:rPr>
                <w:rFonts w:ascii="Times New Roman" w:cs="Times New Roman" w:eastAsia="Times New Roman" w:hAnsi="Times New Roman"/>
                <w:b w:val="false"/>
                <w:bCs w:val="false"/>
                <w:i w:val="false"/>
                <w:iCs w:val="false"/>
                <w:color w:val="1B1C1D"/>
                <w:sz w:val="22"/>
                <w:szCs w:val="22"/>
              </w:rPr>
              <w:t xml:space="preserve">thêm một đoạn ngắn ở cuối mục 2.3 ghi nhận rõ ba giới hạn này — nội dung đã được đưa vào mục 2.3.9 của bản viết lại. Chủ động nêu giới hạn khảo sát luôn được đánh giá cao hơn so với việc để hội đồng phát hiện.</w:t>
            </w:r>
          </w:p>
        </w:tc>
      </w:tr>
    </w:tbl>
    <w:p>
      <w:r>
        <w:br w:type="page"/>
      </w:r>
    </w:p>
    <w:p>
      <w:pPr>
        <w:pStyle w:val="Heading1"/>
        <w:keepNext/>
        <w:spacing w:after="140" w:before="0" w:line="300" w:lineRule="auto"/>
      </w:pPr>
      <w:r>
        <w:rPr>
          <w:rFonts w:ascii="Times New Roman" w:cs="Times New Roman" w:eastAsia="Times New Roman" w:hAnsi="Times New Roman"/>
          <w:b/>
          <w:bCs/>
          <w:i w:val="false"/>
          <w:iCs w:val="false"/>
          <w:color w:val="2E4F6B"/>
          <w:sz w:val="30"/>
          <w:szCs w:val="30"/>
        </w:rPr>
        <w:t xml:space="preserve">PHẦN C. BẢN VIẾT LẠI HOÀN CHỈNH MỤC 2.3</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Toàn bộ nội dung dưới đây có thể chèn thẳng vào báo cáo. Cấu trúc gồm chín mục con, kèm hai hình và chín bảng. Ký hiệu hình và bảng đã được đánh số tiếp nối Chương 2 hiện tại; xem lưu ý ở Phần D về việc đánh số lại các hình, bảng phía sau.</w:t>
      </w:r>
    </w:p>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2.3. Hạ tầng phần mềm</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Nếu hạ tầng phần cứng là nền móng vật lý thì hạ tầng phần mềm là nơi toàn bộ giá trị nghiệp vụ của hệ thống công nghệ thông tin bệnh viện được hiện thực hóa. Tại Bệnh viện Nguyễn Tri Phương, hệ thống phần mềm không được xây dựng như những ứng dụng rời rạc mà được tổ chức thành bốn tầng có quan hệ phụ thuộc từ dưới lên: tầng nền tảng vận hành, tầng nghiệp vụ y tế lõi, tầng hỗ trợ và mở rộng, và tầng giao tiếp với người bệnh.</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Xuyên suốt bốn tầng này là lớp chuẩn dữ liệu và cơ chế tích hợp, đóng vai trò kết dính để các phần mềm khác nhau — thường do các nhà cung cấp khác nhau xây dựng — trao đổi được dữ liệu với nhau. Cách tổ chức phân tầng cũng là cơ sở để trình bày mục này: các mục 2.3.1 đến 2.3.5 lần lượt mô tả từng nhóm phần mềm, mục 2.3.6 trình bày lớp chuẩn dữ liệu và tích hợp, mục 2.3.7 làm rõ mô hình cung cấp và quản lý vòng đời phần mềm, và mục 2.3.8 đối chiếu toàn bộ hạ tầng phần mềm với hạ tầng phần cứng đã trình bày ở mục 2.2.</w:t>
      </w:r>
    </w:p>
    <w:p>
      <w:pPr>
        <w:spacing w:after="60" w:before="200" w:line="240" w:lineRule="auto"/>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00475"/>
                    </a:xfrm>
                    <a:prstGeom prst="rect">
                      <a:avLst/>
                    </a:prstGeom>
                  </pic:spPr>
                </pic:pic>
              </a:graphicData>
            </a:graphic>
          </wp:inline>
        </w:drawing>
      </w:r>
    </w:p>
    <w:p>
      <w:pPr>
        <w:keepNext w:val="false"/>
        <w:spacing w:after="120" w:before="160" w:line="260" w:lineRule="auto"/>
        <w:jc w:val="center"/>
      </w:pPr>
      <w:r>
        <w:rPr>
          <w:rFonts w:ascii="Times New Roman" w:cs="Times New Roman" w:eastAsia="Times New Roman" w:hAnsi="Times New Roman"/>
          <w:b/>
          <w:bCs/>
          <w:i/>
          <w:iCs/>
          <w:color w:val="1B1C1D"/>
          <w:sz w:val="24"/>
          <w:szCs w:val="24"/>
        </w:rPr>
        <w:t xml:space="preserve">Hình 8. Kiến trúc phân tầng hạ tầng phần mềm tại Bệnh viện Nguyễn Tri Phương</w:t>
      </w:r>
    </w:p>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2.3.1. Phần mềm nền tảng và vận hành hệ thống</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Tầng nền tảng là lớp phần mềm không trực tiếp phục vụ nghiệp vụ khám chữa bệnh nhưng quyết định tính ổn định, tính sẵn sàng và khả năng phục hồi của toàn bộ hệ thống bên trên. Đây cũng là lớp phần mềm do chính Phòng Công nghệ Thông tin của bệnh viện quản trị trực tiếp.</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9. Các thành phần phần mềm nền tảng tại Bệnh viện Nguyễn Tri Phương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cantSplit/>
          <w:tblHeader/>
        </w:trPr>
        <w:tc>
          <w:tcPr>
            <w:tcW w:type="dxa" w:w="19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Lớp phần mềm</w:t>
            </w:r>
          </w:p>
        </w:tc>
        <w:tc>
          <w:tcPr>
            <w:tcW w:type="dxa" w:w="33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Thành phần tại bệnh viện</w:t>
            </w:r>
          </w:p>
        </w:tc>
        <w:tc>
          <w:tcPr>
            <w:tcW w:type="dxa" w:w="41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Vai trò trong hạ tầng</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Hệ điều hành máy chủ</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Windows Server và Linux, có bản quyền và còn trong thời gian được hỗ trợ</w:t>
            </w:r>
          </w:p>
        </w:tc>
        <w:tc>
          <w:tcPr>
            <w:tcW w:type="dxa" w:w="41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Nền tảng vận hành cho HIS, LIS và PACS; việc duy trì bản quyền và hạn hỗ trợ là điều kiện để hệ thống tiếp tục nhận bản vá bảo mật</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Hệ quản trị cơ sở dữ liệu</w:t>
            </w:r>
          </w:p>
        </w:tc>
        <w:tc>
          <w:tcPr>
            <w:tcW w:type="dxa" w:w="3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Oracle Database, có thiết lập cơ chế Data Guard Failover</w:t>
            </w:r>
          </w:p>
        </w:tc>
        <w:tc>
          <w:tcPr>
            <w:tcW w:type="dxa" w:w="41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Lưu trữ và bảo đảm toàn vẹn dữ liệu HIS/EMR; cho phép chuyển sang máy chủ dự phòng khi máy chính gặp sự cố phần cứng hoặc bị tấn công mã hóa dữ liệu</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Nền tảng ảo hóa</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Cụm ảo hóa Proxmox cấu hình sẵn sàng cao (HA), sử dụng hệ thống SAN làm kho lưu trữ chung</w:t>
            </w:r>
          </w:p>
        </w:tc>
        <w:tc>
          <w:tcPr>
            <w:tcW w:type="dxa" w:w="41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Cho phép vận hành nhiều máy chủ ảo trên nền phần cứng vật lý và tự động chuyển máy ảo sang nút còn hoạt động khi một nút gặp sự cố</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mềm sao lưu – phục hồi</w:t>
            </w:r>
          </w:p>
        </w:tc>
        <w:tc>
          <w:tcPr>
            <w:tcW w:type="dxa" w:w="3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Phần mềm sao lưu chuyên dụng vận hành trên Backup Server</w:t>
            </w:r>
          </w:p>
        </w:tc>
        <w:tc>
          <w:tcPr>
            <w:tcW w:type="dxa" w:w="41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Sao lưu tự động theo lịch giờ, ngày, tháng và năm; tạo bản sao bất biến nhằm chống mã hóa dữ liệu tống tiền</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Bảo mật điểm cuối</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Check Point Endpoint có bản quyền, được cập nhật thường xuyên</w:t>
            </w:r>
          </w:p>
        </w:tc>
        <w:tc>
          <w:tcPr>
            <w:tcW w:type="dxa" w:w="41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Phòng chống mã độc trên máy chủ và máy trạm; kết hợp cơ chế ngăn chặn thiết bị lưu trữ ngoài</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Giám sát hệ thống</w:t>
            </w:r>
          </w:p>
        </w:tc>
        <w:tc>
          <w:tcPr>
            <w:tcW w:type="dxa" w:w="3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Công cụ giám sát (monitoring) phục vụ quy trình xử lý sự cố công nghệ thông tin</w:t>
            </w:r>
          </w:p>
        </w:tc>
        <w:tc>
          <w:tcPr>
            <w:tcW w:type="dxa" w:w="41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Theo dõi tình trạng máy chủ và dịch vụ, cảnh báo sớm cho Phòng Công nghệ Thông tin</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Ký số</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Phần mềm và máy chủ chứng thư số kết nối với EMR qua API; dịch vụ do SoftDreams cung cấp</w:t>
            </w:r>
          </w:p>
        </w:tc>
        <w:tc>
          <w:tcPr>
            <w:tcW w:type="dxa" w:w="41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Bảo đảm giá trị pháp lý và tính bất khả sửa đổi của hồ sơ bệnh án điện tử sau khi ký</w:t>
            </w:r>
          </w:p>
        </w:tc>
      </w:tr>
    </w:tbl>
    <w:p>
      <w:pPr>
        <w:spacing w:after="120" w:before="20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Cách tổ chức này thể hiện nguyên tắc tách bạch trách nhiệm: mỗi lớp nền tảng phụ trách một khía cạnh riêng — vận hành, dữ liệu, tài nguyên, phục hồi, an toàn, giám sát và pháp lý — tương ứng với mô hình đa máy chủ đã trình bày tại mục 2.2.1.</w:t>
      </w:r>
    </w:p>
    <w:p>
      <w:pPr>
        <w:sectPr>
          <w:footerReference w:type="default" r:id="rId9"/>
          <w:pgSz w:w="12240" w:h="15840" w:orient="portrait"/>
          <w:pgMar w:top="1440" w:right="1440" w:bottom="1440" w:left="1440" w:header="708" w:footer="708" w:gutter="0"/>
          <w:pgNumType/>
          <w:docGrid w:linePitch="360"/>
        </w:sectPr>
      </w:pPr>
    </w:p>
    <w:p>
      <w:pPr>
        <w:pStyle w:val="Heading3"/>
        <w:keepNext/>
        <w:spacing w:after="140" w:before="0" w:line="300" w:lineRule="auto"/>
      </w:pPr>
      <w:r>
        <w:rPr>
          <w:rFonts w:ascii="Times New Roman" w:cs="Times New Roman" w:eastAsia="Times New Roman" w:hAnsi="Times New Roman"/>
          <w:b/>
          <w:bCs/>
          <w:i w:val="false"/>
          <w:iCs w:val="false"/>
          <w:color w:val="1B1C1D"/>
          <w:sz w:val="26"/>
          <w:szCs w:val="26"/>
        </w:rPr>
        <w:t xml:space="preserve">2.3.2. Nhóm phần mềm nghiệp vụ y tế lõi</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Bốn hệ thống HIS, LIS, EMR và RIS-PACS tạo thành trục xương sống của hạ tầng phần mềm. Đặc điểm quan trọng nhất trong cách tổ chức của bệnh viện là phân định rõ hai trục nghiệp vụ: HIS đảm nhiệm trục hành chính – tài chính, còn EMR đảm nhiệm trục lâm sàng. LIS và RIS-PACS là hai hệ thống chuyên khoa, cung cấp dữ liệu cận lâm sàng cho cả hai trục nói trên.</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10. Tổng hợp bốn hệ thống phần mềm nghiệp vụ y tế lõi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60"/>
        <w:gridCol w:w="2800"/>
        <w:gridCol w:w="2650"/>
        <w:gridCol w:w="2800"/>
        <w:gridCol w:w="2950"/>
      </w:tblGrid>
      <w:tr>
        <w:trPr>
          <w:cantSplit/>
          <w:tblHeader/>
        </w:trPr>
        <w:tc>
          <w:tcPr>
            <w:tcW w:type="dxa" w:w="17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Tiêu chí</w:t>
            </w:r>
          </w:p>
        </w:tc>
        <w:tc>
          <w:tcPr>
            <w:tcW w:type="dxa" w:w="28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HIS</w:t>
            </w:r>
          </w:p>
        </w:tc>
        <w:tc>
          <w:tcPr>
            <w:tcW w:type="dxa" w:w="265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LIS</w:t>
            </w:r>
          </w:p>
        </w:tc>
        <w:tc>
          <w:tcPr>
            <w:tcW w:type="dxa" w:w="28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EMR</w:t>
            </w:r>
          </w:p>
        </w:tc>
        <w:tc>
          <w:tcPr>
            <w:tcW w:type="dxa" w:w="295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RIS-PACS</w:t>
            </w:r>
          </w:p>
        </w:tc>
      </w:tr>
      <w:tr>
        <w:trPr>
          <w:cantSplit/>
        </w:trPr>
        <w:tc>
          <w:tcPr>
            <w:tcW w:type="dxa" w:w="1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Tên đầy đủ</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Hospital Information System</w:t>
            </w:r>
          </w:p>
        </w:tc>
        <w:tc>
          <w:tcPr>
            <w:tcW w:type="dxa" w:w="26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Laboratory Information System</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Electronic Medical Record</w:t>
            </w:r>
          </w:p>
        </w:tc>
        <w:tc>
          <w:tcPr>
            <w:tcW w:type="dxa" w:w="29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Radiology Information System – Picture Archiving and Communication System</w:t>
            </w:r>
          </w:p>
        </w:tc>
      </w:tr>
      <w:tr>
        <w:trPr>
          <w:cantSplit/>
        </w:trPr>
        <w:tc>
          <w:tcPr>
            <w:tcW w:type="dxa" w:w="1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Trục nghiệp vụ</w:t>
            </w:r>
          </w:p>
        </w:tc>
        <w:tc>
          <w:tcPr>
            <w:tcW w:type="dxa" w:w="2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Hành chính – tài chính</w:t>
            </w:r>
          </w:p>
        </w:tc>
        <w:tc>
          <w:tcPr>
            <w:tcW w:type="dxa" w:w="265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Cận lâm sàng (xét nghiệm)</w:t>
            </w:r>
          </w:p>
        </w:tc>
        <w:tc>
          <w:tcPr>
            <w:tcW w:type="dxa" w:w="2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Lâm sàng</w:t>
            </w:r>
          </w:p>
        </w:tc>
        <w:tc>
          <w:tcPr>
            <w:tcW w:type="dxa" w:w="295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Cận lâm sàng (chẩn đoán hình ảnh)</w:t>
            </w:r>
          </w:p>
        </w:tc>
      </w:tr>
      <w:tr>
        <w:trPr>
          <w:cantSplit/>
        </w:trPr>
        <w:tc>
          <w:tcPr>
            <w:tcW w:type="dxa" w:w="1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Phạm vi quản lý</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Đăng ký tiếp nhận, thông tin hành chính người bệnh, nhập và xuất viện, viện phí (tạm ứng – thanh toán), dược, vật tư y tế, giường bệnh, phòng mổ, cấp cứu, lịch hẹn, hàng đợi, dinh dưỡng, báo cáo thống kê</w:t>
            </w:r>
          </w:p>
        </w:tc>
        <w:tc>
          <w:tcPr>
            <w:tcW w:type="dxa" w:w="26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Toàn bộ vòng đời mẫu xét nghiệm: nhận mẫu, kết nối máy phân tích, trả kết quả</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Lịch sử khám, chẩn đoán, y lệnh, đơn thuốc, tờ điều trị của điều dưỡng, tiền sử bệnh và dị ứng thuốc</w:t>
            </w:r>
          </w:p>
        </w:tc>
        <w:tc>
          <w:tcPr>
            <w:tcW w:type="dxa" w:w="29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Tiếp nhận chỉ định chụp chiếu; thu nhận, lưu trữ, truyền tải và hiển thị hình ảnh y khoa</w:t>
            </w:r>
          </w:p>
        </w:tc>
      </w:tr>
      <w:tr>
        <w:trPr>
          <w:cantSplit/>
        </w:trPr>
        <w:tc>
          <w:tcPr>
            <w:tcW w:type="dxa" w:w="1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Đặc trưng kỹ thuật</w:t>
            </w:r>
          </w:p>
        </w:tc>
        <w:tc>
          <w:tcPr>
            <w:tcW w:type="dxa" w:w="2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Triển khai theo mô hình thuê dịch vụ (SaaS) thay vì tự xây dựng</w:t>
            </w:r>
          </w:p>
        </w:tc>
        <w:tc>
          <w:tcPr>
            <w:tcW w:type="dxa" w:w="265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Kết nối hai chiều (interfacing) với máy huyết học và sinh hóa; định danh mẫu bằng mã vạch</w:t>
            </w:r>
          </w:p>
        </w:tc>
        <w:tc>
          <w:tcPr>
            <w:tcW w:type="dxa" w:w="2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Ký số bằng chứng thư cá nhân; hồ sơ tự động khởi tạo ngay khi HIS tạo lượt khám, không nhập tay</w:t>
            </w:r>
          </w:p>
        </w:tc>
        <w:tc>
          <w:tcPr>
            <w:tcW w:type="dxa" w:w="295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Kết nối hai chiều với thiết bị theo chuẩn DICOM; Modality Worklist tự động cập nhật danh sách chỉ định; nén ảnh JPEG2000</w:t>
            </w:r>
          </w:p>
        </w:tc>
      </w:tr>
      <w:tr>
        <w:trPr>
          <w:cantSplit/>
        </w:trPr>
        <w:tc>
          <w:tcPr>
            <w:tcW w:type="dxa" w:w="1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Cấu phần hiển thị</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Giao diện máy trạm tại quầy tiếp nhận và phòng khám</w:t>
            </w:r>
          </w:p>
        </w:tc>
        <w:tc>
          <w:tcPr>
            <w:tcW w:type="dxa" w:w="26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Giao diện tại khoa xét nghiệm</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Giao diện máy trạm và thiết bị di động</w:t>
            </w:r>
          </w:p>
        </w:tc>
        <w:tc>
          <w:tcPr>
            <w:tcW w:type="dxa" w:w="29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Workstation, Web Viewer và Mobile Viewer hỗ trợ hội chẩn đa điểm cầu</w:t>
            </w:r>
          </w:p>
        </w:tc>
      </w:tr>
      <w:tr>
        <w:trPr>
          <w:cantSplit/>
        </w:trPr>
        <w:tc>
          <w:tcPr>
            <w:tcW w:type="dxa" w:w="1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Liên thông chính</w:t>
            </w:r>
          </w:p>
        </w:tc>
        <w:tc>
          <w:tcPr>
            <w:tcW w:type="dxa" w:w="2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Với EMR, LIS, RIS-PACS; với Cổng giám định BHYT theo định dạng XML; với Cổng dữ liệu y tế quốc gia</w:t>
            </w:r>
          </w:p>
        </w:tc>
        <w:tc>
          <w:tcPr>
            <w:tcW w:type="dxa" w:w="265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Nhận chỉ định từ HIS; trả kết quả về EMR</w:t>
            </w:r>
          </w:p>
        </w:tc>
        <w:tc>
          <w:tcPr>
            <w:tcW w:type="dxa" w:w="2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Với HIS, LIS và RIS-PACS; xuất dữ liệu theo chuẩn HL7 CDA/FHIR</w:t>
            </w:r>
          </w:p>
        </w:tc>
        <w:tc>
          <w:tcPr>
            <w:tcW w:type="dxa" w:w="295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Nhận chỉ định từ HIS/RIS theo chuẩn HL7; đưa hình ảnh vào hồ sơ bệnh án trên EMR</w:t>
            </w:r>
          </w:p>
        </w:tc>
      </w:tr>
      <w:tr>
        <w:trPr>
          <w:cantSplit/>
        </w:trPr>
        <w:tc>
          <w:tcPr>
            <w:tcW w:type="dxa" w:w="1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Mốc triển khai</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Vận hành ổn định, là nền tảng kết nối mọi luồng dữ liệu</w:t>
            </w:r>
          </w:p>
        </w:tc>
        <w:tc>
          <w:tcPr>
            <w:tcW w:type="dxa" w:w="26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Đang vận hành</w:t>
            </w:r>
          </w:p>
        </w:tc>
        <w:tc>
          <w:tcPr>
            <w:tcW w:type="dxa" w:w="2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Được Bộ Y tế thẩm định ngày 23/11/2023; áp dụng toàn viện và ngừng sử dụng bệnh án giấy từ 01/01/2024</w:t>
            </w:r>
          </w:p>
        </w:tc>
        <w:tc>
          <w:tcPr>
            <w:tcW w:type="dxa" w:w="295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Tích hợp toàn diện từ năm 2023, thay thế hoàn toàn phim in</w:t>
            </w:r>
          </w:p>
        </w:tc>
      </w:tr>
    </w:tbl>
    <w:p>
      <w:pPr>
        <w:sectPr>
          <w:footerReference w:type="default" r:id="rId10"/>
          <w:pgSz w:w="15840" w:h="12240" w:orient="landscape"/>
          <w:pgMar w:top="1440" w:right="1440" w:bottom="1440" w:left="1440" w:header="708" w:footer="708" w:gutter="0"/>
          <w:pgNumType/>
          <w:docGrid w:linePitch="360"/>
        </w:sectPr>
      </w:pPr>
    </w:p>
    <w:p>
      <w:pPr>
        <w:pStyle w:val="Heading4"/>
        <w:keepNext/>
        <w:spacing w:after="140" w:before="240" w:line="300" w:lineRule="auto"/>
      </w:pPr>
      <w:r>
        <w:rPr>
          <w:rFonts w:ascii="Times New Roman" w:cs="Times New Roman" w:eastAsia="Times New Roman" w:hAnsi="Times New Roman"/>
          <w:b/>
          <w:bCs/>
          <w:i w:val="false"/>
          <w:iCs w:val="false"/>
          <w:color w:val="1B1C1D"/>
          <w:sz w:val="26"/>
          <w:szCs w:val="26"/>
        </w:rPr>
        <w:t xml:space="preserve">Đặc điểm về mô hình triển khai</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Hệ thống HIS — và cùng với nó là EMR — được bệnh viện triển khai theo mô hình thuê dịch vụ, với công ty VietSens là đơn vị cung cấp và hỗ trợ kỹ thuật. Lựa chọn này định hình toàn bộ cách vận hành phần mềm tại bệnh viện: Phòng Công nghệ Thông tin đóng vai trò đầu mối tiếp nhận, phân loại sự cố và phối hợp với nhà cung cấp, thay vì trực tiếp can thiệp vào mã nguồn. Mọi yêu cầu thay đổi nghiệp vụ — điển hình là việc thêm mới hoặc chỉnh sửa biểu mẫu bệnh án điện tử — đều đi qua quy trình phê duyệt nội bộ rồi mới chuyển sang nhà cung cấp thực hiện; nội dung chi tiết được trình bày tại mục 3.2.</w:t>
      </w:r>
    </w:p>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2.3.3. Nhóm phần mềm hỗ trợ quyết định lâm sàng và chuẩn hóa dữ liệu</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Đây là nhóm phần mềm thể hiện rõ nhất định hướng xây dựng bệnh viện thông minh của đơn vị. Khác với bốn hệ thống lõi vốn tạo ra dữ liệu, nhóm này khai thác chính nguồn dữ liệu đó để hỗ trợ nhân viên y tế trong quá trình ra quyết định chuyên môn.</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11. Các ứng dụng trí tuệ nhân tạo và chuẩn hóa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660"/>
        <w:gridCol w:w="2000"/>
      </w:tblGrid>
      <w:tr>
        <w:trPr>
          <w:cantSplit/>
          <w:tblHeader/>
        </w:trPr>
        <w:tc>
          <w:tcPr>
            <w:tcW w:type="dxa" w:w="19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Ứng dụng</w:t>
            </w:r>
          </w:p>
        </w:tc>
        <w:tc>
          <w:tcPr>
            <w:tcW w:type="dxa" w:w="18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Lĩnh vực áp dụng</w:t>
            </w:r>
          </w:p>
        </w:tc>
        <w:tc>
          <w:tcPr>
            <w:tcW w:type="dxa" w:w="36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Cách thức hoạt động</w:t>
            </w:r>
          </w:p>
        </w:tc>
        <w:tc>
          <w:tcPr>
            <w:tcW w:type="dxa" w:w="20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Vị trí trong hạ tầng</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FSpineNet</w:t>
            </w:r>
          </w:p>
        </w:tc>
        <w:tc>
          <w:tcPr>
            <w:tcW w:type="dxa" w:w="1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Chẩn đoán hình ảnh cột sống</w:t>
            </w:r>
          </w:p>
        </w:tc>
        <w:tc>
          <w:tcPr>
            <w:tcW w:type="dxa" w:w="36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Mô hình do chính bệnh viện huấn luyện trên dữ liệu X-quang thực tế, nhận diện tổn thương cột sống và rút ngắn thời gian đọc phim</w:t>
            </w:r>
          </w:p>
        </w:tc>
        <w:tc>
          <w:tcPr>
            <w:tcW w:type="dxa" w:w="2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Tích hợp vào luồng xử lý ảnh của PACS</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AI hỗ trợ X-quang phổi</w:t>
            </w:r>
          </w:p>
        </w:tc>
        <w:tc>
          <w:tcPr>
            <w:tcW w:type="dxa" w:w="1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Chẩn đoán hình ảnh lồng ngực</w:t>
            </w:r>
          </w:p>
        </w:tc>
        <w:tc>
          <w:tcPr>
            <w:tcW w:type="dxa" w:w="36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Phát hiện viêm phổi, nốt phổi, tràn dịch; tự động phân đoạn tim và phổi, hiển thị trực quan vùng bệnh lý</w:t>
            </w:r>
          </w:p>
        </w:tc>
        <w:tc>
          <w:tcPr>
            <w:tcW w:type="dxa" w:w="2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Tích hợp vào PACS</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AI kiểm soát gây mê</w:t>
            </w:r>
          </w:p>
        </w:tc>
        <w:tc>
          <w:tcPr>
            <w:tcW w:type="dxa" w:w="18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Gây mê hồi sức</w:t>
            </w:r>
          </w:p>
        </w:tc>
        <w:tc>
          <w:tcPr>
            <w:tcW w:type="dxa" w:w="36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Cá nhân hóa liều lượng thuốc mê theo tuổi, giới tính, chỉ số khối cơ thể và các thông số của người bệnh</w:t>
            </w:r>
          </w:p>
        </w:tc>
        <w:tc>
          <w:tcPr>
            <w:tcW w:type="dxa" w:w="2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Phần mềm chuyên khoa, khai thác dữ liệu từ HIS và EMR</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SNOMED CT</w:t>
            </w:r>
          </w:p>
        </w:tc>
        <w:tc>
          <w:tcPr>
            <w:tcW w:type="dxa" w:w="18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Chuẩn hóa thuật ngữ lâm sàng</w:t>
            </w:r>
          </w:p>
        </w:tc>
        <w:tc>
          <w:tcPr>
            <w:tcW w:type="dxa" w:w="36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Ánh xạ y lệnh của bác sĩ sang bộ danh pháp lâm sàng chuẩn quốc tế; đang trong giai đoạn nghiên cứu ứng dụng AI hỗ trợ tra cứu</w:t>
            </w:r>
          </w:p>
        </w:tc>
        <w:tc>
          <w:tcPr>
            <w:tcW w:type="dxa" w:w="2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Lớp chuẩn hóa dữ liệu phục vụ EMR và liên thông dữ liệu</w:t>
            </w:r>
          </w:p>
        </w:tc>
      </w:tr>
    </w:tbl>
    <w:p>
      <w:pPr>
        <w:spacing w:after="120" w:before="20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Việc áp dụng danh pháp chuẩn quốc tế có ý nghĩa vượt ra ngoài phạm vi một phần mềm đơn lẻ: đây là điều kiện kỹ thuật để dữ liệu lâm sàng của bệnh viện có thể liên thông với hệ thống y tế quốc gia và được kiểm tra chất lượng một cách tự động.</w:t>
      </w:r>
    </w:p>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2.3.4. Nhóm phần mềm quản lý điều hành và hỗ trợ vận hành</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Bên cạnh nghiệp vụ chuyên môn, bệnh viện chú trọng nhóm phần mềm phục vụ công tác quản trị, điều hành và bảo đảm chất lượng. Nhóm này hướng tới người dùng nội bộ ở cả cấp quản lý và cấp khoa phòng.</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12. Phần mềm quản lý điều hành và hỗ trợ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cantSplit/>
          <w:tblHeader/>
        </w:trPr>
        <w:tc>
          <w:tcPr>
            <w:tcW w:type="dxa" w:w="24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Phần mềm</w:t>
            </w:r>
          </w:p>
        </w:tc>
        <w:tc>
          <w:tcPr>
            <w:tcW w:type="dxa" w:w="25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Phạm vi triển khai</w:t>
            </w:r>
          </w:p>
        </w:tc>
        <w:tc>
          <w:tcPr>
            <w:tcW w:type="dxa" w:w="44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Chức năng chính</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E-Office
(quản lý điều hành)</w:t>
            </w:r>
          </w:p>
        </w:tc>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Toàn bộ khối hành chính và các khoa, phòng</w:t>
            </w:r>
          </w:p>
        </w:tc>
        <w:tc>
          <w:tcPr>
            <w:tcW w:type="dxa" w:w="44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Quản lý văn bản đi và đến, lịch công tác, ký số văn bản hành chính, giao việc trực tuyến</w:t>
            </w:r>
          </w:p>
        </w:tc>
      </w:tr>
      <w:tr>
        <w:trPr>
          <w:cantSplit/>
        </w:trPr>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Tài chính – Kế toán và Nhân sự</w:t>
            </w:r>
          </w:p>
        </w:tc>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Khối quản trị</w:t>
            </w:r>
          </w:p>
        </w:tc>
        <w:tc>
          <w:tcPr>
            <w:tcW w:type="dxa" w:w="44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Quản lý lương, bảo hiểm, kho dược và vật tư y tế; tích hợp thanh toán qua mã QR</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Quản lý chất lượng và sự cố y khoa</w:t>
            </w:r>
          </w:p>
        </w:tc>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Toàn viện</w:t>
            </w:r>
          </w:p>
        </w:tc>
        <w:tc>
          <w:tcPr>
            <w:tcW w:type="dxa" w:w="44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Cho phép nhân viên báo cáo nhanh rủi ro và sự cố y khoa, phục vụ cải tiến chất lượng liên tục</w:t>
            </w:r>
          </w:p>
        </w:tc>
      </w:tr>
      <w:tr>
        <w:trPr>
          <w:cantSplit/>
        </w:trPr>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Khảo sát hài lòng người bệnh</w:t>
            </w:r>
          </w:p>
        </w:tc>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Các kiosk đặt tại khu vực dịch vụ</w:t>
            </w:r>
          </w:p>
        </w:tc>
        <w:tc>
          <w:tcPr>
            <w:tcW w:type="dxa" w:w="44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Thu thập đánh giá của người bệnh làm đầu vào cho công tác cải tiến chất lượng</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Quản lý máy thở trung tâm</w:t>
            </w:r>
          </w:p>
        </w:tc>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Khoa Hồi sức tích cực</w:t>
            </w:r>
          </w:p>
        </w:tc>
        <w:tc>
          <w:tcPr>
            <w:tcW w:type="dxa" w:w="44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Quản lý tập trung thông số máy thở, giám sát từ xa và cảnh báo tức thời đối với người bệnh nặng</w:t>
            </w:r>
          </w:p>
        </w:tc>
      </w:tr>
      <w:tr>
        <w:trPr>
          <w:cantSplit/>
        </w:trPr>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Dashboard điều hành</w:t>
            </w:r>
          </w:p>
        </w:tc>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Ban lãnh đạo bệnh viện</w:t>
            </w:r>
          </w:p>
        </w:tc>
        <w:tc>
          <w:tcPr>
            <w:tcW w:type="dxa" w:w="44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Hiển thị theo thời gian thực số lượng người bệnh, tình trạng thiết bị, nguy cơ tồn đọng hồ sơ, doanh thu và tồn kho thuốc, vật tư</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Telemedicine – hội chẩn từ xa</w:t>
            </w:r>
          </w:p>
        </w:tc>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Kết nối với chuyên gia đầu ngành theo mô hình Viện – Trường</w:t>
            </w:r>
          </w:p>
        </w:tc>
        <w:tc>
          <w:tcPr>
            <w:tcW w:type="dxa" w:w="44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Hội chẩn trực tuyến, giúp người bệnh tiếp cận kỹ thuật cao ngay tại bệnh viện</w:t>
            </w:r>
          </w:p>
        </w:tc>
      </w:tr>
    </w:tbl>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2.3.5. Nhóm phần mềm phục vụ người bệnh</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Khác với ba nhóm trên vốn hướng tới người dùng nội bộ, nhóm này là bề mặt tiếp xúc trực tiếp giữa hệ thống công nghệ thông tin và người bệnh. Do phải hoạt động ở vùng mạng hướng ra Internet, nhóm phần mềm này chịu những ràng buộc riêng về bảo mật đã được trình bày tại mục 2.2.1.3.</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13. Phần mềm và dịch vụ số phục vụ người bệnh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cantSplit/>
          <w:tblHeader/>
        </w:trPr>
        <w:tc>
          <w:tcPr>
            <w:tcW w:type="dxa" w:w="23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Thành phần</w:t>
            </w:r>
          </w:p>
        </w:tc>
        <w:tc>
          <w:tcPr>
            <w:tcW w:type="dxa" w:w="37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Chức năng</w:t>
            </w:r>
          </w:p>
        </w:tc>
        <w:tc>
          <w:tcPr>
            <w:tcW w:type="dxa" w:w="33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Ghi chú kỹ thuật</w:t>
            </w:r>
          </w:p>
        </w:tc>
      </w:tr>
      <w:tr>
        <w:trPr>
          <w:cantSplit/>
        </w:trPr>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Ứng dụng GlobeDr</w:t>
            </w:r>
          </w:p>
        </w:tc>
        <w:tc>
          <w:tcPr>
            <w:tcW w:type="dxa" w:w="3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Đăng ký khám trực tuyến, đặt lịch hẹn, điều tiết lưu lượng người bệnh</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Xử lý qua máy chủ Web và ứng dụng di động đặt trong vùng DMZ</w:t>
            </w:r>
          </w:p>
        </w:tc>
      </w:tr>
      <w:tr>
        <w:trPr>
          <w:cantSplit/>
        </w:trPr>
        <w:tc>
          <w:tcPr>
            <w:tcW w:type="dxa" w:w="2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Website bệnh viện</w:t>
            </w:r>
          </w:p>
        </w:tc>
        <w:tc>
          <w:tcPr>
            <w:tcW w:type="dxa" w:w="3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Tra cứu thông tin khoa phòng, lịch làm việc của bác sĩ, quy trình khám chữa bệnh</w:t>
            </w:r>
          </w:p>
        </w:tc>
        <w:tc>
          <w:tcPr>
            <w:tcW w:type="dxa" w:w="3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Bắt buộc sử dụng chứng chỉ SSL/HTTPS</w:t>
            </w:r>
          </w:p>
        </w:tc>
      </w:tr>
      <w:tr>
        <w:trPr>
          <w:cantSplit/>
        </w:trPr>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Tra cứu kết quả trực tuyến</w:t>
            </w:r>
          </w:p>
        </w:tc>
        <w:tc>
          <w:tcPr>
            <w:tcW w:type="dxa" w:w="3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Người bệnh dùng mã QR để xem kết quả xét nghiệm và chẩn đoán hình ảnh từ xa</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Truy xuất qua API an toàn, không kết nối trực tiếp tới cơ sở dữ liệu</w:t>
            </w:r>
          </w:p>
        </w:tc>
      </w:tr>
      <w:tr>
        <w:trPr>
          <w:cantSplit/>
        </w:trPr>
        <w:tc>
          <w:tcPr>
            <w:tcW w:type="dxa" w:w="2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KIOSK tra cứu</w:t>
            </w:r>
          </w:p>
        </w:tc>
        <w:tc>
          <w:tcPr>
            <w:tcW w:type="dxa" w:w="3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Tra cứu thông tin và hồ sơ ngay tại bệnh viện</w:t>
            </w:r>
          </w:p>
        </w:tc>
        <w:tc>
          <w:tcPr>
            <w:tcW w:type="dxa" w:w="3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Đáp ứng tiêu chí 60 của Thông tư 54/2017/TT-BYT</w:t>
            </w:r>
          </w:p>
        </w:tc>
      </w:tr>
      <w:tr>
        <w:trPr>
          <w:cantSplit/>
        </w:trPr>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Thanh toán điện tử</w:t>
            </w:r>
          </w:p>
        </w:tc>
        <w:tc>
          <w:tcPr>
            <w:tcW w:type="dxa" w:w="3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Thanh toán viện phí qua máy POS tại quầy kế toán và mã QR động; kết nối ngân hàng và ví điện tử</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Đáp ứng tiêu chí 61; áp dụng mã hóa dữ liệu giao dịch</w:t>
            </w:r>
          </w:p>
        </w:tc>
      </w:tr>
      <w:tr>
        <w:trPr>
          <w:cantSplit/>
        </w:trPr>
        <w:tc>
          <w:tcPr>
            <w:tcW w:type="dxa" w:w="2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Hệ thống lấy số và màn hình hiển thị</w:t>
            </w:r>
          </w:p>
        </w:tc>
        <w:tc>
          <w:tcPr>
            <w:tcW w:type="dxa" w:w="3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Cấp số thứ tự tự động, hiển thị số thứ tự và quầy hoặc phòng khám theo thời gian thực</w:t>
            </w:r>
          </w:p>
        </w:tc>
        <w:tc>
          <w:tcPr>
            <w:tcW w:type="dxa" w:w="3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Kết nối trực tiếp với hệ thống HIS</w:t>
            </w:r>
          </w:p>
        </w:tc>
      </w:tr>
      <w:tr>
        <w:trPr>
          <w:cantSplit/>
        </w:trPr>
        <w:tc>
          <w:tcPr>
            <w:tcW w:type="dxa" w:w="2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Bảng thông báo điện tử</w:t>
            </w:r>
          </w:p>
        </w:tc>
        <w:tc>
          <w:tcPr>
            <w:tcW w:type="dxa" w:w="3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Hiển thị bản tin bệnh viện, giá dịch vụ y tế và quy trình khám chữa bệnh</w:t>
            </w:r>
          </w:p>
        </w:tc>
        <w:tc>
          <w:tcPr>
            <w:tcW w:type="dxa" w:w="3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Vận hành trên hệ thống màn hình đặt tại khu vực công cộng</w:t>
            </w:r>
          </w:p>
        </w:tc>
      </w:tr>
    </w:tbl>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2.3.6. Chuẩn dữ liệu và cơ chế tích hợp</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Đặc thù của hạ tầng phần mềm y tế là các hệ thống thường do nhiều nhà cung cấp khác nhau xây dựng, do đó khả năng trao đổi dữ liệu chỉ có thể đạt được khi tất cả cùng tuân thủ một bộ chuẩn chung. Đây chính là lớp kết dính giữ cho bốn hệ thống lõi vận hành như một thể thống nhất thay vì bốn ứng dụng rời rạc.</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14. Các chuẩn dữ liệu được áp dụng và phạm vi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60"/>
        <w:gridCol w:w="4600"/>
      </w:tblGrid>
      <w:tr>
        <w:trPr>
          <w:cantSplit/>
          <w:tblHeader/>
        </w:trPr>
        <w:tc>
          <w:tcPr>
            <w:tcW w:type="dxa" w:w="19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Chuẩn</w:t>
            </w:r>
          </w:p>
        </w:tc>
        <w:tc>
          <w:tcPr>
            <w:tcW w:type="dxa" w:w="28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Phạm vi áp dụng</w:t>
            </w:r>
          </w:p>
        </w:tc>
        <w:tc>
          <w:tcPr>
            <w:tcW w:type="dxa" w:w="46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Vai trò cụ thể</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HL7 FHIR</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Liên thông giữa HIS, EMR, LIS và RIS-PACS</w:t>
            </w:r>
          </w:p>
        </w:tc>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Chuẩn trao đổi dữ liệu lâm sàng nội viện; chỉ định từ HIS tự động chuyển sang RIS và LIS, kết quả được cập nhật ngược trở lại EMR</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HL7 CDA / FHIR</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Liên thông ngoại viện</w:t>
            </w:r>
          </w:p>
        </w:tc>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Định dạng dữ liệu đầu ra, sẵn sàng liên thông với hồ sơ sức khỏe điện tử quốc gia và giữa các bệnh viện</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HL7 (tệp dữ liệu)</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Sao lưu dự phòng</w:t>
            </w:r>
          </w:p>
        </w:tc>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Tệp HL7 chứa dữ liệu bệnh án được mã hóa trước khi tải lên trung tâm dữ liệu dự phòng</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DICOM</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Thiết bị chẩn đoán hình ảnh và PACS</w:t>
            </w:r>
          </w:p>
        </w:tc>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Chuẩn định dạng và truyền tải ảnh y khoa; đã kết nối với CT, MRI, X-quang DR/CR và máy chụp răng</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Modality Worklist</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RIS và thiết bị chụp</w:t>
            </w:r>
          </w:p>
        </w:tc>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Tự động đẩy danh sách chỉ định xuống thiết bị, loại bỏ việc nhập tay thông tin người bệnh tại máy</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JPEG2000</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Lưu trữ ảnh trên PACS</w:t>
            </w:r>
          </w:p>
        </w:tc>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Nén ảnh nhằm tối ưu dung lượng lưu trữ mà vẫn giữ được chất lượng phục vụ chẩn đoán</w:t>
            </w:r>
          </w:p>
        </w:tc>
      </w:tr>
      <w:tr>
        <w:trPr>
          <w:cantSplit/>
        </w:trPr>
        <w:tc>
          <w:tcPr>
            <w:tcW w:type="dxa" w:w="19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XML</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HIS và Bảo hiểm Xã hội</w:t>
            </w:r>
          </w:p>
        </w:tc>
        <w:tc>
          <w:tcPr>
            <w:tcW w:type="dxa" w:w="4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Định dạng hồ sơ điện tử phục vụ giám định và thanh toán bảo hiểm y tế</w:t>
            </w:r>
          </w:p>
        </w:tc>
      </w:tr>
      <w:tr>
        <w:trPr>
          <w:cantSplit/>
        </w:trPr>
        <w:tc>
          <w:tcPr>
            <w:tcW w:type="dxa" w:w="19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SNOMED CT</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Chuẩn hóa thuật ngữ</w:t>
            </w:r>
          </w:p>
        </w:tc>
        <w:tc>
          <w:tcPr>
            <w:tcW w:type="dxa" w:w="4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Danh pháp lâm sàng chuẩn quốc tế cho y lệnh và chẩn đoán</w:t>
            </w:r>
          </w:p>
        </w:tc>
      </w:tr>
    </w:tbl>
    <w:p>
      <w:pPr>
        <w:spacing w:after="120" w:before="20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Hình 9 minh họa cách các chuẩn nêu trên phối hợp với nhau trong một lượt khám hoàn chỉnh, từ khi người bệnh được tiếp nhận cho tới khi dữ liệu được liên thông ra ngoài bệnh viện.</w:t>
      </w:r>
    </w:p>
    <w:p>
      <w:pPr>
        <w:spacing w:after="60" w:before="200" w:line="240" w:lineRule="auto"/>
        <w:jc w:val="center"/>
      </w:pPr>
      <w:r>
        <w:drawing>
          <wp:inline distT="0" distB="0" distL="0" distR="0">
            <wp:extent cx="57150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95800"/>
                    </a:xfrm>
                    <a:prstGeom prst="rect">
                      <a:avLst/>
                    </a:prstGeom>
                  </pic:spPr>
                </pic:pic>
              </a:graphicData>
            </a:graphic>
          </wp:inline>
        </w:drawing>
      </w:r>
    </w:p>
    <w:p>
      <w:pPr>
        <w:keepNext w:val="false"/>
        <w:spacing w:after="120" w:before="160" w:line="260" w:lineRule="auto"/>
        <w:jc w:val="center"/>
      </w:pPr>
      <w:r>
        <w:rPr>
          <w:rFonts w:ascii="Times New Roman" w:cs="Times New Roman" w:eastAsia="Times New Roman" w:hAnsi="Times New Roman"/>
          <w:b/>
          <w:bCs/>
          <w:i/>
          <w:iCs/>
          <w:color w:val="1B1C1D"/>
          <w:sz w:val="24"/>
          <w:szCs w:val="24"/>
        </w:rPr>
        <w:t xml:space="preserve">Hình 9. Luồng dữ liệu và cơ chế tích hợp trong một lượt khám</w:t>
      </w:r>
    </w:p>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2.3.7. Mô hình cung cấp và quản lý vòng đời phần mềm</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Khác với phần cứng vốn được bệnh viện đầu tư và sở hữu trực tiếp, phần lớn phần mềm nghiệp vụ tại Bệnh viện Nguyễn Tri Phương được cung cấp bởi đối tác bên ngoài theo mô hình dịch vụ. Đây là một đặc điểm quan trọng của hạ tầng phần mềm, bởi nó quyết định cách bệnh viện tổ chức nhân lực công nghệ thông tin và cách xử lý các yêu cầu thay đổi.</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15. Mô hình cung cấp phần mềm và phân vai quản trị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Nhóm phần mềm</w:t>
            </w:r>
          </w:p>
        </w:tc>
        <w:tc>
          <w:tcPr>
            <w:tcW w:type="dxa" w:w="32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Đơn vị cung cấp và hình thức</w:t>
            </w:r>
          </w:p>
        </w:tc>
        <w:tc>
          <w:tcPr>
            <w:tcW w:type="dxa" w:w="37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Vai trò của Phòng Công nghệ Thông tin</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HIS và EMR</w:t>
            </w:r>
          </w:p>
        </w:tc>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Công ty VietSens, theo mô hình thuê dịch vụ (SaaS)</w:t>
            </w:r>
          </w:p>
        </w:tc>
        <w:tc>
          <w:tcPr>
            <w:tcW w:type="dxa" w:w="3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Tiếp nhận và phân loại sự cố, phối hợp xử lý, theo dõi tiến độ của nhà cung cấp; không can thiệp vào mã nguồn</w:t>
            </w:r>
          </w:p>
        </w:tc>
      </w:tr>
      <w:tr>
        <w:trPr>
          <w:cantSplit/>
        </w:trPr>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Chữ ký số và chứng thư số</w:t>
            </w:r>
          </w:p>
        </w:tc>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SoftDreams</w:t>
            </w:r>
          </w:p>
        </w:tc>
        <w:tc>
          <w:tcPr>
            <w:tcW w:type="dxa" w:w="3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Đồng bộ chứng thư theo người dùng, kiểm tra kết nối tới máy chủ chứng thư số và API tới EMR</w:t>
            </w:r>
          </w:p>
        </w:tc>
      </w:tr>
      <w:tr>
        <w:trPr>
          <w:cantSplit/>
        </w:trPr>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Hệ điều hành và bảo mật điểm cuối</w:t>
            </w:r>
          </w:p>
        </w:tc>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Mua bản quyền, còn trong thời gian được hỗ trợ</w:t>
            </w:r>
          </w:p>
        </w:tc>
        <w:tc>
          <w:tcPr>
            <w:tcW w:type="dxa" w:w="37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Quản lý bản quyền và cập nhật bản vá</w:t>
            </w:r>
          </w:p>
        </w:tc>
      </w:tr>
      <w:tr>
        <w:trPr>
          <w:cantSplit/>
        </w:trPr>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2"/>
                <w:szCs w:val="22"/>
              </w:rPr>
              <w:t xml:space="preserve">Phần mềm nền tảng (cơ sở dữ liệu, ảo hóa, sao lưu, giám sát)</w:t>
            </w:r>
          </w:p>
        </w:tc>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Vận hành nội bộ trên hạ tầng của bệnh viện</w:t>
            </w:r>
          </w:p>
        </w:tc>
        <w:tc>
          <w:tcPr>
            <w:tcW w:type="dxa" w:w="37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Quản trị trực tiếp</w:t>
            </w:r>
          </w:p>
        </w:tc>
      </w:tr>
    </w:tbl>
    <w:p>
      <w:pPr>
        <w:pStyle w:val="Heading4"/>
        <w:keepNext/>
        <w:spacing w:after="140" w:before="240" w:line="300" w:lineRule="auto"/>
      </w:pPr>
      <w:r>
        <w:rPr>
          <w:rFonts w:ascii="Times New Roman" w:cs="Times New Roman" w:eastAsia="Times New Roman" w:hAnsi="Times New Roman"/>
          <w:b/>
          <w:bCs/>
          <w:i w:val="false"/>
          <w:iCs w:val="false"/>
          <w:color w:val="1B1C1D"/>
          <w:sz w:val="26"/>
          <w:szCs w:val="26"/>
        </w:rPr>
        <w:t xml:space="preserve">Cơ chế quản lý thay đổi</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Vòng đời phần mềm được kiểm soát bằng các quy trình nội bộ đã ban hành, tiêu biểu là quy trình cập nhật biểu mẫu bệnh án điện tử: khoa hoặc phòng đề xuất, Phòng Kế hoạch Tổng hợp kiểm tra tính hợp lệ theo quy định của Bộ Y tế và ký duyệt, Phòng Công nghệ Thông tin gửi yêu cầu tới nhà cung cấp và theo dõi tiến độ, sau cùng thông báo lại cho khoa, phòng khi hoàn tất. Song song, các quy trình khắc phục sự cố biểu mẫu EMR và sự cố chứng thư số đều quy định mốc thời gian xử lý hai giờ và phương án dự phòng bằng giấy — in biểu mẫu từ kho mẫu phiếu, ký tay rồi quét và tải lại vào EMR — nhằm bảo đảm hoạt động khám chữa bệnh không bị gián đoạn. Nội dung chi tiết của các quy trình này được trình bày tại mục 3.2.</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Ưu điểm của mô hình thuê dịch vụ là bệnh viện cập nhật nhanh các yêu cầu thay đổi từ Bảo hiểm Xã hội và Bộ Y tế, đồng thời giảm chi phí bảo trì và nhu cầu nhân lực chuyên sâu. Đổi lại, tiến độ triển khai tính năng mới phụ thuộc vào năng lực đáp ứng của nhà cung cấp; đặc điểm này được phân tích kỹ hơn tại mục 5.2.</w:t>
      </w:r>
    </w:p>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2.3.8. Mối liên hệ giữa hạ tầng phần cứng và hạ tầng phần mềm</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Hai mục 2.2 và 2.3 không mô tả hai hệ thống tách rời mà là hai mặt của cùng một hạ tầng. Mọi yêu cầu cấu hình phần cứng đã trình bày ở mục 2.2 đều bắt nguồn từ một đòi hỏi cụ thể của phần mềm. Bảng 16 ánh xạ từng phần mềm với tài nguyên phần cứng, phương án lưu trữ và phân vùng mạng tương ứng, qua đó cho thấy tính nhất quán của toàn bộ thiết kế hạ tầng công nghệ thông tin tại bệnh viện.</w:t>
      </w:r>
    </w:p>
    <w:p>
      <w:pPr>
        <w:sectPr>
          <w:footerReference w:type="default" r:id="rId11"/>
          <w:pgSz w:w="12240" w:h="15840" w:orient="portrait"/>
          <w:pgMar w:top="1440" w:right="1440" w:bottom="1440" w:left="1440" w:header="708" w:footer="708" w:gutter="0"/>
          <w:pgNumType/>
          <w:docGrid w:linePitch="360"/>
        </w:sectPr>
      </w:pP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16. Ánh xạ phần mềm với máy chủ, hệ thống lưu trữ và phân vùng mạng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860"/>
        <w:gridCol w:w="3000"/>
      </w:tblGrid>
      <w:tr>
        <w:trPr>
          <w:cantSplit/>
          <w:tblHeader/>
        </w:trPr>
        <w:tc>
          <w:tcPr>
            <w:tcW w:type="dxa" w:w="25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Phần mềm</w:t>
            </w:r>
          </w:p>
        </w:tc>
        <w:tc>
          <w:tcPr>
            <w:tcW w:type="dxa" w:w="22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Máy chủ vận hành
(mục 2.2.1)</w:t>
            </w:r>
          </w:p>
        </w:tc>
        <w:tc>
          <w:tcPr>
            <w:tcW w:type="dxa" w:w="24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Lưu trữ dữ liệu
(mục 2.2.1.5)</w:t>
            </w:r>
          </w:p>
        </w:tc>
        <w:tc>
          <w:tcPr>
            <w:tcW w:type="dxa" w:w="28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Phân vùng mạng
(mục 2.4.5)</w:t>
            </w:r>
          </w:p>
        </w:tc>
        <w:tc>
          <w:tcPr>
            <w:tcW w:type="dxa" w:w="30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Cơ chế bảo đảm hoạt động liên tục</w:t>
            </w:r>
          </w:p>
        </w:tc>
      </w:tr>
      <w:tr>
        <w:trPr>
          <w:cantSplit/>
        </w:trPr>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HIS – xử lý nghiệp vụ</w:t>
            </w:r>
          </w:p>
        </w:tc>
        <w:tc>
          <w:tcPr>
            <w:tcW w:type="dxa" w:w="2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Application Server</w:t>
            </w:r>
          </w:p>
        </w:tc>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Dữ liệu đặt tại Database Server</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Clinical – mạng nội bộ</w:t>
            </w:r>
          </w:p>
        </w:tc>
        <w:tc>
          <w:tcPr>
            <w:tcW w:type="dxa" w:w="3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Nguồn điện và ổ cứng thay nóng; RAID 1 cho hệ điều hành</w:t>
            </w:r>
          </w:p>
        </w:tc>
      </w:tr>
      <w:tr>
        <w:trPr>
          <w:cantSplit/>
        </w:trPr>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HIS và EMR – lớp dữ liệu</w:t>
            </w:r>
          </w:p>
        </w:tc>
        <w:tc>
          <w:tcPr>
            <w:tcW w:type="dxa" w:w="2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Database Server</w:t>
            </w:r>
          </w:p>
        </w:tc>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SAN, ổ NVMe cấu hình RAID 10</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riêng, chỉ Application Server được phép kết nối</w:t>
            </w:r>
          </w:p>
        </w:tc>
        <w:tc>
          <w:tcPr>
            <w:tcW w:type="dxa" w:w="3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Oracle Data Guard Failover; RAID 10 chịu được hỏng hai ổ đĩa</w:t>
            </w:r>
          </w:p>
        </w:tc>
      </w:tr>
      <w:tr>
        <w:trPr>
          <w:cantSplit/>
        </w:trPr>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EMR – giao diện và ký số</w:t>
            </w:r>
          </w:p>
        </w:tc>
        <w:tc>
          <w:tcPr>
            <w:tcW w:type="dxa" w:w="2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Application Server và máy chủ chứng thư số</w:t>
            </w:r>
          </w:p>
        </w:tc>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Database Server</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Clinical</w:t>
            </w:r>
          </w:p>
        </w:tc>
        <w:tc>
          <w:tcPr>
            <w:tcW w:type="dxa" w:w="3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Phương án dự phòng ký tay, quét và tải lại khi lỗi chứng thư số</w:t>
            </w:r>
          </w:p>
        </w:tc>
      </w:tr>
      <w:tr>
        <w:trPr>
          <w:cantSplit/>
        </w:trPr>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LIS</w:t>
            </w:r>
          </w:p>
        </w:tc>
        <w:tc>
          <w:tcPr>
            <w:tcW w:type="dxa" w:w="2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Máy chủ LIS</w:t>
            </w:r>
          </w:p>
        </w:tc>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Database Server</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Clinical; thiết bị xét nghiệm thuộc VLAN Medical/IoT</w:t>
            </w:r>
          </w:p>
        </w:tc>
        <w:tc>
          <w:tcPr>
            <w:tcW w:type="dxa" w:w="3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Kết nối hai chiều với máy phân tích</w:t>
            </w:r>
          </w:p>
        </w:tc>
      </w:tr>
      <w:tr>
        <w:trPr>
          <w:cantSplit/>
        </w:trPr>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RIS-PACS</w:t>
            </w:r>
          </w:p>
        </w:tc>
        <w:tc>
          <w:tcPr>
            <w:tcW w:type="dxa" w:w="2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Máy chủ RIS/PACS</w:t>
            </w:r>
          </w:p>
        </w:tc>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NAS – kho lưu trữ ảnh DICOM dung lượng lớn</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Medical/IoT cho thiết bị chụp; backbone cáp quang 10 Gbps</w:t>
            </w:r>
          </w:p>
        </w:tc>
        <w:tc>
          <w:tcPr>
            <w:tcW w:type="dxa" w:w="3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Nén JPEG2000 giảm áp lực lưu trữ</w:t>
            </w:r>
          </w:p>
        </w:tc>
      </w:tr>
      <w:tr>
        <w:trPr>
          <w:cantSplit/>
        </w:trPr>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Website, ứng dụng GlobeDr, tra cứu QR, thanh toán trực tuyến</w:t>
            </w:r>
          </w:p>
        </w:tc>
        <w:tc>
          <w:tcPr>
            <w:tcW w:type="dxa" w:w="2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Web &amp; Mobile Server</w:t>
            </w:r>
          </w:p>
        </w:tc>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Ổ SSD cục bộ cho dữ liệu web</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Vùng DMZ, đặt sau tường lửa, không kết nối trực tiếp Database</w:t>
            </w:r>
          </w:p>
        </w:tc>
        <w:tc>
          <w:tcPr>
            <w:tcW w:type="dxa" w:w="3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Chứng chỉ SSL; cân bằng tải khi cao điểm; chỉ truy xuất dữ liệu qua API</w:t>
            </w:r>
          </w:p>
        </w:tc>
      </w:tr>
      <w:tr>
        <w:trPr>
          <w:cantSplit/>
        </w:trPr>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Phần mềm sao lưu và phục hồi</w:t>
            </w:r>
          </w:p>
        </w:tc>
        <w:tc>
          <w:tcPr>
            <w:tcW w:type="dxa" w:w="2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Backup Server</w:t>
            </w:r>
          </w:p>
        </w:tc>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Từ 8 đến 12 ổ dung lượng lớn, cấu hình RAID 6</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nội bộ; card mạng 10 Gbps phục vụ sao lưu ban đêm</w:t>
            </w:r>
          </w:p>
        </w:tc>
        <w:tc>
          <w:tcPr>
            <w:tcW w:type="dxa" w:w="3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Bản sao bất biến chống mã hóa tống tiền; lưu dự phòng tại trung tâm dữ liệu thuê ngoài</w:t>
            </w:r>
          </w:p>
        </w:tc>
      </w:tr>
      <w:tr>
        <w:trPr>
          <w:cantSplit/>
        </w:trPr>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AI lâm sàng (FSpineNet, AI X-quang phổi)</w:t>
            </w:r>
          </w:p>
        </w:tc>
        <w:tc>
          <w:tcPr>
            <w:tcW w:type="dxa" w:w="2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Hạ tầng xử lý ảnh gắn với PACS</w:t>
            </w:r>
          </w:p>
        </w:tc>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NAS lưu trữ ảnh DICOM</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Clinical</w:t>
            </w:r>
          </w:p>
        </w:tc>
        <w:tc>
          <w:tcPr>
            <w:tcW w:type="dxa" w:w="3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Chỉ đóng vai trò hỗ trợ, không thay thế kết luận của bác sĩ</w:t>
            </w:r>
          </w:p>
        </w:tc>
      </w:tr>
      <w:tr>
        <w:trPr>
          <w:cantSplit/>
        </w:trPr>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E-Office, Kế toán – Nhân sự</w:t>
            </w:r>
          </w:p>
        </w:tc>
        <w:tc>
          <w:tcPr>
            <w:tcW w:type="dxa" w:w="2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Application Server</w:t>
            </w:r>
          </w:p>
        </w:tc>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Database Server</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Clinical – khối hành chính</w:t>
            </w:r>
          </w:p>
        </w:tc>
        <w:tc>
          <w:tcPr>
            <w:tcW w:type="dxa" w:w="3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Ký số văn bản hành chính</w:t>
            </w:r>
          </w:p>
        </w:tc>
      </w:tr>
      <w:tr>
        <w:trPr>
          <w:cantSplit/>
        </w:trPr>
        <w:tc>
          <w:tcPr>
            <w:tcW w:type="dxa" w:w="25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Giao diện người dùng của toàn bộ hệ thống nêu trên</w:t>
            </w:r>
          </w:p>
        </w:tc>
        <w:tc>
          <w:tcPr>
            <w:tcW w:type="dxa" w:w="2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Máy trạm Intel NUC Core i3/i5</w:t>
            </w:r>
          </w:p>
        </w:tc>
        <w:tc>
          <w:tcPr>
            <w:tcW w:type="dxa" w:w="2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lưu trữ cục bộ</w:t>
            </w:r>
          </w:p>
        </w:tc>
        <w:tc>
          <w:tcPr>
            <w:tcW w:type="dxa" w:w="28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Clinical, kết nối LAN 1 Gbps; WLAN cho xe đẩy y tế di động</w:t>
            </w:r>
          </w:p>
        </w:tc>
        <w:tc>
          <w:tcPr>
            <w:tcW w:type="dxa" w:w="3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Chuyển vùng liền mạch nhằm tránh đứt phiên làm việc trên EMR</w:t>
            </w:r>
          </w:p>
        </w:tc>
      </w:tr>
      <w:tr>
        <w:trPr>
          <w:cantSplit/>
        </w:trPr>
        <w:tc>
          <w:tcPr>
            <w:tcW w:type="dxa" w:w="25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bCs/>
                <w:i w:val="false"/>
                <w:iCs w:val="false"/>
                <w:color w:val="1B1C1D"/>
                <w:sz w:val="21"/>
                <w:szCs w:val="21"/>
              </w:rPr>
              <w:t xml:space="preserve">Wi-Fi phục vụ người bệnh (NTP_FREE)</w:t>
            </w:r>
          </w:p>
        </w:tc>
        <w:tc>
          <w:tcPr>
            <w:tcW w:type="dxa" w:w="2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áp dụng</w:t>
            </w:r>
          </w:p>
        </w:tc>
        <w:tc>
          <w:tcPr>
            <w:tcW w:type="dxa" w:w="2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Không áp dụng</w:t>
            </w:r>
          </w:p>
        </w:tc>
        <w:tc>
          <w:tcPr>
            <w:tcW w:type="dxa" w:w="28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VLAN Guest, cách ly hoàn toàn</w:t>
            </w:r>
          </w:p>
        </w:tc>
        <w:tc>
          <w:tcPr>
            <w:tcW w:type="dxa" w:w="3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1"/>
                <w:szCs w:val="21"/>
              </w:rPr>
              <w:t xml:space="preserve">Chỉ được truy cập Internet, không tiếp cận được hệ thống lõi</w:t>
            </w:r>
          </w:p>
        </w:tc>
      </w:tr>
    </w:tbl>
    <w:p>
      <w:pPr>
        <w:sectPr>
          <w:footerReference w:type="default" r:id="rId12"/>
          <w:pgSz w:w="15840" w:h="12240" w:orient="landscape"/>
          <w:pgMar w:top="1440" w:right="1440" w:bottom="1440" w:left="1440" w:header="708" w:footer="708" w:gutter="0"/>
          <w:pgNumType/>
          <w:docGrid w:linePitch="360"/>
        </w:sectPr>
      </w:pPr>
    </w:p>
    <w:p>
      <w:pPr>
        <w:pStyle w:val="Heading4"/>
        <w:keepNext/>
        <w:spacing w:after="140" w:before="240" w:line="300" w:lineRule="auto"/>
      </w:pPr>
      <w:r>
        <w:rPr>
          <w:rFonts w:ascii="Times New Roman" w:cs="Times New Roman" w:eastAsia="Times New Roman" w:hAnsi="Times New Roman"/>
          <w:b/>
          <w:bCs/>
          <w:i w:val="false"/>
          <w:iCs w:val="false"/>
          <w:color w:val="1B1C1D"/>
          <w:sz w:val="26"/>
          <w:szCs w:val="26"/>
        </w:rPr>
        <w:t xml:space="preserve">Đọc ngược bảng ánh xạ: vì sao phần cứng phải được cấu hình như mục 2.2</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Cùng một bảng ánh xạ có thể đọc theo chiều ngược lại để thấy rõ rằng phần mềm mới là bên đặt ra yêu cầu, còn phần cứng là bên đáp ứng.</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17. Yêu cầu của phần mềm và ràng buộc phần cứng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Đòi hỏi xuất phát từ phần mềm</w:t>
            </w:r>
          </w:p>
        </w:tc>
        <w:tc>
          <w:tcPr>
            <w:tcW w:type="dxa" w:w="53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Ràng buộc phần cứng tương ứng (mục 2.2 và 2.4)</w:t>
            </w:r>
          </w:p>
        </w:tc>
      </w:tr>
      <w:tr>
        <w:trPr>
          <w:cantSplit/>
        </w:trPr>
        <w:tc>
          <w:tcPr>
            <w:tcW w:type="dxa" w:w="4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EMR ghi dữ liệu liên tục với tần suất rất cao</w:t>
            </w:r>
          </w:p>
        </w:tc>
        <w:tc>
          <w:tcPr>
            <w:tcW w:type="dxa" w:w="5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Application Server bắt buộc dùng ổ cứng dòng doanh nghiệp, không sử dụng ổ SSD dân dụng</w:t>
            </w:r>
          </w:p>
        </w:tc>
      </w:tr>
      <w:tr>
        <w:trPr>
          <w:cantSplit/>
        </w:trPr>
        <w:tc>
          <w:tcPr>
            <w:tcW w:type="dxa" w:w="4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HIS và EMR đòi hỏi truy xuất dưới một phần nghìn giây và độ chính xác tuyệt đối</w:t>
            </w:r>
          </w:p>
        </w:tc>
        <w:tc>
          <w:tcPr>
            <w:tcW w:type="dxa" w:w="5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Database Server dùng ổ NVMe cấu hình RAID 10, trang bị từ 128 đến 256 GB RAM để đưa dữ liệu vào bộ nhớ đệm</w:t>
            </w:r>
          </w:p>
        </w:tc>
      </w:tr>
      <w:tr>
        <w:trPr>
          <w:cantSplit/>
        </w:trPr>
        <w:tc>
          <w:tcPr>
            <w:tcW w:type="dxa" w:w="4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PACS lưu ảnh DICOM dung lượng hàng trăm MB đến GB cho mỗi ca chụp</w:t>
            </w:r>
          </w:p>
        </w:tc>
        <w:tc>
          <w:tcPr>
            <w:tcW w:type="dxa" w:w="5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Hệ thống NAS dung lượng lớn; backbone cáp quang tốc độ 10 Gbps trở lên</w:t>
            </w:r>
          </w:p>
        </w:tc>
      </w:tr>
      <w:tr>
        <w:trPr>
          <w:cantSplit/>
        </w:trPr>
        <w:tc>
          <w:tcPr>
            <w:tcW w:type="dxa" w:w="4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Hồ sơ bệnh án phải được lưu trữ từ 10 đến 20 năm theo quy định</w:t>
            </w:r>
          </w:p>
        </w:tc>
        <w:tc>
          <w:tcPr>
            <w:tcW w:type="dxa" w:w="5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Backup Server cấu hình RAID 6 với 8 đến 12 ổ dung lượng lớn; thuê lưu trữ dự phòng ngoài bệnh viện</w:t>
            </w:r>
          </w:p>
        </w:tc>
      </w:tr>
      <w:tr>
        <w:trPr>
          <w:cantSplit/>
        </w:trPr>
        <w:tc>
          <w:tcPr>
            <w:tcW w:type="dxa" w:w="4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Website và ứng dụng di động phải mở ra Internet</w:t>
            </w:r>
          </w:p>
        </w:tc>
        <w:tc>
          <w:tcPr>
            <w:tcW w:type="dxa" w:w="5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Máy chủ Web đặt trong vùng DMZ, sau tường lửa, chỉ giao tiếp với hệ thống nội bộ qua API</w:t>
            </w:r>
          </w:p>
        </w:tc>
      </w:tr>
      <w:tr>
        <w:trPr>
          <w:cantSplit/>
        </w:trPr>
        <w:tc>
          <w:tcPr>
            <w:tcW w:type="dxa" w:w="4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Bác sĩ và điều dưỡng truy cập EMR trong khi di chuyển bằng xe đẩy y tế</w:t>
            </w:r>
          </w:p>
        </w:tc>
        <w:tc>
          <w:tcPr>
            <w:tcW w:type="dxa" w:w="5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Hạ tầng WLAN mật độ cao, có bộ điều khiển tập trung hỗ trợ chuyển vùng liền mạch</w:t>
            </w:r>
          </w:p>
        </w:tc>
      </w:tr>
      <w:tr>
        <w:trPr>
          <w:cantSplit/>
        </w:trPr>
        <w:tc>
          <w:tcPr>
            <w:tcW w:type="dxa" w:w="40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Thiết bị y tế sử dụng hệ điều hành cũ, khó vá lỗi bảo mật</w:t>
            </w:r>
          </w:p>
        </w:tc>
        <w:tc>
          <w:tcPr>
            <w:tcW w:type="dxa" w:w="53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Tách riêng VLAN thiết bị y tế, giám sát chặt chẽ, chỉ cho phép giao tiếp với máy chủ quản lý chuyên dụng</w:t>
            </w:r>
          </w:p>
        </w:tc>
      </w:tr>
      <w:tr>
        <w:trPr>
          <w:cantSplit/>
        </w:trPr>
        <w:tc>
          <w:tcPr>
            <w:tcW w:type="dxa" w:w="40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Ký số cá nhân trên mọi thao tác quan trọng của EMR</w:t>
            </w:r>
          </w:p>
        </w:tc>
        <w:tc>
          <w:tcPr>
            <w:tcW w:type="dxa" w:w="53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Máy chủ chứng thư số riêng, kết nối EMR qua API, kèm quy trình xử lý sự cố có mốc thời gian rõ ràng</w:t>
            </w:r>
          </w:p>
        </w:tc>
      </w:tr>
    </w:tbl>
    <w:p>
      <w:pPr>
        <w:spacing w:after="120" w:before="20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Qua hai chiều đọc nêu trên có thể thấy hạ tầng công nghệ thông tin của bệnh viện được thiết kế theo nguyên tắc phần mềm định hình phần cứng: đặc tính nghiệp vụ y tế — khối lượng ghi lớn, yêu cầu độ trễ thấp, dung lượng hình ảnh khổng lồ, thời hạn lưu trữ dài và ràng buộc pháp lý về ký số — chính là căn cứ trực tiếp để lựa chọn cấu hình máy chủ, kiểu RAID, loại lưu trữ và cách phân đoạn mạng.</w:t>
      </w:r>
    </w:p>
    <w:p>
      <w:pPr>
        <w:pStyle w:val="Heading3"/>
        <w:keepNext/>
        <w:spacing w:after="140" w:before="240" w:line="300" w:lineRule="auto"/>
      </w:pPr>
      <w:r>
        <w:rPr>
          <w:rFonts w:ascii="Times New Roman" w:cs="Times New Roman" w:eastAsia="Times New Roman" w:hAnsi="Times New Roman"/>
          <w:b/>
          <w:bCs/>
          <w:i w:val="false"/>
          <w:iCs w:val="false"/>
          <w:color w:val="1B1C1D"/>
          <w:sz w:val="26"/>
          <w:szCs w:val="26"/>
        </w:rPr>
        <w:t xml:space="preserve">2.3.9. Giới hạn khảo sát</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Trong phạm vi khảo sát, nhóm chưa thu thập được đầy đủ ba nhóm thông tin sau về hạ tầng phần mềm. Thứ nhất là tình trạng bản quyền chi tiết theo từng phần mềm, bao gồm số lượng giấy phép, hình thức mua và thời hạn sử dụng. Thứ hai là kiến trúc kỹ thuật cụ thể của HIS và EMR — hệ thống được xây dựng theo mô hình khách – chủ, nền tảng web hay mô hình hỗn hợp — yếu tố ảnh hưởng trực tiếp tới yêu cầu cấu hình máy trạm đã trình bày ở mục 2.2.2. Thứ ba là cơ chế tích hợp được sử dụng giữa các phần mềm, cụ thể là hệ thống có sử dụng nền tảng trung gian tích hợp riêng hay tích hợp trực tiếp theo từng cặp.</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Đây là những nội dung thuộc phạm vi thông tin kỹ thuật nội bộ của bệnh viện. Nhóm ghi nhận như giới hạn của đồ án và đề xuất bổ sung nếu có điều kiện khảo sát sâu hơn.</w:t>
      </w:r>
    </w:p>
    <w:p>
      <w:r>
        <w:br w:type="page"/>
      </w:r>
    </w:p>
    <w:p>
      <w:pPr>
        <w:pStyle w:val="Heading1"/>
        <w:keepNext/>
        <w:spacing w:after="140" w:before="0" w:line="300" w:lineRule="auto"/>
      </w:pPr>
      <w:r>
        <w:rPr>
          <w:rFonts w:ascii="Times New Roman" w:cs="Times New Roman" w:eastAsia="Times New Roman" w:hAnsi="Times New Roman"/>
          <w:b/>
          <w:bCs/>
          <w:i w:val="false"/>
          <w:iCs w:val="false"/>
          <w:color w:val="2E4F6B"/>
          <w:sz w:val="30"/>
          <w:szCs w:val="30"/>
        </w:rPr>
        <w:t xml:space="preserve">PHẦN D. HƯỚNG DẪN TÍCH HỢP VÀO BÁO CÁO</w:t>
      </w:r>
    </w:p>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D.1. Ánh xạ cấu trúc cũ sang cấu trúc mới</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D.1. Đối chiếu cấu trúc mục 2.3 trước và sau khi cải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cantSplit/>
          <w:tblHeader/>
        </w:trPr>
        <w:tc>
          <w:tcPr>
            <w:tcW w:type="dxa" w:w="32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Cấu trúc cũ</w:t>
            </w:r>
          </w:p>
        </w:tc>
        <w:tc>
          <w:tcPr>
            <w:tcW w:type="dxa" w:w="35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Cấu trúc mới</w:t>
            </w:r>
          </w:p>
        </w:tc>
        <w:tc>
          <w:tcPr>
            <w:tcW w:type="dxa" w:w="26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Ghi chú</w:t>
            </w:r>
          </w:p>
        </w:tc>
      </w:tr>
      <w:tr>
        <w:trPr>
          <w:cantSplit/>
        </w:trPr>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Đoạn dẫn nhập và Hình 8 – kiến trúc phân tầng</w:t>
            </w:r>
          </w:p>
        </w:tc>
        <w:tc>
          <w:tcPr>
            <w:tcW w:type="dxa" w:w="2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w:t>
            </w:r>
          </w:p>
        </w:tc>
      </w:tr>
      <w:tr>
        <w:trPr>
          <w:cantSplit/>
        </w:trPr>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2.3.1. Phần mềm quản lý và vận hành hệ thống</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2.3.1. Phần mềm nền tảng và vận hành hệ thống</w:t>
            </w:r>
          </w:p>
        </w:tc>
        <w:tc>
          <w:tcPr>
            <w:tcW w:type="dxa" w:w="2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Mở rộng từ một câu thành một bảng bảy dòng</w:t>
            </w:r>
          </w:p>
        </w:tc>
      </w:tr>
      <w:tr>
        <w:trPr>
          <w:cantSplit/>
        </w:trPr>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2.3.2. Các hệ thống phần mềm nghiệp vụ y tế</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2.3.2. Nhóm phần mềm nghiệp vụ y tế lõi</w:t>
            </w:r>
          </w:p>
        </w:tc>
        <w:tc>
          <w:tcPr>
            <w:tcW w:type="dxa" w:w="2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Chuẩn hóa bốn hệ thống theo cùng khung tiêu chí, đưa vào bảng</w:t>
            </w:r>
          </w:p>
        </w:tc>
      </w:tr>
      <w:tr>
        <w:trPr>
          <w:cantSplit/>
        </w:trPr>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2.3.3. Hỗ trợ quyết định lâm sàng và chuẩn hóa dữ liệu</w:t>
            </w:r>
          </w:p>
        </w:tc>
        <w:tc>
          <w:tcPr>
            <w:tcW w:type="dxa" w:w="2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 – lấy từ Chương 1</w:t>
            </w:r>
          </w:p>
        </w:tc>
      </w:tr>
      <w:tr>
        <w:trPr>
          <w:cantSplit/>
        </w:trPr>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2.3.3. Các phần mềm hỗ trợ khác</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2.3.4. Quản lý điều hành và hỗ trợ vận hành</w:t>
            </w:r>
          </w:p>
        </w:tc>
        <w:tc>
          <w:tcPr>
            <w:tcW w:type="dxa" w:w="2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Đổi tên, bổ sung năm phần mềm</w:t>
            </w:r>
          </w:p>
        </w:tc>
      </w:tr>
      <w:tr>
        <w:trPr>
          <w:cantSplit/>
        </w:trPr>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2.3.5. Phần mềm phục vụ người bệnh</w:t>
            </w:r>
          </w:p>
        </w:tc>
        <w:tc>
          <w:tcPr>
            <w:tcW w:type="dxa" w:w="2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 – lấy từ mục 2.2.1.3 và Chương 4</w:t>
            </w:r>
          </w:p>
        </w:tc>
      </w:tr>
      <w:tr>
        <w:trPr>
          <w:cantSplit/>
        </w:trPr>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2.3.6. Chuẩn dữ liệu và cơ chế tích hợp</w:t>
            </w:r>
          </w:p>
        </w:tc>
        <w:tc>
          <w:tcPr>
            <w:tcW w:type="dxa" w:w="2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 – lấy từ Chương 4</w:t>
            </w:r>
          </w:p>
        </w:tc>
      </w:tr>
      <w:tr>
        <w:trPr>
          <w:cantSplit/>
        </w:trPr>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2.3.7. Mô hình cung cấp và quản lý vòng đời phần mềm</w:t>
            </w:r>
          </w:p>
        </w:tc>
        <w:tc>
          <w:tcPr>
            <w:tcW w:type="dxa" w:w="2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 – lấy từ Chương 3 và Chương 4</w:t>
            </w:r>
          </w:p>
        </w:tc>
      </w:tr>
      <w:tr>
        <w:trPr>
          <w:cantSplit/>
        </w:trPr>
        <w:tc>
          <w:tcPr>
            <w:tcW w:type="dxa" w:w="32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2.3.8. Mối liên hệ giữa hạ tầng phần cứng và phần mềm</w:t>
            </w:r>
          </w:p>
        </w:tc>
        <w:tc>
          <w:tcPr>
            <w:tcW w:type="dxa" w:w="26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 – yêu cầu trọng tâm của lần cải thiện này</w:t>
            </w:r>
          </w:p>
        </w:tc>
      </w:tr>
      <w:tr>
        <w:trPr>
          <w:cantSplit/>
        </w:trPr>
        <w:tc>
          <w:tcPr>
            <w:tcW w:type="dxa" w:w="32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(không có)</w:t>
            </w:r>
          </w:p>
        </w:tc>
        <w:tc>
          <w:tcPr>
            <w:tcW w:type="dxa" w:w="35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2.3.9. Giới hạn khảo sát</w:t>
            </w:r>
          </w:p>
        </w:tc>
        <w:tc>
          <w:tcPr>
            <w:tcW w:type="dxa" w:w="26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Mới</w:t>
            </w:r>
          </w:p>
        </w:tc>
      </w:tr>
    </w:tbl>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D.2. Lưu ý về đánh số hình và bảng</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Chương 2 hiện có Hình 2 đến Hình 7 và Bảng 1 đến Bảng 9. Bản cải thiện bổ sung hai hình và chín bảng vào giữa chương, do đó khi chèn vào báo cáo cần đánh số lại như sau.</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Hai hình mới nằm sau Hình 7, trở thành Hình 8 và Hình 9; các hình từ Chương 3 trở đi dịch lên hai số.</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Chín bảng mới nằm sau Bảng 8, trở thành Bảng 9 đến Bảng 17.</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Bảng 9 hiện tại của mục 2.5 — bảng an toàn thông tin với các tiêu chí 114 đến 128 — trở thành Bảng 18.</w:t>
      </w:r>
    </w:p>
    <w:p>
      <w:pPr>
        <w:pStyle w:val="ListParagraph"/>
        <w:numPr>
          <w:ilvl w:val="0"/>
          <w:numId w:val="1"/>
        </w:numPr>
        <w:spacing w:after="60" w:before="60" w:line="300" w:lineRule="auto"/>
        <w:jc w:val="both"/>
      </w:pPr>
      <w:r>
        <w:rPr>
          <w:rFonts w:ascii="Times New Roman" w:cs="Times New Roman" w:eastAsia="Times New Roman" w:hAnsi="Times New Roman"/>
          <w:b w:val="false"/>
          <w:bCs w:val="false"/>
          <w:i w:val="false"/>
          <w:iCs w:val="false"/>
          <w:color w:val="1B1C1D"/>
          <w:sz w:val="26"/>
          <w:szCs w:val="26"/>
        </w:rPr>
        <w:t xml:space="preserve">Nếu muốn tránh đánh số lại toàn bộ, có thể giữ ký hiệu theo mục dạng “Bảng 2.3-x”; khi đó nên chuyển cả chương sang cách đánh số theo mục để bảo đảm thống nhất.</w:t>
      </w:r>
    </w:p>
    <w:p>
      <w:pPr>
        <w:pStyle w:val="Heading2"/>
        <w:keepNext/>
        <w:spacing w:after="140" w:before="320" w:line="300" w:lineRule="auto"/>
      </w:pPr>
      <w:r>
        <w:rPr>
          <w:rFonts w:ascii="Times New Roman" w:cs="Times New Roman" w:eastAsia="Times New Roman" w:hAnsi="Times New Roman"/>
          <w:b/>
          <w:bCs/>
          <w:i w:val="false"/>
          <w:iCs w:val="false"/>
          <w:color w:val="2E4F6B"/>
          <w:sz w:val="28"/>
          <w:szCs w:val="28"/>
        </w:rPr>
        <w:t xml:space="preserve">D.3. Việc cần làm trước khi nộp</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D.2. Danh mục công việc hoàn thiện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5300"/>
        <w:gridCol w:w="3240"/>
      </w:tblGrid>
      <w:tr>
        <w:trPr>
          <w:cantSplit/>
          <w:tblHeader/>
        </w:trPr>
        <w:tc>
          <w:tcPr>
            <w:tcW w:type="dxa" w:w="82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STT</w:t>
            </w:r>
          </w:p>
        </w:tc>
        <w:tc>
          <w:tcPr>
            <w:tcW w:type="dxa" w:w="53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Công việc</w:t>
            </w:r>
          </w:p>
        </w:tc>
        <w:tc>
          <w:tcPr>
            <w:tcW w:type="dxa" w:w="324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Lý do</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1</w:t>
            </w:r>
          </w:p>
        </w:tc>
        <w:tc>
          <w:tcPr>
            <w:tcW w:type="dxa" w:w="5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Vẽ lại hai sơ đồ bằng công cụ đồ họa của nhóm nếu cần thống nhất phong cách với các hình khác trong báo cáo</w:t>
            </w:r>
          </w:p>
        </w:tc>
        <w:tc>
          <w:tcPr>
            <w:tcW w:type="dxa" w:w="324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Hai hình trong tài liệu là bản dựng sẵn, có thể dùng trực tiếp nhưng khác phong cách với các ảnh chụp thiết bị ở mục 2.2</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2</w:t>
            </w:r>
          </w:p>
        </w:tc>
        <w:tc>
          <w:tcPr>
            <w:tcW w:type="dxa" w:w="5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Chuyển hai ghi chú “(Theo tài liệu 02_V)” và “(Theo tài liệu 02_VIII)” thành trích dẫn chuẩn trong danh mục tài liệu tham khảo</w:t>
            </w:r>
          </w:p>
        </w:tc>
        <w:tc>
          <w:tcPr>
            <w:tcW w:type="dxa" w:w="324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Ký hiệu tài liệu nội bộ không nên xuất hiện trong báo cáo chính thức</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3</w:t>
            </w:r>
          </w:p>
        </w:tc>
        <w:tc>
          <w:tcPr>
            <w:tcW w:type="dxa" w:w="5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Rà soát thống nhất cách viết “RIS-PACS” trong toàn báo cáo</w:t>
            </w:r>
          </w:p>
        </w:tc>
        <w:tc>
          <w:tcPr>
            <w:tcW w:type="dxa" w:w="324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Mục 2.3 cũ viết “RIS/PACS”, Chương 4 viết “RIS-PACS”</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4</w:t>
            </w:r>
          </w:p>
        </w:tc>
        <w:tc>
          <w:tcPr>
            <w:tcW w:type="dxa" w:w="5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Kiểm tra lại con số “rút ngắn 30–50% thời gian trả kết quả” của LIS</w:t>
            </w:r>
          </w:p>
        </w:tc>
        <w:tc>
          <w:tcPr>
            <w:tcW w:type="dxa" w:w="324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Bản viết lại đã tạm bỏ số liệu này khỏi bảng để tránh mâu thuẫn với Chương 4; nếu có nguồn xác thực thì đưa lại kèm trích dẫn</w:t>
            </w:r>
          </w:p>
        </w:tc>
      </w:tr>
      <w:tr>
        <w:trPr>
          <w:cantSplit/>
        </w:trPr>
        <w:tc>
          <w:tcPr>
            <w:tcW w:type="dxa" w:w="82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5</w:t>
            </w:r>
          </w:p>
        </w:tc>
        <w:tc>
          <w:tcPr>
            <w:tcW w:type="dxa" w:w="53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Đối chiếu mục 2.3.7 với mục 5.2 để hai phần không mâu thuẫn về đánh giá mức độ phụ thuộc nhà cung cấp</w:t>
            </w:r>
          </w:p>
        </w:tc>
        <w:tc>
          <w:tcPr>
            <w:tcW w:type="dxa" w:w="324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Mục 2.3.7 mô tả ưu điểm của mô hình thuê dịch vụ, mục 5.2 nêu đây là một hạn chế</w:t>
            </w:r>
          </w:p>
        </w:tc>
      </w:tr>
      <w:tr>
        <w:trPr>
          <w:cantSplit/>
        </w:trPr>
        <w:tc>
          <w:tcPr>
            <w:tcW w:type="dxa" w:w="82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val="false"/>
                <w:bCs w:val="false"/>
                <w:i w:val="false"/>
                <w:iCs w:val="false"/>
                <w:color w:val="1B1C1D"/>
                <w:sz w:val="22"/>
                <w:szCs w:val="22"/>
              </w:rPr>
              <w:t xml:space="preserve">6</w:t>
            </w:r>
          </w:p>
        </w:tc>
        <w:tc>
          <w:tcPr>
            <w:tcW w:type="dxa" w:w="53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Cập nhật mục lục, danh mục hình và danh mục bảng của báo cáo</w:t>
            </w:r>
          </w:p>
        </w:tc>
        <w:tc>
          <w:tcPr>
            <w:tcW w:type="dxa" w:w="324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Sau khi đánh số lại theo mục D.2</w:t>
            </w:r>
          </w:p>
        </w:tc>
      </w:tr>
    </w:tbl>
    <w:p>
      <w:r>
        <w:br w:type="page"/>
      </w:r>
    </w:p>
    <w:p>
      <w:pPr>
        <w:pStyle w:val="Heading1"/>
        <w:keepNext/>
        <w:spacing w:after="140" w:before="0" w:line="300" w:lineRule="auto"/>
      </w:pPr>
      <w:r>
        <w:rPr>
          <w:rFonts w:ascii="Times New Roman" w:cs="Times New Roman" w:eastAsia="Times New Roman" w:hAnsi="Times New Roman"/>
          <w:b/>
          <w:bCs/>
          <w:i w:val="false"/>
          <w:iCs w:val="false"/>
          <w:color w:val="2E4F6B"/>
          <w:sz w:val="30"/>
          <w:szCs w:val="30"/>
        </w:rPr>
        <w:t xml:space="preserve">PHẦN E. GHI CHÚ PHẢN BIỆN CHO MỤC 2.3</w:t>
      </w:r>
    </w:p>
    <w:p>
      <w:pPr>
        <w:spacing w:after="120" w:before="120" w:line="300" w:lineRule="auto"/>
        <w:ind w:firstLine="720"/>
        <w:jc w:val="both"/>
      </w:pPr>
      <w:r>
        <w:rPr>
          <w:rFonts w:ascii="Times New Roman" w:cs="Times New Roman" w:eastAsia="Times New Roman" w:hAnsi="Times New Roman"/>
          <w:b w:val="false"/>
          <w:bCs w:val="false"/>
          <w:i w:val="false"/>
          <w:iCs w:val="false"/>
          <w:color w:val="1B1C1D"/>
          <w:sz w:val="26"/>
          <w:szCs w:val="26"/>
        </w:rPr>
        <w:t xml:space="preserve">Bảy câu hỏi dưới đây là những câu có khả năng cao được đặt ra khi bảo vệ phần hạ tầng phần mềm. Toàn bộ hướng trả lời đều dựa trên nội dung có trong báo cáo.</w:t>
      </w:r>
    </w:p>
    <w:p>
      <w:pPr>
        <w:keepNext/>
        <w:spacing w:after="120" w:before="160" w:line="260" w:lineRule="auto"/>
        <w:jc w:val="center"/>
      </w:pPr>
      <w:r>
        <w:rPr>
          <w:rFonts w:ascii="Times New Roman" w:cs="Times New Roman" w:eastAsia="Times New Roman" w:hAnsi="Times New Roman"/>
          <w:b/>
          <w:bCs/>
          <w:i/>
          <w:iCs/>
          <w:color w:val="1B1C1D"/>
          <w:sz w:val="24"/>
          <w:szCs w:val="24"/>
        </w:rPr>
        <w:t xml:space="preserve">Bảng E.1. Câu hỏi phản biện dự kiến và hướng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Câu hỏi có thể gặp</w:t>
            </w:r>
          </w:p>
        </w:tc>
        <w:tc>
          <w:tcPr>
            <w:tcW w:type="dxa" w:w="5960"/>
            <w:tcBorders>
              <w:top w:val="single" w:color="B4BFC9" w:sz="4"/>
              <w:left w:val="single" w:color="B4BFC9" w:sz="4"/>
              <w:bottom w:val="single" w:color="B4BFC9" w:sz="4"/>
              <w:right w:val="single" w:color="B4BFC9" w:sz="4"/>
            </w:tcBorders>
            <w:shd w:fill="DCE7F0" w:color="auto" w:val="clear"/>
            <w:tcMar>
              <w:top w:type="dxa" w:w="60"/>
              <w:left w:type="dxa" w:w="100"/>
              <w:bottom w:type="dxa" w:w="60"/>
              <w:right w:type="dxa" w:w="100"/>
            </w:tcMar>
            <w:vAlign w:val="center"/>
          </w:tcPr>
          <w:p>
            <w:pPr>
              <w:spacing w:after="40" w:before="40" w:line="250" w:lineRule="auto"/>
              <w:jc w:val="center"/>
            </w:pPr>
            <w:r>
              <w:rPr>
                <w:rFonts w:ascii="Times New Roman" w:cs="Times New Roman" w:eastAsia="Times New Roman" w:hAnsi="Times New Roman"/>
                <w:b/>
                <w:bCs/>
                <w:i w:val="false"/>
                <w:iCs w:val="false"/>
                <w:color w:val="1B1C1D"/>
                <w:sz w:val="22"/>
                <w:szCs w:val="22"/>
              </w:rPr>
              <w:t xml:space="preserve">Hướng trả lời</w:t>
            </w:r>
          </w:p>
        </w:tc>
      </w:tr>
      <w:tr>
        <w:trPr>
          <w:cantSplit/>
        </w:trPr>
        <w:tc>
          <w:tcPr>
            <w:tcW w:type="dxa" w:w="3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Vì sao mục phần mềm lại mỏng hơn hẳn phần phần cứng?</w:t>
            </w:r>
          </w:p>
        </w:tc>
        <w:tc>
          <w:tcPr>
            <w:tcW w:type="dxa" w:w="59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Bản cải thiện đã khắc phục: mục 2.3 hiện có chín mục con, chín bảng và hai sơ đồ. Nếu câu hỏi hướng vào bản cũ, có thể trả lời rằng thông tin về phần mềm vốn nằm rải rác ở Chương 1, 3 và 4, nay đã được hệ thống hóa về đúng vị trí.</w:t>
            </w:r>
          </w:p>
        </w:tc>
      </w:tr>
      <w:tr>
        <w:trPr>
          <w:cantSplit/>
        </w:trPr>
        <w:tc>
          <w:tcPr>
            <w:tcW w:type="dxa" w:w="3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Ai là nhà cung cấp phần mềm HIS?</w:t>
            </w:r>
          </w:p>
        </w:tc>
        <w:tc>
          <w:tcPr>
            <w:tcW w:type="dxa" w:w="59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Công ty VietSens, theo mô hình thuê dịch vụ. Chữ ký số do SoftDreams cung cấp. Cả hai đều được nêu trong báo cáo tại mục 3.2 và 2.5.</w:t>
            </w:r>
          </w:p>
        </w:tc>
      </w:tr>
      <w:tr>
        <w:trPr>
          <w:cantSplit/>
        </w:trPr>
        <w:tc>
          <w:tcPr>
            <w:tcW w:type="dxa" w:w="3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Bệnh viện tự phát triển hay đi thuê phần mềm?</w:t>
            </w:r>
          </w:p>
        </w:tc>
        <w:tc>
          <w:tcPr>
            <w:tcW w:type="dxa" w:w="59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Thuê dịch vụ đối với HIS và EMR. Ưu điểm là cập nhật nhanh yêu cầu của Bảo hiểm Xã hội và Bộ Y tế, giảm chi phí bảo trì. Nhược điểm là phụ thuộc tiến độ nhà cung cấp — điều này đã được nêu tại mục 5.2.</w:t>
            </w:r>
          </w:p>
        </w:tc>
      </w:tr>
      <w:tr>
        <w:trPr>
          <w:cantSplit/>
        </w:trPr>
        <w:tc>
          <w:tcPr>
            <w:tcW w:type="dxa" w:w="3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Các phần mềm do nhà cung cấp khác nhau xây dựng thì trao đổi dữ liệu bằng cách nào?</w:t>
            </w:r>
          </w:p>
        </w:tc>
        <w:tc>
          <w:tcPr>
            <w:tcW w:type="dxa" w:w="59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Qua bộ chuẩn chung: HL7 FHIR cho dữ liệu lâm sàng nội viện, DICOM cho ảnh y khoa, Modality Worklist cho danh sách chỉ định, XML cho hồ sơ Bảo hiểm Xã hội, HL7 CDA và FHIR cho liên thông ngoại viện.</w:t>
            </w:r>
          </w:p>
        </w:tc>
      </w:tr>
      <w:tr>
        <w:trPr>
          <w:cantSplit/>
        </w:trPr>
        <w:tc>
          <w:tcPr>
            <w:tcW w:type="dxa" w:w="3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Phần mềm nào đòi hỏi phần cứng mạnh nhất và vì sao?</w:t>
            </w:r>
          </w:p>
        </w:tc>
        <w:tc>
          <w:tcPr>
            <w:tcW w:type="dxa" w:w="59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Cơ sở dữ liệu của HIS và EMR, vì phải phục vụ hàng nghìn truy vấn đồng thời với độ trễ dưới một phần nghìn giây và không được phép sai lệch dữ liệu. Do đó Database Server có cấu hình cao nhất: hai CPU, từ 128 đến 256 GB RAM, ổ NVMe cấu hình RAID 10.</w:t>
            </w:r>
          </w:p>
        </w:tc>
      </w:tr>
      <w:tr>
        <w:trPr>
          <w:cantSplit/>
        </w:trPr>
        <w:tc>
          <w:tcPr>
            <w:tcW w:type="dxa" w:w="340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Trí tuệ nhân tạo đã được ứng dụng ở mức nào?</w:t>
            </w:r>
          </w:p>
        </w:tc>
        <w:tc>
          <w:tcPr>
            <w:tcW w:type="dxa" w:w="5960"/>
            <w:tcBorders>
              <w:top w:val="single" w:color="B4BFC9" w:sz="4"/>
              <w:left w:val="single" w:color="B4BFC9" w:sz="4"/>
              <w:bottom w:val="single" w:color="B4BFC9" w:sz="4"/>
              <w:right w:val="single" w:color="B4BFC9" w:sz="4"/>
            </w:tcBorders>
            <w:shd w:fill="F4F7FA" w:color="auto" w:val="clear"/>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Ba ứng dụng: FSpineNet cho tổn thương cột sống do chính bệnh viện huấn luyện, AI hỗ trợ X-quang phổi tích hợp vào PACS, và AI kiểm soát gây mê. Ngoài ra đang nghiên cứu AI hỗ trợ ánh xạ thuật ngữ SNOMED CT. AI chỉ đóng vai trò hỗ trợ, không thay thế kết luận của bác sĩ.</w:t>
            </w:r>
          </w:p>
        </w:tc>
      </w:tr>
      <w:tr>
        <w:trPr>
          <w:cantSplit/>
        </w:trPr>
        <w:tc>
          <w:tcPr>
            <w:tcW w:type="dxa" w:w="340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Nếu hệ thống EMR gặp sự cố thì bệnh viện xử lý ra sao?</w:t>
            </w:r>
          </w:p>
        </w:tc>
        <w:tc>
          <w:tcPr>
            <w:tcW w:type="dxa" w:w="5960"/>
            <w:tcBorders>
              <w:top w:val="single" w:color="B4BFC9" w:sz="4"/>
              <w:left w:val="single" w:color="B4BFC9" w:sz="4"/>
              <w:bottom w:val="single" w:color="B4BFC9" w:sz="4"/>
              <w:right w:val="single" w:color="B4BFC9" w:sz="4"/>
            </w:tcBorders>
            <w:tcMar>
              <w:top w:type="dxa" w:w="60"/>
              <w:left w:type="dxa" w:w="100"/>
              <w:bottom w:type="dxa" w:w="60"/>
              <w:right w:type="dxa" w:w="100"/>
            </w:tcMar>
            <w:vAlign w:val="center"/>
          </w:tcPr>
          <w:p>
            <w:pPr>
              <w:spacing w:after="40" w:before="40" w:line="250" w:lineRule="auto"/>
              <w:jc w:val="left"/>
            </w:pPr>
            <w:r>
              <w:rPr>
                <w:rFonts w:ascii="Times New Roman" w:cs="Times New Roman" w:eastAsia="Times New Roman" w:hAnsi="Times New Roman"/>
                <w:b w:val="false"/>
                <w:bCs w:val="false"/>
                <w:i w:val="false"/>
                <w:iCs w:val="false"/>
                <w:color w:val="1B1C1D"/>
                <w:sz w:val="22"/>
                <w:szCs w:val="22"/>
              </w:rPr>
              <w:t xml:space="preserve">Có quy trình đã ban hành với mốc xử lý hai giờ và phương án dự phòng bằng giấy: in biểu mẫu từ kho mẫu phiếu tại khoa, ký tay, sau đó quét và tải lại vào EMR. Nội dung chi tiết tại mục 3.2.</w:t>
            </w:r>
          </w:p>
        </w:tc>
      </w:tr>
    </w:tbl>
    <w:p>
      <w:pPr>
        <w:spacing w:after="300" w:before="0"/>
      </w:pPr>
      <w:r>
        <w:rPr>
          <w:rFonts w:ascii="Times New Roman" w:cs="Times New Roman" w:eastAsia="Times New Roman" w:hAnsi="Times New Roman"/>
          <w:b w:val="false"/>
          <w:bCs w:val="false"/>
          <w:i w:val="false"/>
          <w:iCs w:val="false"/>
          <w:color w:val="1B1C1D"/>
          <w:sz w:val="26"/>
          <w:szCs w:val="26"/>
        </w:rPr>
        <w:t xml:space="preserve"/>
      </w:r>
    </w:p>
    <w:p>
      <w:pPr>
        <w:spacing w:after="0" w:before="400" w:line="280" w:lineRule="auto"/>
        <w:jc w:val="center"/>
      </w:pPr>
      <w:r>
        <w:rPr>
          <w:rFonts w:ascii="Times New Roman" w:cs="Times New Roman" w:eastAsia="Times New Roman" w:hAnsi="Times New Roman"/>
          <w:b w:val="false"/>
          <w:bCs w:val="false"/>
          <w:i/>
          <w:iCs/>
          <w:color w:val="6B7780"/>
          <w:sz w:val="22"/>
          <w:szCs w:val="22"/>
        </w:rPr>
        <w:t xml:space="preserve">Nguồn: tổng hợp và hệ thống hóa từ Chương 1, 2, 3, 4 và 5 của Báo cáo đồ án – Nhóm 3 (bản FINAL).</w:t>
      </w:r>
    </w:p>
    <w:sectPr>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i/>
        <w:iCs/>
        <w:color w:val="6B7780"/>
        <w:sz w:val="20"/>
        <w:szCs w:val="20"/>
      </w:rPr>
      <w:t xml:space="preserve">Tài liệu cải thiện mục 2.3 – Hạ tầng phần mềm · Đồ án CSHT CNTT – BV Nguyễn Tri Phương</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6B77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rPr>
        <w:rFonts w:ascii="Times New Roman" w:cs="Times New Roman" w:eastAsia="Times New Roman" w:hAnsi="Times New Roman"/>
        <w:color w:val="1B1C1D"/>
        <w:sz w:val="26"/>
        <w:szCs w:val="26"/>
      </w:rPr>
    </w:lvl>
  </w:abstractNum>
  <w:abstractNum w:abstractNumId="3" w15:restartNumberingAfterBreak="0">
    <w:multiLevelType w:val="hybridMultilevel"/>
    <w:lvl w:ilvl="0" w15:tentative="1">
      <w:start w:val="1"/>
      <w:numFmt w:val="decimal"/>
      <w:lvlText w:val="%1."/>
      <w:lvlJc w:val="start"/>
      <w:pPr>
        <w:ind w:left="720" w:hanging="360"/>
      </w:pPr>
      <w:rPr>
        <w:rFonts w:ascii="Times New Roman" w:cs="Times New Roman" w:eastAsia="Times New Roman" w:hAnsi="Times New Roman"/>
        <w:color w:val="1B1C1D"/>
        <w:sz w:val="26"/>
        <w:szCs w:val="2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B1C1D"/>
        <w:sz w:val="26"/>
        <w:szCs w:val="26"/>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2E4F6B"/>
      <w:sz w:val="30"/>
      <w:szCs w:val="30"/>
    </w:rPr>
  </w:style>
  <w:style w:type="paragraph" w:styleId="Heading2">
    <w:name w:val="Heading 2"/>
    <w:basedOn w:val="Normal"/>
    <w:next w:val="Normal"/>
    <w:qFormat/>
    <w:rPr>
      <w:rFonts w:ascii="Times New Roman" w:cs="Times New Roman" w:eastAsia="Times New Roman" w:hAnsi="Times New Roman"/>
      <w:b/>
      <w:bCs/>
      <w:color w:val="2E4F6B"/>
      <w:sz w:val="28"/>
      <w:szCs w:val="28"/>
    </w:rPr>
  </w:style>
  <w:style w:type="paragraph" w:styleId="Heading3">
    <w:name w:val="Heading 3"/>
    <w:basedOn w:val="Normal"/>
    <w:next w:val="Normal"/>
    <w:qFormat/>
    <w:rPr>
      <w:rFonts w:ascii="Times New Roman" w:cs="Times New Roman" w:eastAsia="Times New Roman" w:hAnsi="Times New Roman"/>
      <w:b/>
      <w:bCs/>
      <w:color w:val="1B1C1D"/>
      <w:sz w:val="26"/>
      <w:szCs w:val="26"/>
    </w:rPr>
  </w:style>
  <w:style w:type="paragraph" w:styleId="Heading4">
    <w:name w:val="Heading 4"/>
    <w:basedOn w:val="Normal"/>
    <w:next w:val="Normal"/>
    <w:qFormat/>
    <w:rPr>
      <w:rFonts w:ascii="Times New Roman" w:cs="Times New Roman" w:eastAsia="Times New Roman" w:hAnsi="Times New Roman"/>
      <w:b/>
      <w:bCs/>
      <w:color w:val="1B1C1D"/>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be3a0cf01ec63e7932c8a36e22d3fcf96ff57fd8.png"/><Relationship Id="rId15" Type="http://schemas.openxmlformats.org/officeDocument/2006/relationships/image" Target="media/9e19bd2e403dd4b10d683b8511c1b43de6df720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2026-08-18T13:18:34.963Z</dcterms:created>
  <dcterms:modified xsi:type="dcterms:W3CDTF">2026-08-18T13:18:34.963Z</dcterms:modified>
</cp:coreProperties>
</file>

<file path=docProps/custom.xml><?xml version="1.0" encoding="utf-8"?>
<Properties xmlns="http://schemas.openxmlformats.org/officeDocument/2006/custom-properties" xmlns:vt="http://schemas.openxmlformats.org/officeDocument/2006/docPropsVTypes"/>
</file>