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3A5C"/>
          <w:sz w:val="52"/>
          <w:szCs w:val="52"/>
        </w:rPr>
        <w:t xml:space="preserve">🌍  Refugee &amp; Displacement Risk Predictor</w:t>
      </w:r>
    </w:p>
    <w:p>
      <w:pPr>
        <w:spacing w:before="0" w:after="60"/>
        <w:jc w:val="center"/>
      </w:pPr>
      <w:r>
        <w:rPr>
          <w:rFonts w:ascii="Arial" w:cs="Arial" w:eastAsia="Arial" w:hAnsi="Arial"/>
          <w:i/>
          <w:iCs/>
          <w:color w:val="2E86C1"/>
          <w:sz w:val="28"/>
          <w:szCs w:val="28"/>
        </w:rPr>
        <w:t xml:space="preserve">An ML-Powered Dashboard for Forecasting War &amp; Climate Displacement</w:t>
      </w:r>
    </w:p>
    <w:p>
      <w:pPr>
        <w:spacing w:before="0" w:after="80"/>
        <w:jc w:val="center"/>
      </w:pPr>
      <w:r>
        <w:rPr>
          <w:rFonts w:ascii="Arial" w:cs="Arial" w:eastAsia="Arial" w:hAnsi="Arial"/>
          <w:color w:val="555555"/>
          <w:sz w:val="20"/>
          <w:szCs w:val="20"/>
        </w:rPr>
        <w:t xml:space="preserve">Version 1.0  •  March 2026  •  Built with Python, Streamlit &amp; Scikit-Learn</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none"/>
              <w:bottom w:val="none"/>
              <w:right w:val="none"/>
            </w:tcBorders>
            <w:shd w:fill="EBF5FB" w:val="clear"/>
            <w:tcMar>
              <w:top w:type="dxa" w:w="120"/>
              <w:left w:type="dxa" w:w="200"/>
              <w:bottom w:type="dxa" w:w="120"/>
              <w:right w:type="dxa" w:w="200"/>
            </w:tcMar>
          </w:tcPr>
          <w:p>
            <w:r>
              <w:rPr>
                <w:rFonts w:ascii="Arial" w:cs="Arial" w:eastAsia="Arial" w:hAnsi="Arial"/>
                <w:b/>
                <w:bCs/>
                <w:color w:val="2E86C1"/>
                <w:sz w:val="22"/>
                <w:szCs w:val="22"/>
              </w:rPr>
              <w:t xml:space="preserve">🎯 What is this tool?</w:t>
            </w:r>
          </w:p>
          <w:p>
            <w:r>
              <w:rPr>
                <w:rFonts w:ascii="Arial" w:cs="Arial" w:eastAsia="Arial" w:hAnsi="Arial"/>
                <w:color w:val="333333"/>
                <w:sz w:val="21"/>
                <w:szCs w:val="21"/>
              </w:rPr>
              <w:t xml:space="preserve">This dashboard uses machine learning to analyze 18 indicators across 50 countries and forecast which populations are at risk of forced displacement — whether driven by armed conflict, climate change, economic collapse, or governance breakdown. It covers historical data from 2010 to 2025, with forward projections through 2030.</w:t>
            </w:r>
          </w:p>
        </w:tc>
      </w:tr>
    </w:tbl>
    <w:p>
      <w:pPr>
        <w:spacing w:before="0" w:after="240"/>
      </w:pPr>
    </w:p>
    <w:p>
      <w:pPr>
        <w:pStyle w:val="Heading1"/>
        <w:spacing w:before="360" w:after="160"/>
      </w:pPr>
      <w:r>
        <w:rPr>
          <w:rFonts w:ascii="Arial" w:cs="Arial" w:eastAsia="Arial" w:hAnsi="Arial"/>
          <w:b/>
          <w:bCs/>
          <w:color w:val="1A3A5C"/>
          <w:sz w:val="36"/>
          <w:szCs w:val="36"/>
        </w:rPr>
        <w:t xml:space="preserve">1. Project Overview</w:t>
      </w:r>
    </w:p>
    <w:p>
      <w:pPr>
        <w:spacing w:before="80" w:after="120"/>
      </w:pPr>
      <w:r>
        <w:rPr>
          <w:rFonts w:ascii="Arial" w:cs="Arial" w:eastAsia="Arial" w:hAnsi="Arial"/>
          <w:b w:val="false"/>
          <w:bCs w:val="false"/>
          <w:i w:val="false"/>
          <w:iCs w:val="false"/>
          <w:color w:val="222222"/>
          <w:sz w:val="22"/>
          <w:szCs w:val="22"/>
        </w:rPr>
        <w:t xml:space="preserve">Forced displacement is one of the most complex and urgent humanitarian challenges of the 21st century. At the end of 2023, the United Nations High Commissioner for Refugees (UNHCR) estimated that over 117 million people worldwide were forcibly displaced — the highest number ever recorded. These movements are driven by an increasingly intertwined combination of armed conflict, climate-related disasters, economic collapse, and government failure.</w:t>
      </w:r>
    </w:p>
    <w:p>
      <w:pPr>
        <w:spacing w:before="0" w:after="80"/>
      </w:pPr>
    </w:p>
    <w:p>
      <w:pPr>
        <w:spacing w:before="80" w:after="120"/>
      </w:pPr>
      <w:r>
        <w:rPr>
          <w:rFonts w:ascii="Arial" w:cs="Arial" w:eastAsia="Arial" w:hAnsi="Arial"/>
          <w:b w:val="false"/>
          <w:bCs w:val="false"/>
          <w:i w:val="false"/>
          <w:iCs w:val="false"/>
          <w:color w:val="222222"/>
          <w:sz w:val="22"/>
          <w:szCs w:val="22"/>
        </w:rPr>
        <w:t xml:space="preserve">This dashboard was built to give researchers, policymakers, NGOs, and students a single, interactive tool to:</w:t>
      </w:r>
    </w:p>
    <w:p>
      <w:pPr>
        <w:pStyle w:val="ListParagraph"/>
        <w:numPr>
          <w:ilvl w:val="0"/>
          <w:numId w:val="2"/>
        </w:numPr>
        <w:spacing w:before="40" w:after="60"/>
      </w:pPr>
      <w:r>
        <w:rPr>
          <w:rFonts w:ascii="Arial" w:cs="Arial" w:eastAsia="Arial" w:hAnsi="Arial"/>
          <w:color w:val="222222"/>
          <w:sz w:val="22"/>
          <w:szCs w:val="22"/>
        </w:rPr>
        <w:t xml:space="preserve">Visualize displacement risk across 50 countries on an interactive world map</w:t>
      </w:r>
    </w:p>
    <w:p>
      <w:pPr>
        <w:pStyle w:val="ListParagraph"/>
        <w:numPr>
          <w:ilvl w:val="0"/>
          <w:numId w:val="2"/>
        </w:numPr>
        <w:spacing w:before="40" w:after="60"/>
      </w:pPr>
      <w:r>
        <w:rPr>
          <w:rFonts w:ascii="Arial" w:cs="Arial" w:eastAsia="Arial" w:hAnsi="Arial"/>
          <w:color w:val="222222"/>
          <w:sz w:val="22"/>
          <w:szCs w:val="22"/>
        </w:rPr>
        <w:t xml:space="preserve">Understand the relative contribution of climate, conflict, economic, and governance factors</w:t>
      </w:r>
    </w:p>
    <w:p>
      <w:pPr>
        <w:pStyle w:val="ListParagraph"/>
        <w:numPr>
          <w:ilvl w:val="0"/>
          <w:numId w:val="2"/>
        </w:numPr>
        <w:spacing w:before="40" w:after="60"/>
      </w:pPr>
      <w:r>
        <w:rPr>
          <w:rFonts w:ascii="Arial" w:cs="Arial" w:eastAsia="Arial" w:hAnsi="Arial"/>
          <w:color w:val="222222"/>
          <w:sz w:val="22"/>
          <w:szCs w:val="22"/>
        </w:rPr>
        <w:t xml:space="preserve">Forecast displacement volumes and risk classifications out to 2030</w:t>
      </w:r>
    </w:p>
    <w:p>
      <w:pPr>
        <w:pStyle w:val="ListParagraph"/>
        <w:numPr>
          <w:ilvl w:val="0"/>
          <w:numId w:val="2"/>
        </w:numPr>
        <w:spacing w:before="40" w:after="60"/>
      </w:pPr>
      <w:r>
        <w:rPr>
          <w:rFonts w:ascii="Arial" w:cs="Arial" w:eastAsia="Arial" w:hAnsi="Arial"/>
          <w:color w:val="222222"/>
          <w:sz w:val="22"/>
          <w:szCs w:val="22"/>
        </w:rPr>
        <w:t xml:space="preserve">Deep-dive into individual country profiles with time-series and radar visualizations</w:t>
      </w:r>
    </w:p>
    <w:p>
      <w:pPr>
        <w:pStyle w:val="ListParagraph"/>
        <w:numPr>
          <w:ilvl w:val="0"/>
          <w:numId w:val="2"/>
        </w:numPr>
        <w:spacing w:before="40" w:after="60"/>
      </w:pPr>
      <w:r>
        <w:rPr>
          <w:rFonts w:ascii="Arial" w:cs="Arial" w:eastAsia="Arial" w:hAnsi="Arial"/>
          <w:color w:val="222222"/>
          <w:sz w:val="22"/>
          <w:szCs w:val="22"/>
        </w:rPr>
        <w:t xml:space="preserve">Explore the underlying machine learning models and their feature importance</w:t>
      </w:r>
    </w:p>
    <w:p>
      <w:pPr>
        <w:spacing w:before="0" w:after="160"/>
      </w:pPr>
    </w:p>
    <w:p>
      <w:pPr>
        <w:pStyle w:val="Heading1"/>
        <w:spacing w:before="360" w:after="160"/>
      </w:pPr>
      <w:r>
        <w:rPr>
          <w:rFonts w:ascii="Arial" w:cs="Arial" w:eastAsia="Arial" w:hAnsi="Arial"/>
          <w:b/>
          <w:bCs/>
          <w:color w:val="1A3A5C"/>
          <w:sz w:val="36"/>
          <w:szCs w:val="36"/>
        </w:rPr>
        <w:t xml:space="preserve">2. Data Sources &amp; Indicators</w:t>
      </w:r>
    </w:p>
    <w:p>
      <w:pPr>
        <w:spacing w:before="80" w:after="120"/>
      </w:pPr>
      <w:r>
        <w:rPr>
          <w:rFonts w:ascii="Arial" w:cs="Arial" w:eastAsia="Arial" w:hAnsi="Arial"/>
          <w:b w:val="false"/>
          <w:bCs w:val="false"/>
          <w:i w:val="false"/>
          <w:iCs w:val="false"/>
          <w:color w:val="222222"/>
          <w:sz w:val="22"/>
          <w:szCs w:val="22"/>
        </w:rPr>
        <w:t xml:space="preserve">The dashboard is built on a representative synthetic dataset modeled after four major real-world data families. In a production deployment, each indicator would be replaced by direct API or download feeds from the sources listed below.</w:t>
      </w:r>
    </w:p>
    <w:p>
      <w:pPr>
        <w:spacing w:before="0" w:after="120"/>
      </w:pPr>
    </w:p>
    <w:p>
      <w:pPr>
        <w:pStyle w:val="Heading2"/>
        <w:pBdr>
          <w:bottom w:val="single" w:color="2E86C1" w:sz="4" w:space="4"/>
        </w:pBdr>
        <w:spacing w:before="280" w:after="120"/>
      </w:pPr>
      <w:r>
        <w:rPr>
          <w:rFonts w:ascii="Arial" w:cs="Arial" w:eastAsia="Arial" w:hAnsi="Arial"/>
          <w:b/>
          <w:bCs/>
          <w:color w:val="2E86C1"/>
          <w:sz w:val="28"/>
          <w:szCs w:val="28"/>
        </w:rPr>
        <w:t xml:space="preserve">2.1  Climate Indicators</w:t>
      </w:r>
    </w:p>
    <w:p>
      <w:pPr>
        <w:spacing w:before="80" w:after="120"/>
      </w:pPr>
      <w:r>
        <w:rPr>
          <w:rFonts w:ascii="Arial" w:cs="Arial" w:eastAsia="Arial" w:hAnsi="Arial"/>
          <w:b w:val="false"/>
          <w:bCs w:val="false"/>
          <w:i w:val="false"/>
          <w:iCs w:val="false"/>
          <w:color w:val="222222"/>
          <w:sz w:val="22"/>
          <w:szCs w:val="22"/>
        </w:rPr>
        <w:t xml:space="preserve">Climate data represents one of the fastest-growing drivers of displacement globally, particularly through the compounding effects of extreme weather events, sea-level rise, and agricultural disruption.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Real-World Source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Temperature Anomaly (°C)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IPCC / NASA GISS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Deviation from pre-industrial baseline; rising anomalies increase heat stress and drought</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Flood Risk Index</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EM-DAT / Global Flood Database</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Probability of major flood events based on historical disaster records and hydrological modeling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Drought Index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CHIRPS / PDSI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Standardized Precipitation-Evapotranspiration Index reflecting soil moisture and water stress</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Sea Level Rise (mm)</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NOAA / Copernicus Marine Service</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Cumulative sea-level change relevant to coastal displacement, particularly in delta regions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Crop Yield Loss (%)</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FAO / FAOSTAT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Percentage decline in staple crop yields due to climate stress; strongly correlated with food insecurity</w:t>
            </w:r>
          </w:p>
        </w:tc>
      </w:tr>
    </w:tbl>
    <w:p>
      <w:pPr>
        <w:spacing w:before="0" w:after="200"/>
      </w:pPr>
    </w:p>
    <w:p>
      <w:pPr>
        <w:pStyle w:val="Heading2"/>
        <w:pBdr>
          <w:bottom w:val="single" w:color="2E86C1" w:sz="4" w:space="4"/>
        </w:pBdr>
        <w:spacing w:before="280" w:after="120"/>
      </w:pPr>
      <w:r>
        <w:rPr>
          <w:rFonts w:ascii="Arial" w:cs="Arial" w:eastAsia="Arial" w:hAnsi="Arial"/>
          <w:b/>
          <w:bCs/>
          <w:color w:val="2E86C1"/>
          <w:sz w:val="28"/>
          <w:szCs w:val="28"/>
        </w:rPr>
        <w:t xml:space="preserve">2.2  Conflict Indicators</w:t>
      </w:r>
    </w:p>
    <w:p>
      <w:pPr>
        <w:spacing w:before="80" w:after="120"/>
      </w:pPr>
      <w:r>
        <w:rPr>
          <w:rFonts w:ascii="Arial" w:cs="Arial" w:eastAsia="Arial" w:hAnsi="Arial"/>
          <w:b w:val="false"/>
          <w:bCs w:val="false"/>
          <w:i w:val="false"/>
          <w:iCs w:val="false"/>
          <w:color w:val="222222"/>
          <w:sz w:val="22"/>
          <w:szCs w:val="22"/>
        </w:rPr>
        <w:t xml:space="preserve">Armed conflict remains the primary driver of displacement globally. The dashboard draws on two of the most authoritative real-time conflict tracking datasets in the world.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Real-World Source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Conflict Intensity Score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UCDP Armed Conflict Dataset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Composite measure of conflict severity, frequency, and geographic spread (0–1 scale)</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ACLED Events Count</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Armed Conflict Location &amp; Event Data</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Total number of political violence events including battles, explosions, and civilian targeting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Battle Deaths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UCDP Georeferenced Event Dataset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Estimated fatalities from organized political violence in a given year</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Government Territory Loss</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ACLED / ISW Analysis</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Proportion of national territory under non-state or contested control</w:t>
            </w:r>
          </w:p>
        </w:tc>
      </w:tr>
    </w:tbl>
    <w:p>
      <w:pPr>
        <w:spacing w:before="0" w:after="200"/>
      </w:pPr>
    </w:p>
    <w:p>
      <w:pPr>
        <w:pStyle w:val="Heading2"/>
        <w:pBdr>
          <w:bottom w:val="single" w:color="2E86C1" w:sz="4" w:space="4"/>
        </w:pBdr>
        <w:spacing w:before="280" w:after="120"/>
      </w:pPr>
      <w:r>
        <w:rPr>
          <w:rFonts w:ascii="Arial" w:cs="Arial" w:eastAsia="Arial" w:hAnsi="Arial"/>
          <w:b/>
          <w:bCs/>
          <w:color w:val="2E86C1"/>
          <w:sz w:val="28"/>
          <w:szCs w:val="28"/>
        </w:rPr>
        <w:t xml:space="preserve">2.3  Economic Indicators</w:t>
      </w:r>
    </w:p>
    <w:p>
      <w:pPr>
        <w:spacing w:before="80" w:after="120"/>
      </w:pPr>
      <w:r>
        <w:rPr>
          <w:rFonts w:ascii="Arial" w:cs="Arial" w:eastAsia="Arial" w:hAnsi="Arial"/>
          <w:b w:val="false"/>
          <w:bCs w:val="false"/>
          <w:i w:val="false"/>
          <w:iCs w:val="false"/>
          <w:color w:val="222222"/>
          <w:sz w:val="22"/>
          <w:szCs w:val="22"/>
        </w:rPr>
        <w:t xml:space="preserve">Economic fragility amplifies all other displacement drivers. Populations with few economic alternatives are far more likely to flee when conflict or climate shocks occur.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Real-World Source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GDP per Capita (USD)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World Bank WDI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Annual income per person; low GDP sharply reduces resilience to shocks</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Food Insecurity Index</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FAO SOFI Report</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Share of population experiencing severe food insecurity (IPC Phase 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Gini Coefficient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World Bank / UNDP HDR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Income inequality measure (0–100); higher scores indicate greater societal tension</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Unemployment Rate</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ILO / World Bank</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Broad unemployment including informal sector; high rates fuel instability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Inflation Rate (%)</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IMF World Economic Outlook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Annual consumer price inflation; hyperinflation is a key displacement trigger</w:t>
            </w:r>
          </w:p>
        </w:tc>
      </w:tr>
    </w:tbl>
    <w:p>
      <w:pPr>
        <w:spacing w:before="0" w:after="200"/>
      </w:pPr>
    </w:p>
    <w:p>
      <w:pPr>
        <w:pStyle w:val="Heading2"/>
        <w:pBdr>
          <w:bottom w:val="single" w:color="2E86C1" w:sz="4" w:space="4"/>
        </w:pBdr>
        <w:spacing w:before="280" w:after="120"/>
      </w:pPr>
      <w:r>
        <w:rPr>
          <w:rFonts w:ascii="Arial" w:cs="Arial" w:eastAsia="Arial" w:hAnsi="Arial"/>
          <w:b/>
          <w:bCs/>
          <w:color w:val="2E86C1"/>
          <w:sz w:val="28"/>
          <w:szCs w:val="28"/>
        </w:rPr>
        <w:t xml:space="preserve">2.4  Governance Indicators</w:t>
      </w:r>
    </w:p>
    <w:p>
      <w:pPr>
        <w:spacing w:before="80" w:after="120"/>
      </w:pPr>
      <w:r>
        <w:rPr>
          <w:rFonts w:ascii="Arial" w:cs="Arial" w:eastAsia="Arial" w:hAnsi="Arial"/>
          <w:b w:val="false"/>
          <w:bCs w:val="false"/>
          <w:i w:val="false"/>
          <w:iCs w:val="false"/>
          <w:color w:val="222222"/>
          <w:sz w:val="22"/>
          <w:szCs w:val="22"/>
        </w:rPr>
        <w:t xml:space="preserve">Governance quality determines state capacity to protect populations, manage crises, and maintain territorial control. Weak governance multiplies the impact of every other risk factor.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Real-World Source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Fragile States Index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Fund for Peace (FFP)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Annual composite score (0–120) across 12 cohesion, economic, political, and social indicators</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Press Freedom Index</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Reporters Without Borders (RSF)</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Inverse score of media repression; low press freedom signals authoritarian deterioration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Rule of Law Score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World Justice Project / World Bank WGI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Extent to which citizens and institutions abide by the law and courts function independently</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Corruption Perceptions Index</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Transparency International</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Perceived public sector corruption (inverted for risk scoring)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Political Stability Score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World Bank Worldwide Governance Indicators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Likelihood of government destabilization or unconstitutional change (−2.5 to +2.5)</w:t>
            </w:r>
          </w:p>
        </w:tc>
      </w:tr>
    </w:tbl>
    <w:p>
      <w:pPr>
        <w:spacing w:before="0" w:after="240"/>
      </w:pPr>
    </w:p>
    <w:p>
      <w:pPr>
        <w:pStyle w:val="Heading1"/>
        <w:spacing w:before="360" w:after="160"/>
      </w:pPr>
      <w:r>
        <w:rPr>
          <w:rFonts w:ascii="Arial" w:cs="Arial" w:eastAsia="Arial" w:hAnsi="Arial"/>
          <w:b/>
          <w:bCs/>
          <w:color w:val="1A3A5C"/>
          <w:sz w:val="36"/>
          <w:szCs w:val="36"/>
        </w:rPr>
        <w:t xml:space="preserve">3. Machine Learning Models</w:t>
      </w:r>
    </w:p>
    <w:p>
      <w:pPr>
        <w:pStyle w:val="Heading2"/>
        <w:pBdr>
          <w:bottom w:val="single" w:color="2E86C1" w:sz="4" w:space="4"/>
        </w:pBdr>
        <w:spacing w:before="280" w:after="120"/>
      </w:pPr>
      <w:r>
        <w:rPr>
          <w:rFonts w:ascii="Arial" w:cs="Arial" w:eastAsia="Arial" w:hAnsi="Arial"/>
          <w:b/>
          <w:bCs/>
          <w:color w:val="2E86C1"/>
          <w:sz w:val="28"/>
          <w:szCs w:val="28"/>
        </w:rPr>
        <w:t xml:space="preserve">3.1  Architecture Overview</w:t>
      </w:r>
    </w:p>
    <w:p>
      <w:pPr>
        <w:spacing w:before="80" w:after="120"/>
      </w:pPr>
      <w:r>
        <w:rPr>
          <w:rFonts w:ascii="Arial" w:cs="Arial" w:eastAsia="Arial" w:hAnsi="Arial"/>
          <w:b w:val="false"/>
          <w:bCs w:val="false"/>
          <w:i w:val="false"/>
          <w:iCs w:val="false"/>
          <w:color w:val="222222"/>
          <w:sz w:val="22"/>
          <w:szCs w:val="22"/>
        </w:rPr>
        <w:t xml:space="preserve">The dashboard uses two separate machine learning models that work in tandem: one to classify a country's risk level, and one to estimate the volume of displaced persons.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Training Period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Risk Classifier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Random Forest (200 trees, max depth 12)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4-class: Critical / High / Medium / 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2010–2023</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Displacement Forecaster</w:t>
            </w:r>
          </w:p>
        </w:tc>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Gradient Boosting Regressor (200 trees, lr=0.08)</w:t>
            </w:r>
          </w:p>
        </w:tc>
        <w:tc>
          <w:tcPr>
            <w:tcW w:type="dxa" w:w="2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Displaced persons count</w:t>
            </w:r>
          </w:p>
        </w:tc>
        <w:tc>
          <w:tcPr>
            <w:tcW w:type="dxa" w:w="1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2010–2023</w:t>
            </w:r>
          </w:p>
        </w:tc>
      </w:tr>
    </w:tbl>
    <w:p>
      <w:pPr>
        <w:spacing w:before="0" w:after="160"/>
      </w:pPr>
    </w:p>
    <w:p>
      <w:pPr>
        <w:pStyle w:val="Heading2"/>
        <w:pBdr>
          <w:bottom w:val="single" w:color="2E86C1" w:sz="4" w:space="4"/>
        </w:pBdr>
        <w:spacing w:before="280" w:after="120"/>
      </w:pPr>
      <w:r>
        <w:rPr>
          <w:rFonts w:ascii="Arial" w:cs="Arial" w:eastAsia="Arial" w:hAnsi="Arial"/>
          <w:b/>
          <w:bCs/>
          <w:color w:val="2E86C1"/>
          <w:sz w:val="28"/>
          <w:szCs w:val="28"/>
        </w:rPr>
        <w:t xml:space="preserve">3.2  Feature Engineering</w:t>
      </w:r>
    </w:p>
    <w:p>
      <w:pPr>
        <w:spacing w:before="80" w:after="120"/>
      </w:pPr>
      <w:r>
        <w:rPr>
          <w:rFonts w:ascii="Arial" w:cs="Arial" w:eastAsia="Arial" w:hAnsi="Arial"/>
          <w:b w:val="false"/>
          <w:bCs w:val="false"/>
          <w:i w:val="false"/>
          <w:iCs w:val="false"/>
          <w:color w:val="222222"/>
          <w:sz w:val="22"/>
          <w:szCs w:val="22"/>
        </w:rPr>
        <w:t xml:space="preserve">All 18 features are standardized using a StandardScaler before being passed to either model. This ensures that features with different units (e.g., GDP in thousands vs. flood risk as a 0–1 score) contribute equally to model training. Features are grouped into four weighted categories: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Driver Category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Weight in Risk Score</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Features Included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Conflict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Conflict intensity, ACLED events, battle deaths, territory loss</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Climate</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25%</w:t>
            </w:r>
          </w:p>
        </w:tc>
        <w:tc>
          <w:tcPr>
            <w:tcW w:type="dxa" w:w="5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Temperature anomaly, flood risk, drought index, sea level rise, crop yield loss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Economic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GDP per capita, food insecurity, Gini coefficient, unemployment, inflation</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Governance</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20%</w:t>
            </w:r>
          </w:p>
        </w:tc>
        <w:tc>
          <w:tcPr>
            <w:tcW w:type="dxa" w:w="5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Fragile States Index, press freedom, rule of law, corruption, political stability</w:t>
            </w:r>
          </w:p>
        </w:tc>
      </w:tr>
    </w:tbl>
    <w:p>
      <w:pPr>
        <w:spacing w:before="0" w:after="160"/>
      </w:pPr>
    </w:p>
    <w:p>
      <w:pPr>
        <w:pStyle w:val="Heading2"/>
        <w:pBdr>
          <w:bottom w:val="single" w:color="2E86C1" w:sz="4" w:space="4"/>
        </w:pBdr>
        <w:spacing w:before="280" w:after="120"/>
      </w:pPr>
      <w:r>
        <w:rPr>
          <w:rFonts w:ascii="Arial" w:cs="Arial" w:eastAsia="Arial" w:hAnsi="Arial"/>
          <w:b/>
          <w:bCs/>
          <w:color w:val="2E86C1"/>
          <w:sz w:val="28"/>
          <w:szCs w:val="28"/>
        </w:rPr>
        <w:t xml:space="preserve">3.3  Risk Classification Logic</w:t>
      </w:r>
    </w:p>
    <w:p>
      <w:pPr>
        <w:spacing w:before="80" w:after="120"/>
      </w:pPr>
      <w:r>
        <w:rPr>
          <w:rFonts w:ascii="Arial" w:cs="Arial" w:eastAsia="Arial" w:hAnsi="Arial"/>
          <w:b w:val="false"/>
          <w:bCs w:val="false"/>
          <w:i w:val="false"/>
          <w:iCs w:val="false"/>
          <w:color w:val="222222"/>
          <w:sz w:val="22"/>
          <w:szCs w:val="22"/>
        </w:rPr>
        <w:t xml:space="preserve">The Random Forest classifier assigns one of four risk labels based on the composite risk score: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 Score Range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0.75 – 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Active conflict or imminent climate catastrophe; mass displacement likely or underway</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0.55 – 0.74</w:t>
            </w:r>
          </w:p>
        </w:tc>
        <w:tc>
          <w:tcPr>
            <w:tcW w:type="dxa" w:w="5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Multiple compounding risk factors; significant displacement expected within 1–2 years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0.35 – 0.54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Elevated vulnerability; displacement possible under additional shocks</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Low</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0.00 – 0.34</w:t>
            </w:r>
          </w:p>
        </w:tc>
        <w:tc>
          <w:tcPr>
            <w:tcW w:type="dxa" w:w="5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Relatively stable; displacement driven primarily by economic migration rather than forced flight</w:t>
            </w:r>
          </w:p>
        </w:tc>
      </w:tr>
    </w:tbl>
    <w:p>
      <w:pPr>
        <w:spacing w:before="0" w:after="160"/>
      </w:pPr>
    </w:p>
    <w:p>
      <w:pPr>
        <w:pStyle w:val="Heading2"/>
        <w:pBdr>
          <w:bottom w:val="single" w:color="2E86C1" w:sz="4" w:space="4"/>
        </w:pBdr>
        <w:spacing w:before="280" w:after="120"/>
      </w:pPr>
      <w:r>
        <w:rPr>
          <w:rFonts w:ascii="Arial" w:cs="Arial" w:eastAsia="Arial" w:hAnsi="Arial"/>
          <w:b/>
          <w:bCs/>
          <w:color w:val="2E86C1"/>
          <w:sz w:val="28"/>
          <w:szCs w:val="28"/>
        </w:rPr>
        <w:t xml:space="preserve">3.4  Forecast Methodology (2026–2030)</w:t>
      </w:r>
    </w:p>
    <w:p>
      <w:pPr>
        <w:spacing w:before="80" w:after="120"/>
      </w:pPr>
      <w:r>
        <w:rPr>
          <w:rFonts w:ascii="Arial" w:cs="Arial" w:eastAsia="Arial" w:hAnsi="Arial"/>
          <w:b w:val="false"/>
          <w:bCs w:val="false"/>
          <w:i w:val="false"/>
          <w:iCs w:val="false"/>
          <w:color w:val="222222"/>
          <w:sz w:val="22"/>
          <w:szCs w:val="22"/>
        </w:rPr>
        <w:t xml:space="preserve">For the 5-year forecast, the 2025 indicator baseline for each country is projected forward using domain-informed trends:</w:t>
      </w:r>
    </w:p>
    <w:p>
      <w:pPr>
        <w:pStyle w:val="ListParagraph"/>
        <w:numPr>
          <w:ilvl w:val="0"/>
          <w:numId w:val="2"/>
        </w:numPr>
        <w:spacing w:before="40" w:after="60"/>
      </w:pPr>
      <w:r>
        <w:rPr>
          <w:rFonts w:ascii="Arial" w:cs="Arial" w:eastAsia="Arial" w:hAnsi="Arial"/>
          <w:color w:val="222222"/>
          <w:sz w:val="22"/>
          <w:szCs w:val="22"/>
        </w:rPr>
        <w:t xml:space="preserve">Temperature anomaly: +0.08°C per year (IPCC RCP4.5 mid-range trajectory)</w:t>
      </w:r>
    </w:p>
    <w:p>
      <w:pPr>
        <w:pStyle w:val="ListParagraph"/>
        <w:numPr>
          <w:ilvl w:val="0"/>
          <w:numId w:val="2"/>
        </w:numPr>
        <w:spacing w:before="40" w:after="60"/>
      </w:pPr>
      <w:r>
        <w:rPr>
          <w:rFonts w:ascii="Arial" w:cs="Arial" w:eastAsia="Arial" w:hAnsi="Arial"/>
          <w:color w:val="222222"/>
          <w:sz w:val="22"/>
          <w:szCs w:val="22"/>
        </w:rPr>
        <w:t xml:space="preserve">Flood risk, drought index, sea level rise: incremental annual increases based on current trend slopes</w:t>
      </w:r>
    </w:p>
    <w:p>
      <w:pPr>
        <w:pStyle w:val="ListParagraph"/>
        <w:numPr>
          <w:ilvl w:val="0"/>
          <w:numId w:val="2"/>
        </w:numPr>
        <w:spacing w:before="40" w:after="60"/>
      </w:pPr>
      <w:r>
        <w:rPr>
          <w:rFonts w:ascii="Arial" w:cs="Arial" w:eastAsia="Arial" w:hAnsi="Arial"/>
          <w:color w:val="222222"/>
          <w:sz w:val="22"/>
          <w:szCs w:val="22"/>
        </w:rPr>
        <w:t xml:space="preserve">Food insecurity: gradually worsens in line with climate stress projections</w:t>
      </w:r>
    </w:p>
    <w:p>
      <w:pPr>
        <w:pStyle w:val="ListParagraph"/>
        <w:numPr>
          <w:ilvl w:val="0"/>
          <w:numId w:val="2"/>
        </w:numPr>
        <w:spacing w:before="40" w:after="60"/>
      </w:pPr>
      <w:r>
        <w:rPr>
          <w:rFonts w:ascii="Arial" w:cs="Arial" w:eastAsia="Arial" w:hAnsi="Arial"/>
          <w:color w:val="222222"/>
          <w:sz w:val="22"/>
          <w:szCs w:val="22"/>
        </w:rPr>
        <w:t xml:space="preserve">Conflict intensity: held near the 2025 baseline with minor random variation (conflicts are harder to extrapolate)</w:t>
      </w:r>
    </w:p>
    <w:p>
      <w:pPr>
        <w:pStyle w:val="ListParagraph"/>
        <w:numPr>
          <w:ilvl w:val="0"/>
          <w:numId w:val="2"/>
        </w:numPr>
        <w:spacing w:before="40" w:after="60"/>
      </w:pPr>
      <w:r>
        <w:rPr>
          <w:rFonts w:ascii="Arial" w:cs="Arial" w:eastAsia="Arial" w:hAnsi="Arial"/>
          <w:color w:val="222222"/>
          <w:sz w:val="22"/>
          <w:szCs w:val="22"/>
        </w:rPr>
        <w:t xml:space="preserve">GDP per capita: depreciates annually in proportion to conflict intensity (high-conflict countries face steeper declines)</w:t>
      </w:r>
    </w:p>
    <w:p>
      <w:pPr>
        <w:spacing w:before="0" w:after="80"/>
      </w:pPr>
    </w:p>
    <w:p>
      <w:pPr>
        <w:spacing w:before="80" w:after="120"/>
      </w:pPr>
      <w:r>
        <w:rPr>
          <w:rFonts w:ascii="Arial" w:cs="Arial" w:eastAsia="Arial" w:hAnsi="Arial"/>
          <w:b w:val="false"/>
          <w:bCs w:val="false"/>
          <w:i w:val="false"/>
          <w:iCs w:val="false"/>
          <w:color w:val="222222"/>
          <w:sz w:val="22"/>
          <w:szCs w:val="22"/>
        </w:rPr>
        <w:t xml:space="preserve">The trained classifier and regressor are then applied to these projected feature sets to generate country-level risk classifications and displacement volume forecasts for each year through 2030.</w:t>
      </w:r>
    </w:p>
    <w:p>
      <w:pPr>
        <w:spacing w:before="0" w:after="160"/>
      </w:pPr>
    </w:p>
    <w:p>
      <w:pPr>
        <w:pStyle w:val="Heading2"/>
        <w:pBdr>
          <w:bottom w:val="single" w:color="2E86C1" w:sz="4" w:space="4"/>
        </w:pBdr>
        <w:spacing w:before="280" w:after="120"/>
      </w:pPr>
      <w:r>
        <w:rPr>
          <w:rFonts w:ascii="Arial" w:cs="Arial" w:eastAsia="Arial" w:hAnsi="Arial"/>
          <w:b/>
          <w:bCs/>
          <w:color w:val="2E86C1"/>
          <w:sz w:val="28"/>
          <w:szCs w:val="28"/>
        </w:rPr>
        <w:t xml:space="preserve">3.5  Model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5-Fold Cross-Validation Accuracy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~85–92%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Evaluated on 2010–2023 training data with stratified folds</w:t>
            </w:r>
          </w:p>
        </w:tc>
      </w:tr>
      <w:tr>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Countries in training set</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50</w:t>
            </w:r>
          </w:p>
        </w:tc>
        <w:tc>
          <w:tcPr>
            <w:tcW w:type="dxa" w:w="4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Spanning all major displacement-affected regions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Total training records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700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50 countries × 14 years (2010–2023)</w:t>
            </w:r>
          </w:p>
        </w:tc>
      </w:tr>
      <w:tr>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Held-out test period</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2024–2025</w:t>
            </w:r>
          </w:p>
        </w:tc>
        <w:tc>
          <w:tcPr>
            <w:tcW w:type="dxa" w:w="4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Used only for visual validation in dashboard</w:t>
            </w:r>
          </w:p>
        </w:tc>
      </w:tr>
    </w:tbl>
    <w:p>
      <w:pPr>
        <w:spacing w:before="0" w:after="240"/>
      </w:pPr>
    </w:p>
    <w:p>
      <w:pPr>
        <w:pStyle w:val="Heading1"/>
        <w:spacing w:before="360" w:after="160"/>
      </w:pPr>
      <w:r>
        <w:rPr>
          <w:rFonts w:ascii="Arial" w:cs="Arial" w:eastAsia="Arial" w:hAnsi="Arial"/>
          <w:b/>
          <w:bCs/>
          <w:color w:val="1A3A5C"/>
          <w:sz w:val="36"/>
          <w:szCs w:val="36"/>
        </w:rPr>
        <w:t xml:space="preserve">4. Dashboard Features &amp; Navigation</w:t>
      </w:r>
    </w:p>
    <w:p>
      <w:pPr>
        <w:pStyle w:val="Heading2"/>
        <w:pBdr>
          <w:bottom w:val="single" w:color="2E86C1" w:sz="4" w:space="4"/>
        </w:pBdr>
        <w:spacing w:before="280" w:after="120"/>
      </w:pPr>
      <w:r>
        <w:rPr>
          <w:rFonts w:ascii="Arial" w:cs="Arial" w:eastAsia="Arial" w:hAnsi="Arial"/>
          <w:b/>
          <w:bCs/>
          <w:color w:val="2E86C1"/>
          <w:sz w:val="28"/>
          <w:szCs w:val="28"/>
        </w:rPr>
        <w:t xml:space="preserve">4.1  Sidebar Controls</w:t>
      </w:r>
    </w:p>
    <w:p>
      <w:pPr>
        <w:spacing w:before="80" w:after="120"/>
      </w:pPr>
      <w:r>
        <w:rPr>
          <w:rFonts w:ascii="Arial" w:cs="Arial" w:eastAsia="Arial" w:hAnsi="Arial"/>
          <w:b w:val="false"/>
          <w:bCs w:val="false"/>
          <w:i w:val="false"/>
          <w:iCs w:val="false"/>
          <w:color w:val="222222"/>
          <w:sz w:val="22"/>
          <w:szCs w:val="22"/>
        </w:rPr>
        <w:t xml:space="preserve">The left sidebar provides global filters that affect all tabs simultaneously:</w:t>
      </w:r>
    </w:p>
    <w:p>
      <w:pPr>
        <w:pStyle w:val="ListParagraph"/>
        <w:numPr>
          <w:ilvl w:val="0"/>
          <w:numId w:val="2"/>
        </w:numPr>
        <w:spacing w:before="40" w:after="60"/>
      </w:pPr>
      <w:r>
        <w:rPr>
          <w:rFonts w:ascii="Arial" w:cs="Arial" w:eastAsia="Arial" w:hAnsi="Arial"/>
          <w:color w:val="222222"/>
          <w:sz w:val="22"/>
          <w:szCs w:val="22"/>
        </w:rPr>
        <w:t xml:space="preserve">Year Slider — Scrub from 2010 to 2030; years after 2025 show forecast data</w:t>
      </w:r>
    </w:p>
    <w:p>
      <w:pPr>
        <w:pStyle w:val="ListParagraph"/>
        <w:numPr>
          <w:ilvl w:val="0"/>
          <w:numId w:val="2"/>
        </w:numPr>
        <w:spacing w:before="40" w:after="60"/>
      </w:pPr>
      <w:r>
        <w:rPr>
          <w:rFonts w:ascii="Arial" w:cs="Arial" w:eastAsia="Arial" w:hAnsi="Arial"/>
          <w:color w:val="222222"/>
          <w:sz w:val="22"/>
          <w:szCs w:val="22"/>
        </w:rPr>
        <w:t xml:space="preserve">Region Filter — Multi-select to focus on specific geographic areas</w:t>
      </w:r>
    </w:p>
    <w:p>
      <w:pPr>
        <w:pStyle w:val="ListParagraph"/>
        <w:numPr>
          <w:ilvl w:val="0"/>
          <w:numId w:val="2"/>
        </w:numPr>
        <w:spacing w:before="40" w:after="60"/>
      </w:pPr>
      <w:r>
        <w:rPr>
          <w:rFonts w:ascii="Arial" w:cs="Arial" w:eastAsia="Arial" w:hAnsi="Arial"/>
          <w:color w:val="222222"/>
          <w:sz w:val="22"/>
          <w:szCs w:val="22"/>
        </w:rPr>
        <w:t xml:space="preserve">Risk Level Filter — Filter to show only Critical, High, Medium, or Low risk countries</w:t>
      </w:r>
    </w:p>
    <w:p>
      <w:pPr>
        <w:pStyle w:val="ListParagraph"/>
        <w:numPr>
          <w:ilvl w:val="0"/>
          <w:numId w:val="2"/>
        </w:numPr>
        <w:spacing w:before="40" w:after="60"/>
      </w:pPr>
      <w:r>
        <w:rPr>
          <w:rFonts w:ascii="Arial" w:cs="Arial" w:eastAsia="Arial" w:hAnsi="Arial"/>
          <w:color w:val="222222"/>
          <w:sz w:val="22"/>
          <w:szCs w:val="22"/>
        </w:rPr>
        <w:t xml:space="preserve">Forecast Toggle — Enable/disable the 2026–2030 projection period</w:t>
      </w:r>
    </w:p>
    <w:p>
      <w:pPr>
        <w:pStyle w:val="ListParagraph"/>
        <w:numPr>
          <w:ilvl w:val="0"/>
          <w:numId w:val="2"/>
        </w:numPr>
        <w:spacing w:before="40" w:after="60"/>
      </w:pPr>
      <w:r>
        <w:rPr>
          <w:rFonts w:ascii="Arial" w:cs="Arial" w:eastAsia="Arial" w:hAnsi="Arial"/>
          <w:color w:val="222222"/>
          <w:sz w:val="22"/>
          <w:szCs w:val="22"/>
        </w:rPr>
        <w:t xml:space="preserve">Model Accuracy — Live display of cross-validation accuracy and standard deviation</w:t>
      </w:r>
    </w:p>
    <w:p>
      <w:pPr>
        <w:spacing w:before="0" w:after="120"/>
      </w:pPr>
    </w:p>
    <w:p>
      <w:pPr>
        <w:pStyle w:val="Heading2"/>
        <w:pBdr>
          <w:bottom w:val="single" w:color="2E86C1" w:sz="4" w:space="4"/>
        </w:pBdr>
        <w:spacing w:before="280" w:after="120"/>
      </w:pPr>
      <w:r>
        <w:rPr>
          <w:rFonts w:ascii="Arial" w:cs="Arial" w:eastAsia="Arial" w:hAnsi="Arial"/>
          <w:b/>
          <w:bCs/>
          <w:color w:val="2E86C1"/>
          <w:sz w:val="28"/>
          <w:szCs w:val="28"/>
        </w:rPr>
        <w:t xml:space="preserve">4.2  Tab 1 — Risk Map</w:t>
      </w:r>
    </w:p>
    <w:p>
      <w:pPr>
        <w:spacing w:before="80" w:after="120"/>
      </w:pPr>
      <w:r>
        <w:rPr>
          <w:rFonts w:ascii="Arial" w:cs="Arial" w:eastAsia="Arial" w:hAnsi="Arial"/>
          <w:b w:val="false"/>
          <w:bCs w:val="false"/>
          <w:i w:val="false"/>
          <w:iCs w:val="false"/>
          <w:color w:val="222222"/>
          <w:sz w:val="22"/>
          <w:szCs w:val="22"/>
        </w:rPr>
        <w:t xml:space="preserve">The Risk Map tab is the primary global overview. It contains three visualizations:</w:t>
      </w:r>
    </w:p>
    <w:p>
      <w:pPr>
        <w:pStyle w:val="ListParagraph"/>
        <w:numPr>
          <w:ilvl w:val="0"/>
          <w:numId w:val="2"/>
        </w:numPr>
        <w:spacing w:before="40" w:after="60"/>
      </w:pPr>
      <w:r>
        <w:rPr>
          <w:rFonts w:ascii="Arial" w:cs="Arial" w:eastAsia="Arial" w:hAnsi="Arial"/>
          <w:color w:val="222222"/>
          <w:sz w:val="22"/>
          <w:szCs w:val="22"/>
        </w:rPr>
        <w:t xml:space="preserve">Global Choropleth Map — Countries shaded from green (low risk) to dark red (critical). Hover over any country to see all indicator values.</w:t>
      </w:r>
    </w:p>
    <w:p>
      <w:pPr>
        <w:pStyle w:val="ListParagraph"/>
        <w:numPr>
          <w:ilvl w:val="0"/>
          <w:numId w:val="2"/>
        </w:numPr>
        <w:spacing w:before="40" w:after="60"/>
      </w:pPr>
      <w:r>
        <w:rPr>
          <w:rFonts w:ascii="Arial" w:cs="Arial" w:eastAsia="Arial" w:hAnsi="Arial"/>
          <w:color w:val="222222"/>
          <w:sz w:val="22"/>
          <w:szCs w:val="22"/>
        </w:rPr>
        <w:t xml:space="preserve">Countries by Risk Class (Donut Chart) — Shows the proportion of currently displayed countries in each risk tier.</w:t>
      </w:r>
    </w:p>
    <w:p>
      <w:pPr>
        <w:pStyle w:val="ListParagraph"/>
        <w:numPr>
          <w:ilvl w:val="0"/>
          <w:numId w:val="2"/>
        </w:numPr>
        <w:spacing w:before="40" w:after="60"/>
      </w:pPr>
      <w:r>
        <w:rPr>
          <w:rFonts w:ascii="Arial" w:cs="Arial" w:eastAsia="Arial" w:hAnsi="Arial"/>
          <w:color w:val="222222"/>
          <w:sz w:val="22"/>
          <w:szCs w:val="22"/>
        </w:rPr>
        <w:t xml:space="preserve">Total Displaced by Risk Class (Bar Chart) — Translates risk classification into humanitarian scale.</w:t>
      </w:r>
    </w:p>
    <w:p>
      <w:pPr>
        <w:pStyle w:val="ListParagraph"/>
        <w:numPr>
          <w:ilvl w:val="0"/>
          <w:numId w:val="2"/>
        </w:numPr>
        <w:spacing w:before="40" w:after="60"/>
      </w:pPr>
      <w:r>
        <w:rPr>
          <w:rFonts w:ascii="Arial" w:cs="Arial" w:eastAsia="Arial" w:hAnsi="Arial"/>
          <w:color w:val="222222"/>
          <w:sz w:val="22"/>
          <w:szCs w:val="22"/>
        </w:rPr>
        <w:t xml:space="preserve">Top 15 Countries by Displaced Persons — Horizontal bar chart with color-coded risk levels.</w:t>
      </w:r>
    </w:p>
    <w:p>
      <w:pPr>
        <w:spacing w:before="0" w:after="120"/>
      </w:pPr>
    </w:p>
    <w:p>
      <w:pPr>
        <w:pStyle w:val="Heading2"/>
        <w:pBdr>
          <w:bottom w:val="single" w:color="2E86C1" w:sz="4" w:space="4"/>
        </w:pBdr>
        <w:spacing w:before="280" w:after="120"/>
      </w:pPr>
      <w:r>
        <w:rPr>
          <w:rFonts w:ascii="Arial" w:cs="Arial" w:eastAsia="Arial" w:hAnsi="Arial"/>
          <w:b/>
          <w:bCs/>
          <w:color w:val="2E86C1"/>
          <w:sz w:val="28"/>
          <w:szCs w:val="28"/>
        </w:rPr>
        <w:t xml:space="preserve">4.3  Tab 2 — Forecasts</w:t>
      </w:r>
    </w:p>
    <w:p>
      <w:pPr>
        <w:spacing w:before="80" w:after="120"/>
      </w:pPr>
      <w:r>
        <w:rPr>
          <w:rFonts w:ascii="Arial" w:cs="Arial" w:eastAsia="Arial" w:hAnsi="Arial"/>
          <w:b w:val="false"/>
          <w:bCs w:val="false"/>
          <w:i w:val="false"/>
          <w:iCs w:val="false"/>
          <w:color w:val="222222"/>
          <w:sz w:val="22"/>
          <w:szCs w:val="22"/>
        </w:rPr>
        <w:t xml:space="preserve">The Forecasts tab provides time-series projections:</w:t>
      </w:r>
    </w:p>
    <w:p>
      <w:pPr>
        <w:pStyle w:val="ListParagraph"/>
        <w:numPr>
          <w:ilvl w:val="0"/>
          <w:numId w:val="2"/>
        </w:numPr>
        <w:spacing w:before="40" w:after="60"/>
      </w:pPr>
      <w:r>
        <w:rPr>
          <w:rFonts w:ascii="Arial" w:cs="Arial" w:eastAsia="Arial" w:hAnsi="Arial"/>
          <w:color w:val="222222"/>
          <w:sz w:val="22"/>
          <w:szCs w:val="22"/>
        </w:rPr>
        <w:t xml:space="preserve">Multi-country line chart — Compare displacement trajectories for up to any combination of the 50 countries, with a shaded forecast zone after 2025.</w:t>
      </w:r>
    </w:p>
    <w:p>
      <w:pPr>
        <w:pStyle w:val="ListParagraph"/>
        <w:numPr>
          <w:ilvl w:val="0"/>
          <w:numId w:val="2"/>
        </w:numPr>
        <w:spacing w:before="40" w:after="60"/>
      </w:pPr>
      <w:r>
        <w:rPr>
          <w:rFonts w:ascii="Arial" w:cs="Arial" w:eastAsia="Arial" w:hAnsi="Arial"/>
          <w:color w:val="222222"/>
          <w:sz w:val="22"/>
          <w:szCs w:val="22"/>
        </w:rPr>
        <w:t xml:space="preserve">Global stacked area chart — Shows total worldwide displacement broken down by risk class over time.</w:t>
      </w:r>
    </w:p>
    <w:p>
      <w:pPr>
        <w:pStyle w:val="ListParagraph"/>
        <w:numPr>
          <w:ilvl w:val="0"/>
          <w:numId w:val="2"/>
        </w:numPr>
        <w:spacing w:before="40" w:after="60"/>
      </w:pPr>
      <w:r>
        <w:rPr>
          <w:rFonts w:ascii="Arial" w:cs="Arial" w:eastAsia="Arial" w:hAnsi="Arial"/>
          <w:color w:val="222222"/>
          <w:sz w:val="22"/>
          <w:szCs w:val="22"/>
        </w:rPr>
        <w:t xml:space="preserve">Climate vs. Conflict driver split — Distinguishes displacement attributable primarily to climate factors from those driven by conflict.</w:t>
      </w:r>
    </w:p>
    <w:p>
      <w:pPr>
        <w:spacing w:before="0" w:after="120"/>
      </w:pPr>
    </w:p>
    <w:p>
      <w:pPr>
        <w:pStyle w:val="Heading2"/>
        <w:pBdr>
          <w:bottom w:val="single" w:color="2E86C1" w:sz="4" w:space="4"/>
        </w:pBdr>
        <w:spacing w:before="280" w:after="120"/>
      </w:pPr>
      <w:r>
        <w:rPr>
          <w:rFonts w:ascii="Arial" w:cs="Arial" w:eastAsia="Arial" w:hAnsi="Arial"/>
          <w:b/>
          <w:bCs/>
          <w:color w:val="2E86C1"/>
          <w:sz w:val="28"/>
          <w:szCs w:val="28"/>
        </w:rPr>
        <w:t xml:space="preserve">4.4  Tab 3 — Country Deep Dive</w:t>
      </w:r>
    </w:p>
    <w:p>
      <w:pPr>
        <w:spacing w:before="80" w:after="120"/>
      </w:pPr>
      <w:r>
        <w:rPr>
          <w:rFonts w:ascii="Arial" w:cs="Arial" w:eastAsia="Arial" w:hAnsi="Arial"/>
          <w:b w:val="false"/>
          <w:bCs w:val="false"/>
          <w:i w:val="false"/>
          <w:iCs w:val="false"/>
          <w:color w:val="222222"/>
          <w:sz w:val="22"/>
          <w:szCs w:val="22"/>
        </w:rPr>
        <w:t xml:space="preserve">The Country Deep Dive tab provides a full analytical profile for any selected country:</w:t>
      </w:r>
    </w:p>
    <w:p>
      <w:pPr>
        <w:pStyle w:val="ListParagraph"/>
        <w:numPr>
          <w:ilvl w:val="0"/>
          <w:numId w:val="2"/>
        </w:numPr>
        <w:spacing w:before="40" w:after="60"/>
      </w:pPr>
      <w:r>
        <w:rPr>
          <w:rFonts w:ascii="Arial" w:cs="Arial" w:eastAsia="Arial" w:hAnsi="Arial"/>
          <w:color w:val="222222"/>
          <w:sz w:val="22"/>
          <w:szCs w:val="22"/>
        </w:rPr>
        <w:t xml:space="preserve">Risk badge and key metrics — Instant summary of risk level, score, displaced persons, conflict intensity, flood risk, and food insecurity.</w:t>
      </w:r>
    </w:p>
    <w:p>
      <w:pPr>
        <w:pStyle w:val="ListParagraph"/>
        <w:numPr>
          <w:ilvl w:val="0"/>
          <w:numId w:val="2"/>
        </w:numPr>
        <w:spacing w:before="40" w:after="60"/>
      </w:pPr>
      <w:r>
        <w:rPr>
          <w:rFonts w:ascii="Arial" w:cs="Arial" w:eastAsia="Arial" w:hAnsi="Arial"/>
          <w:color w:val="222222"/>
          <w:sz w:val="22"/>
          <w:szCs w:val="22"/>
        </w:rPr>
        <w:t xml:space="preserve">Risk Radar Chart — Pentagonal radar showing relative severity across all five driver domains simultaneously.</w:t>
      </w:r>
    </w:p>
    <w:p>
      <w:pPr>
        <w:pStyle w:val="ListParagraph"/>
        <w:numPr>
          <w:ilvl w:val="0"/>
          <w:numId w:val="2"/>
        </w:numPr>
        <w:spacing w:before="40" w:after="60"/>
      </w:pPr>
      <w:r>
        <w:rPr>
          <w:rFonts w:ascii="Arial" w:cs="Arial" w:eastAsia="Arial" w:hAnsi="Arial"/>
          <w:color w:val="222222"/>
          <w:sz w:val="22"/>
          <w:szCs w:val="22"/>
        </w:rPr>
        <w:t xml:space="preserve">Displacement and Risk Score time series — Historical trend plus 2030 forecast with shaded uncertainty zone.</w:t>
      </w:r>
    </w:p>
    <w:p>
      <w:pPr>
        <w:pStyle w:val="ListParagraph"/>
        <w:numPr>
          <w:ilvl w:val="0"/>
          <w:numId w:val="2"/>
        </w:numPr>
        <w:spacing w:before="40" w:after="60"/>
      </w:pPr>
      <w:r>
        <w:rPr>
          <w:rFonts w:ascii="Arial" w:cs="Arial" w:eastAsia="Arial" w:hAnsi="Arial"/>
          <w:color w:val="222222"/>
          <w:sz w:val="22"/>
          <w:szCs w:val="22"/>
        </w:rPr>
        <w:t xml:space="preserve">Conflict and Climate indicator panels — Detailed multi-line charts for each indicator category.</w:t>
      </w:r>
    </w:p>
    <w:p>
      <w:pPr>
        <w:spacing w:before="0" w:after="120"/>
      </w:pPr>
    </w:p>
    <w:p>
      <w:pPr>
        <w:pStyle w:val="Heading2"/>
        <w:pBdr>
          <w:bottom w:val="single" w:color="2E86C1" w:sz="4" w:space="4"/>
        </w:pBdr>
        <w:spacing w:before="280" w:after="120"/>
      </w:pPr>
      <w:r>
        <w:rPr>
          <w:rFonts w:ascii="Arial" w:cs="Arial" w:eastAsia="Arial" w:hAnsi="Arial"/>
          <w:b/>
          <w:bCs/>
          <w:color w:val="2E86C1"/>
          <w:sz w:val="28"/>
          <w:szCs w:val="28"/>
        </w:rPr>
        <w:t xml:space="preserve">4.5  Tab 4 — Model Insights</w:t>
      </w:r>
    </w:p>
    <w:p>
      <w:pPr>
        <w:spacing w:before="80" w:after="120"/>
      </w:pPr>
      <w:r>
        <w:rPr>
          <w:rFonts w:ascii="Arial" w:cs="Arial" w:eastAsia="Arial" w:hAnsi="Arial"/>
          <w:b w:val="false"/>
          <w:bCs w:val="false"/>
          <w:i w:val="false"/>
          <w:iCs w:val="false"/>
          <w:color w:val="222222"/>
          <w:sz w:val="22"/>
          <w:szCs w:val="22"/>
        </w:rPr>
        <w:t xml:space="preserve">This tab exposes the inner workings of the machine learning models:</w:t>
      </w:r>
    </w:p>
    <w:p>
      <w:pPr>
        <w:pStyle w:val="ListParagraph"/>
        <w:numPr>
          <w:ilvl w:val="0"/>
          <w:numId w:val="2"/>
        </w:numPr>
        <w:spacing w:before="40" w:after="60"/>
      </w:pPr>
      <w:r>
        <w:rPr>
          <w:rFonts w:ascii="Arial" w:cs="Arial" w:eastAsia="Arial" w:hAnsi="Arial"/>
          <w:color w:val="222222"/>
          <w:sz w:val="22"/>
          <w:szCs w:val="22"/>
        </w:rPr>
        <w:t xml:space="preserve">Feature Importance (Random Forest) — Ranked bar chart showing which of the 18 indicators most influence the risk classification.</w:t>
      </w:r>
    </w:p>
    <w:p>
      <w:pPr>
        <w:pStyle w:val="ListParagraph"/>
        <w:numPr>
          <w:ilvl w:val="0"/>
          <w:numId w:val="2"/>
        </w:numPr>
        <w:spacing w:before="40" w:after="60"/>
      </w:pPr>
      <w:r>
        <w:rPr>
          <w:rFonts w:ascii="Arial" w:cs="Arial" w:eastAsia="Arial" w:hAnsi="Arial"/>
          <w:color w:val="222222"/>
          <w:sz w:val="22"/>
          <w:szCs w:val="22"/>
        </w:rPr>
        <w:t xml:space="preserve">Feature Correlation with Risk Score — Pearson correlation chart showing positive and negative relationships.</w:t>
      </w:r>
    </w:p>
    <w:p>
      <w:pPr>
        <w:pStyle w:val="ListParagraph"/>
        <w:numPr>
          <w:ilvl w:val="0"/>
          <w:numId w:val="2"/>
        </w:numPr>
        <w:spacing w:before="40" w:after="60"/>
      </w:pPr>
      <w:r>
        <w:rPr>
          <w:rFonts w:ascii="Arial" w:cs="Arial" w:eastAsia="Arial" w:hAnsi="Arial"/>
          <w:color w:val="222222"/>
          <w:sz w:val="22"/>
          <w:szCs w:val="22"/>
        </w:rPr>
        <w:t xml:space="preserve">Methodology table — Summary of all modeling decisions, data normalization, and forecast assumptions.</w:t>
      </w:r>
    </w:p>
    <w:p>
      <w:pPr>
        <w:spacing w:before="0" w:after="120"/>
      </w:pPr>
    </w:p>
    <w:p>
      <w:pPr>
        <w:pStyle w:val="Heading2"/>
        <w:pBdr>
          <w:bottom w:val="single" w:color="2E86C1" w:sz="4" w:space="4"/>
        </w:pBdr>
        <w:spacing w:before="280" w:after="120"/>
      </w:pPr>
      <w:r>
        <w:rPr>
          <w:rFonts w:ascii="Arial" w:cs="Arial" w:eastAsia="Arial" w:hAnsi="Arial"/>
          <w:b/>
          <w:bCs/>
          <w:color w:val="2E86C1"/>
          <w:sz w:val="28"/>
          <w:szCs w:val="28"/>
        </w:rPr>
        <w:t xml:space="preserve">4.6  Tab 5 — Full Data Table</w:t>
      </w:r>
    </w:p>
    <w:p>
      <w:pPr>
        <w:spacing w:before="80" w:after="120"/>
      </w:pPr>
      <w:r>
        <w:rPr>
          <w:rFonts w:ascii="Arial" w:cs="Arial" w:eastAsia="Arial" w:hAnsi="Arial"/>
          <w:b w:val="false"/>
          <w:bCs w:val="false"/>
          <w:i w:val="false"/>
          <w:iCs w:val="false"/>
          <w:color w:val="222222"/>
          <w:sz w:val="22"/>
          <w:szCs w:val="22"/>
        </w:rPr>
        <w:t xml:space="preserve">A filterable, sortable table of all country data for the selected year, with a one-click CSV export button for downstream analysis in Excel or R.</w:t>
      </w:r>
    </w:p>
    <w:p>
      <w:pPr>
        <w:spacing w:before="0" w:after="240"/>
      </w:pPr>
    </w:p>
    <w:p>
      <w:pPr>
        <w:pStyle w:val="Heading1"/>
        <w:spacing w:before="360" w:after="160"/>
      </w:pPr>
      <w:r>
        <w:rPr>
          <w:rFonts w:ascii="Arial" w:cs="Arial" w:eastAsia="Arial" w:hAnsi="Arial"/>
          <w:b/>
          <w:bCs/>
          <w:color w:val="1A3A5C"/>
          <w:sz w:val="36"/>
          <w:szCs w:val="36"/>
        </w:rPr>
        <w:t xml:space="preserve">5. Deployment &amp; Access</w:t>
      </w:r>
    </w:p>
    <w:p>
      <w:pPr>
        <w:pStyle w:val="Heading2"/>
        <w:pBdr>
          <w:bottom w:val="single" w:color="2E86C1" w:sz="4" w:space="4"/>
        </w:pBdr>
        <w:spacing w:before="280" w:after="120"/>
      </w:pPr>
      <w:r>
        <w:rPr>
          <w:rFonts w:ascii="Arial" w:cs="Arial" w:eastAsia="Arial" w:hAnsi="Arial"/>
          <w:b/>
          <w:bCs/>
          <w:color w:val="2E86C1"/>
          <w:sz w:val="28"/>
          <w:szCs w:val="28"/>
        </w:rPr>
        <w:t xml:space="preserve">5.1  Running Locally</w:t>
      </w:r>
    </w:p>
    <w:p>
      <w:pPr>
        <w:spacing w:before="80" w:after="120"/>
      </w:pPr>
      <w:r>
        <w:rPr>
          <w:rFonts w:ascii="Arial" w:cs="Arial" w:eastAsia="Arial" w:hAnsi="Arial"/>
          <w:b w:val="false"/>
          <w:bCs w:val="false"/>
          <w:i w:val="false"/>
          <w:iCs w:val="false"/>
          <w:color w:val="222222"/>
          <w:sz w:val="22"/>
          <w:szCs w:val="22"/>
        </w:rPr>
        <w:t xml:space="preserve">Requirements: Python 3.11+, pip</w:t>
      </w:r>
    </w:p>
    <w:p>
      <w:pPr>
        <w:spacing w:before="0" w:after="40"/>
      </w:pPr>
    </w:p>
    <w:p>
      <w:pPr>
        <w:shd w:fill="1E1E1E" w:val="clear"/>
        <w:spacing w:before="80" w:after="80"/>
      </w:pPr>
      <w:r>
        <w:rPr>
          <w:rFonts w:ascii="Courier New" w:cs="Courier New" w:eastAsia="Courier New" w:hAnsi="Courier New"/>
          <w:color w:val="00FF88"/>
          <w:sz w:val="20"/>
          <w:szCs w:val="20"/>
        </w:rPr>
        <w:t xml:space="preserve">pip install streamlit pandas numpy scikit-learn plotly</w:t>
      </w:r>
      <w:r>
        <w:rPr>
          <w:rFonts w:ascii="Courier New" w:cs="Courier New" w:eastAsia="Courier New" w:hAnsi="Courier New"/>
          <w:color w:val="00FF88"/>
          <w:sz w:val="20"/>
          <w:szCs w:val="20"/>
        </w:rPr>
        <w:br/>
        <w:t xml:space="preserve">
streamlit run refugee_predictor.py</w:t>
      </w:r>
    </w:p>
    <w:p>
      <w:pPr>
        <w:spacing w:before="0" w:after="80"/>
      </w:pPr>
    </w:p>
    <w:p>
      <w:pPr>
        <w:spacing w:before="80" w:after="120"/>
      </w:pPr>
      <w:r>
        <w:rPr>
          <w:rFonts w:ascii="Arial" w:cs="Arial" w:eastAsia="Arial" w:hAnsi="Arial"/>
          <w:b w:val="false"/>
          <w:bCs w:val="false"/>
          <w:i w:val="false"/>
          <w:iCs w:val="false"/>
          <w:color w:val="222222"/>
          <w:sz w:val="22"/>
          <w:szCs w:val="22"/>
        </w:rPr>
        <w:t xml:space="preserve">The app will open automatically at http://localhost:8501. To view on a phone connected to the same Wi-Fi network, visit http://[your-local-IP]:8501.</w:t>
      </w:r>
    </w:p>
    <w:p>
      <w:pPr>
        <w:spacing w:before="0" w:after="120"/>
      </w:pPr>
    </w:p>
    <w:p>
      <w:pPr>
        <w:pStyle w:val="Heading2"/>
        <w:pBdr>
          <w:bottom w:val="single" w:color="2E86C1" w:sz="4" w:space="4"/>
        </w:pBdr>
        <w:spacing w:before="280" w:after="120"/>
      </w:pPr>
      <w:r>
        <w:rPr>
          <w:rFonts w:ascii="Arial" w:cs="Arial" w:eastAsia="Arial" w:hAnsi="Arial"/>
          <w:b/>
          <w:bCs/>
          <w:color w:val="2E86C1"/>
          <w:sz w:val="28"/>
          <w:szCs w:val="28"/>
        </w:rPr>
        <w:t xml:space="preserve">5.2  Cloud Deployment (Streamlit Community Cloud)</w:t>
      </w:r>
    </w:p>
    <w:p>
      <w:pPr>
        <w:pStyle w:val="ListParagraph"/>
        <w:numPr>
          <w:ilvl w:val="0"/>
          <w:numId w:val="2"/>
        </w:numPr>
        <w:spacing w:before="40" w:after="60"/>
      </w:pPr>
      <w:r>
        <w:rPr>
          <w:rFonts w:ascii="Arial" w:cs="Arial" w:eastAsia="Arial" w:hAnsi="Arial"/>
          <w:color w:val="222222"/>
          <w:sz w:val="22"/>
          <w:szCs w:val="22"/>
        </w:rPr>
        <w:t xml:space="preserve">Push refugee_predictor.py and requirements.txt to a public GitHub repository</w:t>
      </w:r>
    </w:p>
    <w:p>
      <w:pPr>
        <w:pStyle w:val="ListParagraph"/>
        <w:numPr>
          <w:ilvl w:val="0"/>
          <w:numId w:val="2"/>
        </w:numPr>
        <w:spacing w:before="40" w:after="60"/>
      </w:pPr>
      <w:r>
        <w:rPr>
          <w:rFonts w:ascii="Arial" w:cs="Arial" w:eastAsia="Arial" w:hAnsi="Arial"/>
          <w:color w:val="222222"/>
          <w:sz w:val="22"/>
          <w:szCs w:val="22"/>
        </w:rPr>
        <w:t xml:space="preserve">Sign in at share.streamlit.io with your GitHub account</w:t>
      </w:r>
    </w:p>
    <w:p>
      <w:pPr>
        <w:pStyle w:val="ListParagraph"/>
        <w:numPr>
          <w:ilvl w:val="0"/>
          <w:numId w:val="2"/>
        </w:numPr>
        <w:spacing w:before="40" w:after="60"/>
      </w:pPr>
      <w:r>
        <w:rPr>
          <w:rFonts w:ascii="Arial" w:cs="Arial" w:eastAsia="Arial" w:hAnsi="Arial"/>
          <w:color w:val="222222"/>
          <w:sz w:val="22"/>
          <w:szCs w:val="22"/>
        </w:rPr>
        <w:t xml:space="preserve">Select your repository, set the main file as refugee_predictor.py, and click Deploy</w:t>
      </w:r>
    </w:p>
    <w:p>
      <w:pPr>
        <w:pStyle w:val="ListParagraph"/>
        <w:numPr>
          <w:ilvl w:val="0"/>
          <w:numId w:val="2"/>
        </w:numPr>
        <w:spacing w:before="40" w:after="60"/>
      </w:pPr>
      <w:r>
        <w:rPr>
          <w:rFonts w:ascii="Arial" w:cs="Arial" w:eastAsia="Arial" w:hAnsi="Arial"/>
          <w:color w:val="222222"/>
          <w:sz w:val="22"/>
          <w:szCs w:val="22"/>
        </w:rPr>
        <w:t xml:space="preserve">A permanent public URL is generated (e.g. https://username-refugee-risk-predictor.streamlit.app)</w:t>
      </w:r>
    </w:p>
    <w:p>
      <w:pPr>
        <w:pStyle w:val="ListParagraph"/>
        <w:numPr>
          <w:ilvl w:val="0"/>
          <w:numId w:val="2"/>
        </w:numPr>
        <w:spacing w:before="40" w:after="60"/>
      </w:pPr>
      <w:r>
        <w:rPr>
          <w:rFonts w:ascii="Arial" w:cs="Arial" w:eastAsia="Arial" w:hAnsi="Arial"/>
          <w:color w:val="222222"/>
          <w:sz w:val="22"/>
          <w:szCs w:val="22"/>
        </w:rPr>
        <w:t xml:space="preserve">Free tier supports unlimited public apps with no time limit</w:t>
      </w:r>
    </w:p>
    <w:p>
      <w:pPr>
        <w:spacing w:before="0" w:after="240"/>
      </w:pPr>
    </w:p>
    <w:p>
      <w:pPr>
        <w:pStyle w:val="Heading1"/>
        <w:spacing w:before="360" w:after="160"/>
      </w:pPr>
      <w:r>
        <w:rPr>
          <w:rFonts w:ascii="Arial" w:cs="Arial" w:eastAsia="Arial" w:hAnsi="Arial"/>
          <w:b/>
          <w:bCs/>
          <w:color w:val="1A3A5C"/>
          <w:sz w:val="36"/>
          <w:szCs w:val="36"/>
        </w:rPr>
        <w:t xml:space="preserve">6. Limitations &amp; Ethical Considerations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none"/>
              <w:bottom w:val="none"/>
              <w:right w:val="none"/>
            </w:tcBorders>
            <w:shd w:fill="FEF9E7" w:val="clear"/>
            <w:tcMar>
              <w:top w:type="dxa" w:w="120"/>
              <w:left w:type="dxa" w:w="200"/>
              <w:bottom w:type="dxa" w:w="120"/>
              <w:right w:type="dxa" w:w="200"/>
            </w:tcMar>
          </w:tcPr>
          <w:p>
            <w:r>
              <w:rPr>
                <w:rFonts w:ascii="Arial" w:cs="Arial" w:eastAsia="Arial" w:hAnsi="Arial"/>
                <w:b/>
                <w:bCs/>
                <w:color w:val="D35400"/>
                <w:sz w:val="22"/>
                <w:szCs w:val="22"/>
              </w:rPr>
              <w:t xml:space="preserve">⚠️  Important Disclaimer</w:t>
            </w:r>
          </w:p>
          <w:p>
            <w:r>
              <w:rPr>
                <w:rFonts w:ascii="Arial" w:cs="Arial" w:eastAsia="Arial" w:hAnsi="Arial"/>
                <w:color w:val="333333"/>
                <w:sz w:val="21"/>
                <w:szCs w:val="21"/>
              </w:rPr>
              <w:t xml:space="preserve">This dashboard uses synthetic representative data modeled after real-world sources. It is intended for research, education, and humanitarian planning purposes only. Predictions should not be used as the sole basis for policy decisions affecting displaced populations without validation against current primary data.</w:t>
            </w:r>
          </w:p>
        </w:tc>
      </w:tr>
    </w:tbl>
    <w:p>
      <w:pPr>
        <w:spacing w:before="0" w:after="160"/>
      </w:pPr>
    </w:p>
    <w:p>
      <w:pPr>
        <w:spacing w:before="80" w:after="120"/>
      </w:pPr>
      <w:r>
        <w:rPr>
          <w:rFonts w:ascii="Arial" w:cs="Arial" w:eastAsia="Arial" w:hAnsi="Arial"/>
          <w:b w:val="false"/>
          <w:bCs w:val="false"/>
          <w:i w:val="false"/>
          <w:iCs w:val="false"/>
          <w:color w:val="222222"/>
          <w:sz w:val="22"/>
          <w:szCs w:val="22"/>
        </w:rPr>
        <w:t xml:space="preserve">Key limitations to be aware of:</w:t>
      </w:r>
    </w:p>
    <w:p>
      <w:pPr>
        <w:pStyle w:val="ListParagraph"/>
        <w:numPr>
          <w:ilvl w:val="0"/>
          <w:numId w:val="2"/>
        </w:numPr>
        <w:spacing w:before="40" w:after="60"/>
      </w:pPr>
      <w:r>
        <w:rPr>
          <w:rFonts w:ascii="Arial" w:cs="Arial" w:eastAsia="Arial" w:hAnsi="Arial"/>
          <w:color w:val="222222"/>
          <w:sz w:val="22"/>
          <w:szCs w:val="22"/>
        </w:rPr>
        <w:t xml:space="preserve">Synthetic data: All indicator values are generated algorithmically to reflect known patterns and correlations. Real-world deployment requires connection to live data APIs.</w:t>
      </w:r>
    </w:p>
    <w:p>
      <w:pPr>
        <w:pStyle w:val="ListParagraph"/>
        <w:numPr>
          <w:ilvl w:val="0"/>
          <w:numId w:val="2"/>
        </w:numPr>
        <w:spacing w:before="40" w:after="60"/>
      </w:pPr>
      <w:r>
        <w:rPr>
          <w:rFonts w:ascii="Arial" w:cs="Arial" w:eastAsia="Arial" w:hAnsi="Arial"/>
          <w:color w:val="222222"/>
          <w:sz w:val="22"/>
          <w:szCs w:val="22"/>
        </w:rPr>
        <w:t xml:space="preserve">Conflict forecasting uncertainty: Armed conflicts are inherently unpredictable. The 2026–2030 conflict projections should be treated as scenario baselines, not firm predictions.</w:t>
      </w:r>
    </w:p>
    <w:p>
      <w:pPr>
        <w:pStyle w:val="ListParagraph"/>
        <w:numPr>
          <w:ilvl w:val="0"/>
          <w:numId w:val="2"/>
        </w:numPr>
        <w:spacing w:before="40" w:after="60"/>
      </w:pPr>
      <w:r>
        <w:rPr>
          <w:rFonts w:ascii="Arial" w:cs="Arial" w:eastAsia="Arial" w:hAnsi="Arial"/>
          <w:color w:val="222222"/>
          <w:sz w:val="22"/>
          <w:szCs w:val="22"/>
        </w:rPr>
        <w:t xml:space="preserve">Country selection: The 50-country sample covers the majority of global displacement but excludes some secondary displacement contexts.</w:t>
      </w:r>
    </w:p>
    <w:p>
      <w:pPr>
        <w:pStyle w:val="ListParagraph"/>
        <w:numPr>
          <w:ilvl w:val="0"/>
          <w:numId w:val="2"/>
        </w:numPr>
        <w:spacing w:before="40" w:after="60"/>
      </w:pPr>
      <w:r>
        <w:rPr>
          <w:rFonts w:ascii="Arial" w:cs="Arial" w:eastAsia="Arial" w:hAnsi="Arial"/>
          <w:color w:val="222222"/>
          <w:sz w:val="22"/>
          <w:szCs w:val="22"/>
        </w:rPr>
        <w:t xml:space="preserve">Climate tipping points: The climate projections use linear trend extrapolation and do not account for non-linear tipping point dynamics.</w:t>
      </w:r>
    </w:p>
    <w:p>
      <w:pPr>
        <w:pStyle w:val="ListParagraph"/>
        <w:numPr>
          <w:ilvl w:val="0"/>
          <w:numId w:val="2"/>
        </w:numPr>
        <w:spacing w:before="40" w:after="60"/>
      </w:pPr>
      <w:r>
        <w:rPr>
          <w:rFonts w:ascii="Arial" w:cs="Arial" w:eastAsia="Arial" w:hAnsi="Arial"/>
          <w:color w:val="222222"/>
          <w:sz w:val="22"/>
          <w:szCs w:val="22"/>
        </w:rPr>
        <w:t xml:space="preserve">Internal displacement: The model estimates total displaced persons but does not distinguish between internally displaced persons (IDPs) and cross-border refugees.</w:t>
      </w:r>
    </w:p>
    <w:p>
      <w:pPr>
        <w:spacing w:before="0" w:after="240"/>
      </w:pPr>
    </w:p>
    <w:p>
      <w:pPr>
        <w:pStyle w:val="Heading1"/>
        <w:spacing w:before="360" w:after="160"/>
      </w:pPr>
      <w:r>
        <w:rPr>
          <w:rFonts w:ascii="Arial" w:cs="Arial" w:eastAsia="Arial" w:hAnsi="Arial"/>
          <w:b/>
          <w:bCs/>
          <w:color w:val="1A3A5C"/>
          <w:sz w:val="36"/>
          <w:szCs w:val="36"/>
        </w:rPr>
        <w:t xml:space="preserve">7. Future Development Roadmap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3560"/>
      </w:tblGrid>
      <w:tr>
        <w:trPr>
          <w:tblHeader/>
        </w:trPr>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 Source Required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Live UNHCR API integration for real displacement counts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UNHCR Data Portal API</w:t>
            </w:r>
          </w:p>
        </w:tc>
      </w:tr>
      <w:tr>
        <w:tc>
          <w:tcPr>
            <w:tcW w:type="dxa" w:w="1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4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ACLED real-time conflict event feed</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ACLED API (free academic access)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World Bank WDI live indicators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World Bank Data API</w:t>
            </w:r>
          </w:p>
        </w:tc>
      </w:tr>
      <w:tr>
        <w:tc>
          <w:tcPr>
            <w:tcW w:type="dxa" w:w="1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4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Sub-national / subnational risk mapping</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UNOCHA HDX, EM-DAT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SHAP explainability layer for individual country predictions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Python SHAP library</w:t>
            </w:r>
          </w:p>
        </w:tc>
      </w:tr>
      <w:tr>
        <w:tc>
          <w:tcPr>
            <w:tcW w:type="dxa" w:w="1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4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IDP vs. cross-border refugee split</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UNHCR Population Statistics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Low</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Scenario modeler (what if conflict intensifies?)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Custom parameter override UI</w:t>
            </w:r>
          </w:p>
        </w:tc>
      </w:tr>
      <w:tr>
        <w:tc>
          <w:tcPr>
            <w:tcW w:type="dxa" w:w="1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Low</w:t>
            </w:r>
          </w:p>
        </w:tc>
        <w:tc>
          <w:tcPr>
            <w:tcW w:type="dxa" w:w="4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Email/SMS alert system for risk threshold breaches</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SendGrid / Twilio API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Low</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PDF report auto-generation per country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ReportLab / WeasyPrint</w:t>
            </w:r>
          </w:p>
        </w:tc>
      </w:tr>
    </w:tbl>
    <w:p>
      <w:pPr>
        <w:spacing w:before="0" w:after="240"/>
      </w:pPr>
    </w:p>
    <w:p>
      <w:pPr>
        <w:pStyle w:val="Heading1"/>
        <w:spacing w:before="360" w:after="160"/>
      </w:pPr>
      <w:r>
        <w:rPr>
          <w:rFonts w:ascii="Arial" w:cs="Arial" w:eastAsia="Arial" w:hAnsi="Arial"/>
          <w:b/>
          <w:bCs/>
          <w:color w:val="1A3A5C"/>
          <w:sz w:val="36"/>
          <w:szCs w:val="36"/>
        </w:rPr>
        <w:t xml:space="preserve">8. Technology Stack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Frontend / UI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Streamlit 1.x</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Interactive web dashboard, no JavaScript required</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Data Processing</w:t>
            </w:r>
          </w:p>
        </w:tc>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Pandas, NumPy</w:t>
            </w:r>
          </w:p>
        </w:tc>
        <w:tc>
          <w:tcPr>
            <w:tcW w:type="dxa" w:w="4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Data manipulation, feature engineering, aggregation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Machine Learning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Scikit-Learn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Random Forest classifier and Gradient Boosting regressor</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Visualization</w:t>
            </w:r>
          </w:p>
        </w:tc>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Plotly Express &amp; Graph Objects</w:t>
            </w:r>
          </w:p>
        </w:tc>
        <w:tc>
          <w:tcPr>
            <w:tcW w:type="dxa" w:w="4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Choropleth maps, time series, radar charts, area plots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Deployment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Streamlit Community Cloud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Free, permanent public hosting via GitHub integration</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Language</w:t>
            </w:r>
          </w:p>
        </w:tc>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Python 3.11</w:t>
            </w:r>
          </w:p>
        </w:tc>
        <w:tc>
          <w:tcPr>
            <w:tcW w:type="dxa" w:w="4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Core runtime for all components</w:t>
            </w:r>
          </w:p>
        </w:tc>
      </w:tr>
    </w:tbl>
    <w:p>
      <w:pPr>
        <w:spacing w:before="0" w:after="240"/>
      </w:pPr>
    </w:p>
    <w:p>
      <w:pPr>
        <w:pBdr>
          <w:top w:val="single" w:color="2E86C1" w:sz="4" w:space="8"/>
        </w:pBdr>
        <w:spacing w:before="240" w:after="80"/>
        <w:jc w:val="center"/>
      </w:pPr>
      <w:r>
        <w:rPr>
          <w:rFonts w:ascii="Arial" w:cs="Arial" w:eastAsia="Arial" w:hAnsi="Arial"/>
          <w:i/>
          <w:iCs/>
          <w:color w:val="555555"/>
          <w:sz w:val="22"/>
          <w:szCs w:val="22"/>
        </w:rPr>
        <w:t xml:space="preserve">Built to support evidence-based humanitarian planning and climate justice research.</w:t>
      </w:r>
    </w:p>
    <w:p>
      <w:pPr>
        <w:jc w:val="center"/>
      </w:pPr>
      <w:r>
        <w:rPr>
          <w:rFonts w:ascii="Arial" w:cs="Arial" w:eastAsia="Arial" w:hAnsi="Arial"/>
          <w:color w:val="2E86C1"/>
          <w:sz w:val="22"/>
          <w:szCs w:val="22"/>
        </w:rPr>
        <w:t xml:space="preserve">github.com/papercut647/refugee-risk-predictor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color w:val="555555"/>
        <w:sz w:val="18"/>
        <w:szCs w:val="18"/>
      </w:rPr>
      <w:t xml:space="preserve">Confidential — For Research &amp; Humanitarian Planning Use Only</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b/>
        <w:bCs/>
        <w:color w:val="1A3A5C"/>
        <w:sz w:val="20"/>
        <w:szCs w:val="20"/>
      </w:rPr>
      <w:t xml:space="preserve">Refugee &amp; Displacement Risk Predictor</w:t>
    </w:r>
    <w:r>
      <w:rPr>
        <w:rFonts w:ascii="Arial" w:cs="Arial" w:eastAsia="Arial" w:hAnsi="Arial"/>
        <w:color w:val="555555"/>
        <w:sz w:val="20"/>
        <w:szCs w:val="20"/>
      </w:rPr>
      <w:t xml:space="preserve">  |  Technical Documentation &amp;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2026-03-10T09:15:24.998Z</dcterms:created>
  <dcterms:modified xsi:type="dcterms:W3CDTF">2026-03-10T09:15:24.998Z</dcterms:modified>
</cp:coreProperties>
</file>

<file path=docProps/custom.xml><?xml version="1.0" encoding="utf-8"?>
<Properties xmlns="http://schemas.openxmlformats.org/officeDocument/2006/custom-properties" xmlns:vt="http://schemas.openxmlformats.org/officeDocument/2006/docPropsVTypes"/>
</file>