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0"/>
        </w:rPr>
        <w:t>Figure and table legends</w:t>
      </w:r>
    </w:p>
    <w:p>
      <w:pPr>
        <w:spacing w:after="160"/>
      </w:pPr>
      <w:r>
        <w:rPr>
          <w:i/>
          <w:color w:val="404040"/>
          <w:sz w:val="22"/>
        </w:rPr>
        <w:t>Integrated transcriptomic immune profiling identifies survival-associated immune ecotypes in pediatric diffuse high-grade glioma</w:t>
      </w:r>
    </w:p>
    <w:p>
      <w:pPr>
        <w:spacing w:after="160"/>
      </w:pPr>
      <w:r>
        <w:rPr>
          <w:i/>
          <w:color w:val="404040"/>
          <w:sz w:val="19"/>
        </w:rPr>
        <w:t>Throughout, the ecotypes are the locked exploratory k = 3 assignment: Lymphocyte-inflamed n = 111, Myeloid-dominant n = 160 and Immune-desert n = 78 in a main cohort of n = 349, one independent primary biospecimen per patient. The canonical colors are Lymphocyte-inflamed blue, Myeloid-dominant red and Immune-desert gray. Figures are supplied as 600 dpi PNG and as vector PDF. The random seed for the locked pipeline is 20260722; the cluster-number sweep used seed 42.</w:t>
      </w:r>
    </w:p>
    <w:p>
      <w:pPr>
        <w:spacing w:before="280" w:after="120"/>
      </w:pPr>
      <w:r>
        <w:rPr>
          <w:b/>
          <w:sz w:val="26"/>
        </w:rPr>
        <w:t>Main figures</w:t>
      </w:r>
    </w:p>
    <w:p>
      <w:pPr>
        <w:spacing w:after="220" w:line="276" w:lineRule="auto"/>
      </w:pPr>
      <w:r>
        <w:rPr>
          <w:b/>
        </w:rPr>
        <w:t xml:space="preserve">Figure 1. </w:t>
      </w:r>
      <w:r>
        <w:rPr>
          <w:b/>
        </w:rPr>
        <w:t xml:space="preserve">Study design and derivation of the analysis sets. </w:t>
      </w:r>
      <w:r>
        <w:t>(A) Study workflow. Clinical and histologic annotation, fusion annotation and the TPM-normalized gene-expression matrix of OpenPedCan v15 were combined into a main cohort of 349 tumors, one independent primary biospecimen per patient across four mutually exclusive integrated diagnostic groups. Immune features were generated by CIBERSORTx LM22 deconvolution, by four orthogonal deconvolution methods and by single-sample gene set enrichment analysis of 24 brain-tuned immune signatures, and combined into a z-scored 46-feature matrix. The locked k = 3 assignment used 500-replicate bootstrap consensus clustering with 80% item resampling and average-linkage hierarchical clustering on the 1 − consensus distance. Cluster-number evaluation and resampling-stability analysis used 1,000 replicates for k = 2–10. k = 2 was the most stable partition; k = 3 was retained as an exploratory three-state representation, giving Lymphocyte-inflamed (n = 111), Myeloid-dominant (n = 160) and Immune-desert (n = 78). (B) Derivation of the analysis sets. Immune deconvolution, signature scoring and consensus clustering used all 349 tumors. The anatomical-location analyses used the 332 tumors with usable location annotation, of which the 258 assigned to midline, hemispheric or posterior fossa entered the sequential permutational multivariate analysis of variance. The survival analyses used the 251 tumors with both overall-survival time and vital status, comprising 208 deaths, and the missingness sensitivity analysis used all 349. The two branches are not nested: of the 251 survival-evaluable tumors, 180 fall within the 258-tumor location subset and 3 have no usable location annotation, so the counts must not be read as a single attrition sequence. Supplementary Table S4 reconciles them.</w:t>
      </w:r>
    </w:p>
    <w:p>
      <w:pPr>
        <w:spacing w:after="220" w:line="276" w:lineRule="auto"/>
      </w:pPr>
      <w:r>
        <w:rPr>
          <w:b/>
        </w:rPr>
        <w:t xml:space="preserve">Figure 2. </w:t>
      </w:r>
      <w:r>
        <w:rPr>
          <w:b/>
        </w:rPr>
        <w:t xml:space="preserve">Limitations of the LM22 reference in the brain tumor microenvironment, and cross-method benchmarking. </w:t>
      </w:r>
      <w:r>
        <w:t>(A) CIBERSORTx LM22 deconvolution quality control in the main cohort (n = 349): distributions of the LM22 permutation P value, the Pearson fit correlation and the root-mean-squared error. Only 91 of 349 biospecimens (26.1%) reach permutation P &lt; 0.05, which motivates the brain-tuned signature approach. (B) Cross-method concordance in the main cohort. Bars show the Spearman ρ between the CIBERSORTx LM22 estimate and the xCell, quanTIseq, MCP-counter, EPIC or MCP-counter myeloid-dendritic-cell estimate on the displayed axis; significance labels are Benjamini–Hochberg adjusted. (C) Cross-method estimates on the CD8 T-cell, natural-killer-cell, macrophage and monocyte/dendritic-cell axes by ecotype. Concordance is axis- and method-specific: these panels show limited, axis-specific agreement, they do not imply that the methods measure the same cellular quantity, and they do not validate LM22 as a CNS-specific cell-abundance reference. The comparison of the brain-tuned myeloid signatures with the LM22 macrophage and monocyte axes is Supplementary Figure S1; LM22 quality control in the same-resource pooled set (n = 702) is Supplementary Figure S2 and is an internal sensitivity analysis, not independent external validation. Statistics are in Supplementary Tables S11 and S12.</w:t>
      </w:r>
    </w:p>
    <w:p>
      <w:pPr>
        <w:spacing w:after="220" w:line="276" w:lineRule="auto"/>
      </w:pPr>
      <w:r>
        <w:rPr>
          <w:b/>
        </w:rPr>
        <w:t xml:space="preserve">Figure 3. </w:t>
      </w:r>
      <w:r>
        <w:rPr>
          <w:b/>
        </w:rPr>
        <w:t xml:space="preserve">Selection of the number of clusters and the exploratory three-ecotype representation. </w:t>
      </w:r>
      <w:r>
        <w:t>(A–E) Cluster-number criteria evaluated on the standardized 46-feature immune matrix for k = 2–10 (n = 349; 1,000 bootstrap replicates; 80% item resampling; seed 42), with final labels from average-linkage hierarchical clustering on the 1 − consensus distance. (A) Proportion of ambiguous clustering; lower is better. (B) Silhouette width on the 1 − consensus distance; higher is better. Both favor k = 2. (C) Relative increase in the area under the consensus cumulative-distribution function; k = 3 carries the largest remaining relative ΔAUC (+29.8%, versus +12.4% at k = 4). (D) Gap statistic computed for k = 1–10 against 50 uniform reference datasets; k = 3 was selected under the Tibshirani one-standard-error rule, and k = 1 was not selected. (E) Minimum cluster size; k ≥ 6 yields a cluster of nine tumors and k ≥ 8 yields clusters of two, so those partitions are not interpretable at this cohort size. In A–E the dotted line marks k = 2, favored by the separation criteria, and the dashed line marks k = 3, selected by the gap statistic and supported by the consensus-CDF elbow. Values for k = 2–6 reproduce the locked pipeline output to within 5 × 10⁻⁵; this is a separate 1,000-replicate rerun on the same cohort, that is, a resampling stability analysis, and not an independent replication. (F) Principal-component (left) and UMAP (right) projections of the 349-sample feature matrix colored by ecotype at k = 3. (G) Mean per-ecotype z-score for the 30 most discriminating features; ssGSEA features form the upper block and LM22 features the lower block. “Myeloid-dominant” is an operational label for relative preservation of myeloid programs with weaker lymphoid activation, not a claim of universally highest absolute myeloid abundance. Full results are in Supplementary Tables S6–S8.</w:t>
      </w:r>
    </w:p>
    <w:p>
      <w:pPr>
        <w:spacing w:after="220" w:line="276" w:lineRule="auto"/>
      </w:pPr>
      <w:r>
        <w:rPr>
          <w:b/>
        </w:rPr>
        <w:t xml:space="preserve">Figure 4. </w:t>
      </w:r>
      <w:r>
        <w:rPr>
          <w:b/>
        </w:rPr>
        <w:t xml:space="preserve">Immune ecotype by anatomical location and integrated molecular group. </w:t>
      </w:r>
      <w:r>
        <w:t>(A) Ecotype distribution across midline, hemispheric, posterior-fossa and multi-compartment/ambiguous classes: χ² = 16.78, df = 6, Monte-Carlo P = 0.0095, Cramér’s V = 0.16, n = 332; 17 other/not-annotated tumors were excluded. (B) Integrated molecular groups: χ² = 29.35, df = 6, Monte-Carlo P = 0.0001, Cramér’s V = 0.21, n = 349. (C) Midline versus hemispheric within pediatric high-grade glioma, H3/IDH-wildtype: χ² = 1.86, df = 2, Monte-Carlo P = 0.4543, Cramér’s V = 0.15, n = 84. (D) Sequential PERMANOVA on the 34-feature TPM-harmonized immune matrix (Euclidean distance, 4,999 permutations, n = 258), restricted to midline, hemispheric and posterior-fossa tumors after excluding 74 multi-compartment/ambiguous and 17 other/not-annotated tumors: molecular group entered first, partial R² = 0.0588, P = 0.0002; location after molecular group, partial R² = 0.0095, P = 0.205; location entered first, partial R² = 0.0321, P = 0.0006; molecular group after location, partial R² = 0.0362, P = 0.0010. Monte-Carlo tests used 9,999 permutations; seed 20260722. Statistics are in Supplementary Table S13.</w:t>
      </w:r>
    </w:p>
    <w:p>
      <w:pPr>
        <w:spacing w:after="220" w:line="276" w:lineRule="auto"/>
      </w:pPr>
      <w:r>
        <w:rPr>
          <w:b/>
        </w:rPr>
        <w:t xml:space="preserve">Figure 5. </w:t>
      </w:r>
      <w:r>
        <w:rPr>
          <w:b/>
        </w:rPr>
        <w:t xml:space="preserve">Single-cell and spatial support for the cellular interpretation of the immune signatures and of the ecotype axis. </w:t>
      </w:r>
      <w:r>
        <w:t>(A) Area under the receiver-operating-characteristic curve for each directional signature in identifying the cell type it is named for, computed on 18,619 annotated immune cells from four pediatric high-grade gliomas (GSE227983; H3 K27-altered n = 1, H3-wildtype hemispheric n = 3; posterior fossa ependymoma excluded). Bars are computed across all cells and whiskers give the per-sample range. 15 of 16 directional signatures showed discrimination in the expected direction, with a median AUROC of 0.868 (twelve above 0.85). Glioma_Inflammatory_Wang2017 is the exception: its genes (GZMB, PRF1, IFNG, GZMA, NKG7, CD8A, CD8B, CCL5) constitute a cytotoxic lymphocyte program and it identifies T cells rather than myeloid cells; it has been reassigned, and the sensitivity analysis is in Supplementary Table S22. (B) Cell type with the highest mean expression of each of the 246 detectable genes defining the Lymphocyte-inflamed versus Immune-desert contrast, compared on one platform in matched Smart-seq2 immune and malignant cells from the same resource (left), and the percentage attributed to immune cells against 200 draws of expression-matched random genes (right; bar, mean of the background draws; error bar, 95% range; permutation P = 0.005). The ecotype axis is immune-cell-associated, with many genes preferentially expressed in myeloid cells. (C) Each in-tissue spot of three H3.3 K27M pediatric diffuse midline glioma sections (GSE268577), colored by the bulk ecotype centroid it maps most closely to, assigned by Pearson correlation across the 24 brain-tuned signatures after z-scoring within dataset. Spots mapping most closely to each of the three bulk ecotype centroids were represented within each section, which suggests that a bulk ecotype label summarizes heterogeneous regional immune programs within a specimen. (D) Fraction of neighboring spot pairs sharing an assignment, against a null of 999 label permutations. (E) Moran’s I on the hexagonal first-order neighbor graph for the twelve signatures with the highest mean value across sections; 999 permutations per signature. Ten of the 24 signatures are spatially autocorrelated at a false-discovery rate below 0.05 in all three sections. These analyses support the cellular interpretation of the signatures and of the ecotype axis; four tumors and three sections cannot establish that a three-state representation generalizes, and they are not an independent validation of the ecotypes. The full single-cell and spatial analyses are Supplementary Figures S14 and S15, and statistics are in Supplementary Tables S22–S24.</w:t>
      </w:r>
    </w:p>
    <w:p>
      <w:pPr>
        <w:spacing w:after="220" w:line="276" w:lineRule="auto"/>
      </w:pPr>
      <w:r>
        <w:rPr>
          <w:b/>
        </w:rPr>
        <w:t xml:space="preserve">Figure 6. </w:t>
      </w:r>
      <w:r>
        <w:rPr>
          <w:b/>
        </w:rPr>
        <w:t xml:space="preserve">Molecular-group-adjusted differential expression and the structure of the three contrasts. </w:t>
      </w:r>
      <w:r>
        <w:t>(A–C) Gene-wise ordinary least-squares model log₂(TPM + 1) ~ ecotype + integrated molecular group, fitted for each of 18,586 annotated genes in the main cohort (n = 349). Colored points satisfy Benjamini–Hochberg q &lt; 0.05 and an absolute adjusted log₂ fold change greater than 1; gray points do not. (A) Lymphocyte-inflamed versus Immune-desert, reference Immune-desert: 3,816 up, 247 down. (B) Myeloid-dominant versus Immune-desert, reference Immune-desert: 444 up, 72 down. (C) Lymphocyte-inflamed versus Myeloid-dominant, reference Myeloid-dominant: 843 up, 113 down. (D) Partition of the up-regulated gene sets of the two Immune-desert-referenced contrasts: 426 of the 444 genes up-regulated in Myeloid-dominant versus Immune-desert (95.9%) are also up-regulated in Lymphocyte-inflamed versus Immune-desert, and 18 are unique to the former. (E) Adjusted log₂ fold changes of the two Immune-desert-referenced contrasts plotted against each other for all 18,586 genes; blue points are significant in either contrast. The orthogonal-regression slope is 1.96 (Pearson r = 0.80) against an identity line of 1, consistent with an ordered shared immune-presence axis traversed with approximately twice the amplitude rather than with two independent results. (F) Paired adjusted log₂ fold changes on the 426 shared genes; the Lymphocyte-inflamed effect is a median 1.61-fold larger (two-sided paired Wilcoxon signed-rank P = 1.5 × 10⁻⁷⁰). Because panels A and B share a reference group, the genes they have in common describe that shared axis rather than two equivalent results; the contrast that distinguishes the two immune-present ecotypes from each other is panel C. Gene lists are in Supplementary Tables S16–S18; pathway enrichment from the adjusted lists is Supplementary Figure S8 and Supplementary Table S19; the unadjusted one-versus-rest analysis is Supplementary Figure S9.</w:t>
      </w:r>
    </w:p>
    <w:p>
      <w:pPr>
        <w:spacing w:after="220" w:line="276" w:lineRule="auto"/>
      </w:pPr>
      <w:r>
        <w:rPr>
          <w:b/>
        </w:rPr>
        <w:t xml:space="preserve">Figure 7. </w:t>
      </w:r>
      <w:r>
        <w:rPr>
          <w:b/>
        </w:rPr>
        <w:t xml:space="preserve">Immune ecotype and overall survival. </w:t>
      </w:r>
      <w:r>
        <w:t>(A) Kaplan–Meier curves by ecotype in the survival-evaluable subset (n = 251, 208 events; log-rank P = 0.0279). Numbers at risk are tabulated below the axis and censoring is marked on the curves. Vital status was recorded as deceased for 209 patients; one patient lacked overall-survival time and was therefore excluded from the time-to-event analysis, leaving 208 analyzed deaths. These curves are unadjusted. (B) Multivariable Cox proportional-hazards model including immune ecotype, integrated molecular group, age at diagnosis and sex, with Immune-desert and pediatric high-grade glioma, H3/IDH-wildtype as reference categories (n = 251, 208 events; Efron handling of ties). Lymphocyte-inflamed HR = 0.55 (95% confidence interval 0.37–0.82), P = 0.0033; Myeloid-dominant HR = 0.72 (0.50–1.04), P = 0.084. Proportional-hazards diagnostics are Supplementary Figure S12 and Supplementary Table S20; subtype-stratified survival is Supplementary Figure S10; location-stratified survival is Supplementary Figure S11; the missingness and inverse-probability-weighting sensitivity analyses are Supplementary Figure S13 and Supplementary Table S21.</w:t>
      </w:r>
    </w:p>
    <w:p>
      <w:pPr>
        <w:spacing w:before="280" w:after="120"/>
      </w:pPr>
      <w:r>
        <w:rPr>
          <w:b/>
          <w:sz w:val="26"/>
        </w:rPr>
        <w:t>Main tables</w:t>
      </w:r>
    </w:p>
    <w:p>
      <w:pPr>
        <w:spacing w:after="220" w:line="276" w:lineRule="auto"/>
      </w:pPr>
      <w:r>
        <w:rPr>
          <w:b/>
        </w:rPr>
        <w:t xml:space="preserve">Table 1. </w:t>
      </w:r>
      <w:r>
        <w:rPr>
          <w:b/>
        </w:rPr>
        <w:t xml:space="preserve">Clinical and molecular characteristics of the main cohort (n = 349). </w:t>
      </w:r>
      <w:r>
        <w:t>Baseline characteristics stratified by the four mutually exclusive integrated diagnostic groups. Diagnosis headers use comma-separated WHO-style labels. Immune-ecotype rows sum to 111, 160 and 78. Vital status was recorded as deceased for 209 patients; one patient lacked overall-survival time and was therefore excluded from the time-to-event analysis, leaving 208 analyzed deaths.</w:t>
      </w:r>
    </w:p>
    <w:p>
      <w:pPr>
        <w:spacing w:after="220" w:line="276" w:lineRule="auto"/>
      </w:pPr>
      <w:r>
        <w:rPr>
          <w:b/>
        </w:rPr>
        <w:t xml:space="preserve">Table 2. </w:t>
      </w:r>
      <w:r>
        <w:rPr>
          <w:b/>
        </w:rPr>
        <w:t xml:space="preserve">Immune ecotype by anatomical location. </w:t>
      </w:r>
      <w:r>
        <w:t>Counts and within-location percentages across the four annotated categories (n = 332); 17 other/not-annotated tumors are excluded. χ² = 16.78, df = 6, Monte-Carlo P = 0.0095, Cramér’s V = 0.159 (9,999 permutations; seed 20260722).</w:t>
      </w:r>
    </w:p>
    <w:p>
      <w:pPr>
        <w:spacing w:after="220" w:line="276" w:lineRule="auto"/>
      </w:pPr>
      <w:r>
        <w:rPr>
          <w:b/>
        </w:rPr>
        <w:t xml:space="preserve">Table 3. </w:t>
      </w:r>
      <w:r>
        <w:rPr>
          <w:b/>
        </w:rPr>
        <w:t xml:space="preserve">Midline-versus-hemispheric ecotype comparison within each integrated molecular group. </w:t>
      </w:r>
      <w:r>
        <w:t>Only diffuse pediatric-type high-grade glioma, H3-wildtype and IDH-wildtype had at least five tumors in both anatomical compartments and was formally tested; the other groups were too compartment-restricted for a meaningful within-group comparison. The P value was obtained by fixed-margin Monte-Carlo testing with 9,999 simulations, seed 20260722.</w:t>
      </w:r>
    </w:p>
    <w:p>
      <w:pPr>
        <w:spacing w:after="220" w:line="276" w:lineRule="auto"/>
      </w:pPr>
      <w:r>
        <w:rPr>
          <w:b/>
        </w:rPr>
        <w:t xml:space="preserve">Table 4. </w:t>
      </w:r>
      <w:r>
        <w:rPr>
          <w:b/>
        </w:rPr>
        <w:t xml:space="preserve">Sequential PERMANOVA of the TPM-harmonized immune-feature matrix. </w:t>
      </w:r>
      <w:r>
        <w:t>Sequential type-I PERMANOVA on the 34-feature TPM-harmonized matrix using Euclidean distance and 4,999 permutations, in the 258 tumors of the three unambiguous anatomical categories. Partial R² values depend on term order. Seed 20260722.</w:t>
      </w:r>
    </w:p>
    <w:p>
      <w:pPr>
        <w:spacing w:after="220" w:line="276" w:lineRule="auto"/>
      </w:pPr>
      <w:r>
        <w:rPr>
          <w:b/>
        </w:rPr>
        <w:t xml:space="preserve">Table 5. </w:t>
      </w:r>
      <w:r>
        <w:rPr>
          <w:b/>
        </w:rPr>
        <w:t xml:space="preserve">Multivariable Cox proportional-hazards model for overall survival. </w:t>
      </w:r>
      <w:r>
        <w:t>Multivariable Cox model including immune ecotype, integrated molecular group, age at diagnosis and sex (n = 251; 208 events). Immune-desert and diffuse pediatric-type high-grade glioma, H3-wildtype and IDH-wildtype are the reference categories; ties were handled by the Efron method. β, regression coefficient; HR, hazard ratio; CI, confidence interval; SE, standard error.</w:t>
      </w:r>
    </w:p>
    <w:p>
      <w:pPr>
        <w:spacing w:before="280" w:after="120"/>
      </w:pPr>
      <w:r>
        <w:rPr>
          <w:b/>
          <w:sz w:val="26"/>
        </w:rPr>
        <w:t>Supplementary figures</w:t>
      </w:r>
    </w:p>
    <w:p>
      <w:pPr>
        <w:spacing w:after="220" w:line="276" w:lineRule="auto"/>
      </w:pPr>
      <w:r>
        <w:rPr>
          <w:b/>
        </w:rPr>
        <w:t xml:space="preserve">Figure S1. </w:t>
      </w:r>
      <w:r>
        <w:rPr>
          <w:b/>
        </w:rPr>
        <w:t xml:space="preserve">Brain-tuned myeloid signatures versus the LM22 macrophage and monocyte axes. </w:t>
      </w:r>
      <w:r>
        <w:t>Spearman correlations between the brain-tuned microglia and monocyte-derived-macrophage ssGSEA signatures and the CIBERSORTx LM22 macrophage and monocyte axes in the main cohort (n = 349). Concordance is axis- and method-specific and provides partial computational cross-checking only; it does not validate LM22 as a CNS-specific cell-abundance reference. Statistics are in Supplementary Table S12.</w:t>
      </w:r>
    </w:p>
    <w:p>
      <w:pPr>
        <w:spacing w:after="220" w:line="276" w:lineRule="auto"/>
      </w:pPr>
      <w:r>
        <w:rPr>
          <w:b/>
        </w:rPr>
        <w:t xml:space="preserve">Figure S2. </w:t>
      </w:r>
      <w:r>
        <w:rPr>
          <w:b/>
        </w:rPr>
        <w:t xml:space="preserve">CIBERSORTx LM22 quality control in the same-resource pooled set. </w:t>
      </w:r>
      <w:r>
        <w:t>The histograms of Figure 2A computed on the full 702-biospecimen OpenPedCan pool: median permutation P = 0.15, median fit correlation 0.09, and 193 of 702 biospecimens (27.5%) reaching P &lt; 0.05. This is an internal sensitivity analysis on the same resource and not independent external validation.</w:t>
      </w:r>
    </w:p>
    <w:p>
      <w:pPr>
        <w:spacing w:after="220" w:line="276" w:lineRule="auto"/>
      </w:pPr>
      <w:r>
        <w:rPr>
          <w:b/>
        </w:rPr>
        <w:t xml:space="preserve">Figure S3. </w:t>
      </w:r>
      <w:r>
        <w:rPr>
          <w:b/>
        </w:rPr>
        <w:t xml:space="preserve">ssGSEA TPM-harmonization concordance. </w:t>
      </w:r>
      <w:r>
        <w:t>Per-signature Spearman correlation between the original R/GSVA ssGSEA scores and a Python (gseapy v1.3) re-run on the same log₂(TPM + 1) matrix, across all 24 brain-tuned signatures (median ρ = 0.958).</w:t>
      </w:r>
    </w:p>
    <w:p>
      <w:pPr>
        <w:spacing w:after="220" w:line="276" w:lineRule="auto"/>
      </w:pPr>
      <w:r>
        <w:rPr>
          <w:b/>
        </w:rPr>
        <w:t xml:space="preserve">Figure S4. </w:t>
      </w:r>
      <w:r>
        <w:rPr>
          <w:b/>
        </w:rPr>
        <w:t xml:space="preserve">Re-clustering of the high-confidence CIBERSORTx subset. </w:t>
      </w:r>
      <w:r>
        <w:t>Three-ecotype structure recovered in the subset of biospecimens with LM22 permutation P &lt; 0.05 (n = 91). Direct mapped-label agreement with the locked main assignment is 44%, which indicates sensitivity to this selection and re-clustering rather than robustness.</w:t>
      </w:r>
    </w:p>
    <w:p>
      <w:pPr>
        <w:spacing w:after="220" w:line="276" w:lineRule="auto"/>
      </w:pPr>
      <w:r>
        <w:rPr>
          <w:b/>
        </w:rPr>
        <w:t xml:space="preserve">Figure S5. </w:t>
      </w:r>
      <w:r>
        <w:rPr>
          <w:b/>
        </w:rPr>
        <w:t xml:space="preserve">Clustering-definition and held-out-feature sensitivity. </w:t>
      </w:r>
      <w:r>
        <w:t>Cluster-number metrics on the 46-feature matrix; feature-block sensitivity; and the de novo 34-feature TPM-harmonized confusion matrix against the locked assignment. These panels indicate partial feature-definition stability, not validation of a finalized classifier. Statistics are in Supplementary Tables S9 and S10.</w:t>
      </w:r>
    </w:p>
    <w:p>
      <w:pPr>
        <w:spacing w:after="220" w:line="276" w:lineRule="auto"/>
      </w:pPr>
      <w:r>
        <w:rPr>
          <w:b/>
        </w:rPr>
        <w:t xml:space="preserve">Figure S6. </w:t>
      </w:r>
      <w:r>
        <w:rPr>
          <w:b/>
        </w:rPr>
        <w:t xml:space="preserve">Immune-theme composites across the ecotypes. </w:t>
      </w:r>
      <w:r>
        <w:t>(A) Five immune-theme composites calculated from per-signature z-scores. (B) The same composites stratified by integrated molecular group; within-group Kruskal–Wallis tests are Benjamini–Hochberg adjusted, but the DHG, H3 G34-mutant and infant-type hemispheric panels are descriptive because of sparse ecotype strata. Statistics are in Supplementary Table S14.</w:t>
      </w:r>
    </w:p>
    <w:p>
      <w:pPr>
        <w:spacing w:after="220" w:line="276" w:lineRule="auto"/>
      </w:pPr>
      <w:r>
        <w:rPr>
          <w:b/>
        </w:rPr>
        <w:t xml:space="preserve">Figure S7. </w:t>
      </w:r>
      <w:r>
        <w:rPr>
          <w:b/>
        </w:rPr>
        <w:t xml:space="preserve">Per-signature immune programs and post-hoc comparisons. </w:t>
      </w:r>
      <w:r>
        <w:t>(A) Mean per-signature z-score by ecotype for all 24 brain-tuned ssGSEA signatures. (B) Twelve focus signatures, ending with the interferon-γ response. (C) Dunn post-hoc signed −log₁₀(q) heatmap for the same twelve signatures; the color scale is capped at ±300 for readability. Statistics are in Supplementary Tables S14 and S15.</w:t>
      </w:r>
    </w:p>
    <w:p>
      <w:pPr>
        <w:spacing w:after="220" w:line="276" w:lineRule="auto"/>
      </w:pPr>
      <w:r>
        <w:rPr>
          <w:b/>
        </w:rPr>
        <w:t xml:space="preserve">Figure S8. </w:t>
      </w:r>
      <w:r>
        <w:rPr>
          <w:b/>
        </w:rPr>
        <w:t xml:space="preserve">Pathway enrichment from the molecular-group-adjusted gene lists. </w:t>
      </w:r>
      <w:r>
        <w:t>g:Profiler enrichment of the up-regulated gene lists of Figure 6A–C. Lymphocyte-inflamed and Myeloid-dominant show immune, defense-response and antigen-processing terms; no Immune-desert term passed the displayed adjusted criterion, so that panel is blank. Full results are in Supplementary Table S19.</w:t>
      </w:r>
    </w:p>
    <w:p>
      <w:pPr>
        <w:spacing w:after="220" w:line="276" w:lineRule="auto"/>
      </w:pPr>
      <w:r>
        <w:rPr>
          <w:b/>
        </w:rPr>
        <w:t xml:space="preserve">Figure S9. </w:t>
      </w:r>
      <w:r>
        <w:rPr>
          <w:b/>
        </w:rPr>
        <w:t xml:space="preserve">Unadjusted one-versus-rest differential expression. </w:t>
      </w:r>
      <w:r>
        <w:t>Exploratory one-versus-rest analysis using two-sided tie-corrected asymptotic Mann–Whitney U tests with continuity correction and within-contrast Benjamini–Hochberg adjustment; the y-axis maxima are approximately 36, 5 and 27 for Lymphocyte-inflamed, Myeloid-dominant and Immune-desert. Figure 6A–C uses the molecular-group-adjusted models.</w:t>
      </w:r>
    </w:p>
    <w:p>
      <w:pPr>
        <w:spacing w:after="220" w:line="276" w:lineRule="auto"/>
      </w:pPr>
      <w:r>
        <w:rPr>
          <w:b/>
        </w:rPr>
        <w:t xml:space="preserve">Figure S10. </w:t>
      </w:r>
      <w:r>
        <w:rPr>
          <w:b/>
        </w:rPr>
        <w:t xml:space="preserve">Subtype-stratified survival. </w:t>
      </w:r>
      <w:r>
        <w:t>(A) Kaplan–Meier curves by ecotype in the two adequately sized strata: DMG, H3 K27-altered (n = 140, log-rank P = 0.140) and pediatric high-grade glioma, H3/IDH-wildtype (n = 82, P = 0.0612). (B) Within-subtype Cox hazard ratios for Immune-desert versus Lymphocyte-inflamed, with the interaction likelihood-ratio test. Strata with very small ecotype-specific sample and event counts are descriptive only and are not evidence of subtype generalizability. Model output is in Supplementary Table S20.</w:t>
      </w:r>
    </w:p>
    <w:p>
      <w:pPr>
        <w:spacing w:after="220" w:line="276" w:lineRule="auto"/>
      </w:pPr>
      <w:r>
        <w:rPr>
          <w:b/>
        </w:rPr>
        <w:t xml:space="preserve">Figure S11. </w:t>
      </w:r>
      <w:r>
        <w:rPr>
          <w:b/>
        </w:rPr>
        <w:t xml:space="preserve">Location-stratified Kaplan–Meier curves. </w:t>
      </w:r>
      <w:r>
        <w:t>Overall survival by ecotype within the midline, hemispheric, posterior-fossa and multi-compartment/ambiguous or other location classes. Colors follow the study-wide blue, red and gray palette; sparse panels are descriptive.</w:t>
      </w:r>
    </w:p>
    <w:p>
      <w:pPr>
        <w:spacing w:after="220" w:line="276" w:lineRule="auto"/>
      </w:pPr>
      <w:r>
        <w:rPr>
          <w:b/>
        </w:rPr>
        <w:t xml:space="preserve">Figure S12. </w:t>
      </w:r>
      <w:r>
        <w:rPr>
          <w:b/>
        </w:rPr>
        <w:t xml:space="preserve">Proportional-hazards diagnostics. </w:t>
      </w:r>
      <w:r>
        <w:t>Scaled Schoenfeld residuals against event-time rank for every covariate of the baseline multivariable Cox model (n = 251, 208 events). Red line, linear fit; blue dashed line, the fitted coefficient. Per-covariate Grambsch–Therneau χ² and P are shown above each panel; the global test is χ² = 9.49, df = 7, P = 0.219. Only DHG, H3 G34-mutant was nominally non-proportional (P = 0.021), which does not survive Benjamini–Hochberg correction across the seven covariates (q = 0.147). Full output is in Supplementary Table S20.</w:t>
      </w:r>
    </w:p>
    <w:p>
      <w:pPr>
        <w:spacing w:after="220" w:line="276" w:lineRule="auto"/>
      </w:pPr>
      <w:r>
        <w:rPr>
          <w:b/>
        </w:rPr>
        <w:t xml:space="preserve">Figure S13. </w:t>
      </w:r>
      <w:r>
        <w:rPr>
          <w:b/>
        </w:rPr>
        <w:t xml:space="preserve">Survival missingness and inverse-probability-weighting sensitivity. </w:t>
      </w:r>
      <w:r>
        <w:t>(A) Proportion of tumors with overall-survival annotation by integrated molecular group. (B) Trimmed stabilized weights (mean 1.15, range 0.76–5.79). (C) Hazard-ratio estimates across the weighting schemes. (D) Covariate balance before and after weighting. Overall survival was evaluable for 251 of 349 tumors (71.9%); missingness is differential with respect to the measured confounders and non-differential with respect to immune ecotype (χ² = 1.54, df = 2, P = 0.463). The analysis conditions on measured covariates; a missing-not-at-random mechanism cannot be excluded and is stated in the limitations. Statistics are in Supplementary Table S21.</w:t>
      </w:r>
    </w:p>
    <w:p>
      <w:pPr>
        <w:spacing w:after="220" w:line="276" w:lineRule="auto"/>
      </w:pPr>
      <w:r>
        <w:rPr>
          <w:b/>
        </w:rPr>
        <w:t xml:space="preserve">Figure S14. </w:t>
      </w:r>
      <w:r>
        <w:rPr>
          <w:b/>
        </w:rPr>
        <w:t xml:space="preserve">Single-cell support for the cellular interpretation of the immune signatures and of the ecotype axis, full analysis. </w:t>
      </w:r>
      <w:r>
        <w:t>(A) Mean z-score of each of the 24 brain-tuned signatures by annotated cell type in 18,619 immune cells from four pediatric high-grade gliomas (GSE227983; H3 K27-altered n = 1, H3-wildtype hemispheric n = 3; posterior fossa ependymoma excluded). Scores are control-gene-matched, using 25 expression bins and 50 control genes per signature gene. Cell annotations are those published by the original authors and were verified here against canonical lineage markers. The red outline marks Glioma_Inflammatory_Wang2017. (B) Area under the receiver-operating-characteristic curve for each directional signature in identifying the cell type it is named for; bars across all cells, whiskers the per-sample range (also shown as Figure 5A). (C) Glioma_Inflammatory_Wang2017 by cell type; it identifies T cells rather than myeloid cells (AUROC 0.075 for myeloid identity). (D) Cell type expressing each of the 246 detectable genes defining the Lymphocyte-inflamed versus Immune-desert contrast, in matched Smart-seq2 immune and malignant cells compared on one platform. (E) Percentage of those genes attributed to immune cells against 200 draws of expression-matched random genes (permutation P = 0.005). The signatures and the ecotype axis are immune-cell-associated, with many genes preferentially expressed in myeloid cells. Statistics are in Supplementary Tables S22 and S23.</w:t>
      </w:r>
    </w:p>
    <w:p>
      <w:pPr>
        <w:spacing w:after="220" w:line="276" w:lineRule="auto"/>
      </w:pPr>
      <w:r>
        <w:rPr>
          <w:b/>
        </w:rPr>
        <w:t xml:space="preserve">Figure S15. </w:t>
      </w:r>
      <w:r>
        <w:rPr>
          <w:b/>
        </w:rPr>
        <w:t xml:space="preserve">Spatial organization of the immune programs in H3.3 K27M pediatric diffuse midline glioma, full analysis. </w:t>
      </w:r>
      <w:r>
        <w:t>Three H3.3 K27M pediatric diffuse midline glioma sections profiled by 10x Visium (GSE268577). In-tissue spots were normalized to counts per 10,000, log₂-transformed and scored with the same control-gene-matched method used for the single-cell data; spots are unsorted, so cell composition is meaningful in this dataset. (A–C) Each in-tissue spot colored by the bulk ecotype centroid it maps most closely to, assigned by Pearson correlation across the 24 brain-tuned signatures after z-scoring within dataset; Sample-1 (577 spots), Sample-2 (856) and Sample-3 (217). Neighboring spots share an assignment more often than chance in all three sections: 0.540, 0.357 and 0.562 against permutation nulls of 0.358, 0.338 and 0.370 (999 label permutations; P = 0.001, 0.019 and 0.001). Spots mapping most closely to each of the three bulk ecotype centroids were represented within each section, which suggests that a bulk ecotype label summarizes heterogeneous regional immune programs within a specimen. (D) Moran’s I on the hexagonal first-order neighbor graph for the twelve signatures with the highest mean value across sections; 999 permutations per signature. Ten of the 24 signatures are spatially autocorrelated at a false-discovery rate below 0.05 in all three sections, most strongly the myeloid and antigen-presentation programs. (E) Correlation between the myeloid and lymphoid theme composites, in the bulk cohort and per spot within each section. The close coupling seen across bulk tumors (r = 0.80) is weaker within tissue (r = 0.36, 0.05 and 0.48), consistent with an aggregation contribution. (F) Proportion of in-tissue spots assigned to each ecotype per section. Statistics are in Supplementary Tables S22 and S24.</w:t>
      </w:r>
    </w:p>
    <w:p>
      <w:pPr>
        <w:spacing w:before="280" w:after="120"/>
      </w:pPr>
      <w:r>
        <w:rPr>
          <w:b/>
          <w:sz w:val="26"/>
        </w:rPr>
        <w:t>Supplementary tables</w:t>
      </w:r>
    </w:p>
    <w:p>
      <w:pPr>
        <w:spacing w:after="220" w:line="276" w:lineRule="auto"/>
      </w:pPr>
      <w:r>
        <w:rPr>
          <w:b/>
        </w:rPr>
        <w:t xml:space="preserve">Table S1. </w:t>
      </w:r>
      <w:r>
        <w:rPr>
          <w:b/>
        </w:rPr>
        <w:t xml:space="preserve">Immune signature gene lists. </w:t>
      </w:r>
      <w:r>
        <w:t>Complete membership of every gene signature used in the study, with its source annotation. Supports: Methods; Figures 2, 3, 5.</w:t>
      </w:r>
    </w:p>
    <w:p>
      <w:pPr>
        <w:spacing w:after="220" w:line="276" w:lineRule="auto"/>
      </w:pPr>
      <w:r>
        <w:rPr>
          <w:b/>
        </w:rPr>
        <w:t xml:space="preserve">Table S2. </w:t>
      </w:r>
      <w:r>
        <w:rPr>
          <w:b/>
        </w:rPr>
        <w:t xml:space="preserve">Feature composition of the clustering matrices. </w:t>
      </w:r>
      <w:r>
        <w:t>Every feature of the 46-feature primary clustering matrix (22 CIBERSORTx LM22 fractions plus 24 brain-tuned ssGSEA signatures) and of the 34-feature TPM-harmonized sensitivity matrix (10 quanTIseq axes plus the 24 ssGSEA signatures), with block membership. Supports: Methods; Figure 3; Figure S5.</w:t>
      </w:r>
    </w:p>
    <w:p>
      <w:pPr>
        <w:spacing w:after="220" w:line="276" w:lineRule="auto"/>
      </w:pPr>
      <w:r>
        <w:rPr>
          <w:b/>
        </w:rPr>
        <w:t xml:space="preserve">Table S3. </w:t>
      </w:r>
      <w:r>
        <w:rPr>
          <w:b/>
        </w:rPr>
        <w:t xml:space="preserve">Anatomical-location classification mapping. </w:t>
      </w:r>
      <w:r>
        <w:t>Mapping of the source CNS region and primary site annotations onto the four location classes. Supports: Methods; Figure 4.</w:t>
      </w:r>
    </w:p>
    <w:p>
      <w:pPr>
        <w:spacing w:after="220" w:line="276" w:lineRule="auto"/>
      </w:pPr>
      <w:r>
        <w:rPr>
          <w:b/>
        </w:rPr>
        <w:t xml:space="preserve">Table S4. </w:t>
      </w:r>
      <w:r>
        <w:rPr>
          <w:b/>
        </w:rPr>
        <w:t xml:space="preserve">Analysis-set reconciliation. </w:t>
      </w:r>
      <w:r>
        <w:t>Reconciliation of the main cohort (n = 349), the location-annotated set (n = 332), the sequential PERMANOVA set (n = 258) and the survival-evaluable set (n = 251). Supports: Figure 1B.</w:t>
      </w:r>
    </w:p>
    <w:p>
      <w:pPr>
        <w:spacing w:after="220" w:line="276" w:lineRule="auto"/>
      </w:pPr>
      <w:r>
        <w:rPr>
          <w:b/>
        </w:rPr>
        <w:t xml:space="preserve">Table S5. </w:t>
      </w:r>
      <w:r>
        <w:rPr>
          <w:b/>
        </w:rPr>
        <w:t xml:space="preserve">Immune-ecotype assignment of the main cohort. </w:t>
      </w:r>
      <w:r>
        <w:t>Locked exploratory k = 3 assignment for all 349 biospecimens. Supports: Figures 3, 4, 6, 7.</w:t>
      </w:r>
    </w:p>
    <w:p>
      <w:pPr>
        <w:spacing w:after="220" w:line="276" w:lineRule="auto"/>
      </w:pPr>
      <w:r>
        <w:rPr>
          <w:b/>
        </w:rPr>
        <w:t xml:space="preserve">Table S6. </w:t>
      </w:r>
      <w:r>
        <w:rPr>
          <w:b/>
        </w:rPr>
        <w:t xml:space="preserve">Cluster-number sweep, k = 2 to 10. </w:t>
      </w:r>
      <w:r>
        <w:t>Consensus clustering of the 46-feature matrix, 1,000 bootstrap replicates, 80% item resampling, seed 42. Supports: Figure 3A-C, 3E.</w:t>
      </w:r>
    </w:p>
    <w:p>
      <w:pPr>
        <w:spacing w:after="220" w:line="276" w:lineRule="auto"/>
      </w:pPr>
      <w:r>
        <w:rPr>
          <w:b/>
        </w:rPr>
        <w:t xml:space="preserve">Table S7. </w:t>
      </w:r>
      <w:r>
        <w:rPr>
          <w:b/>
        </w:rPr>
        <w:t xml:space="preserve">Gap statistic, k = 1 to 10. </w:t>
      </w:r>
      <w:r>
        <w:t>Gap statistic against 50 uniform reference datasets, with the one-standard-error criterion. Supports: Figure 3D.</w:t>
      </w:r>
    </w:p>
    <w:p>
      <w:pPr>
        <w:spacing w:after="220" w:line="276" w:lineRule="auto"/>
      </w:pPr>
      <w:r>
        <w:rPr>
          <w:b/>
        </w:rPr>
        <w:t xml:space="preserve">Table S8. </w:t>
      </w:r>
      <w:r>
        <w:rPr>
          <w:b/>
        </w:rPr>
        <w:t xml:space="preserve">Cluster-number criteria and the k each selects. </w:t>
      </w:r>
      <w:r>
        <w:t>Each cluster-number criterion, the k it selects and the criterion family it belongs to. Supports: Figure 3A-E.</w:t>
      </w:r>
    </w:p>
    <w:p>
      <w:pPr>
        <w:spacing w:after="220" w:line="276" w:lineRule="auto"/>
      </w:pPr>
      <w:r>
        <w:rPr>
          <w:b/>
        </w:rPr>
        <w:t xml:space="preserve">Table S9. </w:t>
      </w:r>
      <w:r>
        <w:rPr>
          <w:b/>
        </w:rPr>
        <w:t xml:space="preserve">Feature-definition sensitivity of the k = 3 assignment. </w:t>
      </w:r>
      <w:r>
        <w:t>De novo k = 3 clustering on the primary and on the TPM-harmonized matrices compared with the locked assignment. Supports: Figure S5.</w:t>
      </w:r>
    </w:p>
    <w:p>
      <w:pPr>
        <w:spacing w:after="220" w:line="276" w:lineRule="auto"/>
      </w:pPr>
      <w:r>
        <w:rPr>
          <w:b/>
        </w:rPr>
        <w:t xml:space="preserve">Table S10. </w:t>
      </w:r>
      <w:r>
        <w:rPr>
          <w:b/>
        </w:rPr>
        <w:t xml:space="preserve">PERMANOVA on circular and held-out feature blocks. </w:t>
      </w:r>
      <w:r>
        <w:t>One-way PERMANOVA of ecotype and molecular group against the feature blocks used to define the clusters and against blocks that were not. Supports: Figure S5.</w:t>
      </w:r>
    </w:p>
    <w:p>
      <w:pPr>
        <w:spacing w:after="220" w:line="276" w:lineRule="auto"/>
      </w:pPr>
      <w:r>
        <w:rPr>
          <w:b/>
        </w:rPr>
        <w:t xml:space="preserve">Table S11. </w:t>
      </w:r>
      <w:r>
        <w:rPr>
          <w:b/>
        </w:rPr>
        <w:t xml:space="preserve">Cross-method concordance, main cohort and pooled set. </w:t>
      </w:r>
      <w:r>
        <w:t>Spearman correlations between CIBERSORTx LM22 and the peer methods in the n = 349 main cohort and in the same-resource n = 702 pool. Supports: Figure 2B; Figures S1, S2.</w:t>
      </w:r>
    </w:p>
    <w:p>
      <w:pPr>
        <w:spacing w:after="220" w:line="276" w:lineRule="auto"/>
      </w:pPr>
      <w:r>
        <w:rPr>
          <w:b/>
        </w:rPr>
        <w:t xml:space="preserve">Table S12. </w:t>
      </w:r>
      <w:r>
        <w:rPr>
          <w:b/>
        </w:rPr>
        <w:t xml:space="preserve">Brain-tuned myeloid signatures versus LM22 macrophage and monocyte axes. </w:t>
      </w:r>
      <w:r>
        <w:t>Spearman correlations between the brain-tuned microglia and monocyte-derived-macrophage signatures and the LM22 macrophage and monocyte axes. Supports: Figure S1.</w:t>
      </w:r>
    </w:p>
    <w:p>
      <w:pPr>
        <w:spacing w:after="220" w:line="276" w:lineRule="auto"/>
      </w:pPr>
      <w:r>
        <w:rPr>
          <w:b/>
        </w:rPr>
        <w:t xml:space="preserve">Table S13. </w:t>
      </w:r>
      <w:r>
        <w:rPr>
          <w:b/>
        </w:rPr>
        <w:t xml:space="preserve">Location and molecular-group contingency analyses. </w:t>
      </w:r>
      <w:r>
        <w:t>Contingency statistics for ecotype by anatomical location and by integrated molecular group, with Monte-Carlo P values and midline-versus-hemispheric odds ratios. Supports: Figure 4.</w:t>
      </w:r>
    </w:p>
    <w:p>
      <w:pPr>
        <w:spacing w:after="220" w:line="276" w:lineRule="auto"/>
      </w:pPr>
      <w:r>
        <w:rPr>
          <w:b/>
        </w:rPr>
        <w:t xml:space="preserve">Table S14. </w:t>
      </w:r>
      <w:r>
        <w:rPr>
          <w:b/>
        </w:rPr>
        <w:t xml:space="preserve">Kruskal-Wallis tests of the immune features and theme composites. </w:t>
      </w:r>
      <w:r>
        <w:t>Per-feature and per-theme Kruskal-Wallis tests across the three ecotypes with Benjamini-Hochberg adjustment. Supports: Figures S6, S7.</w:t>
      </w:r>
    </w:p>
    <w:p>
      <w:pPr>
        <w:spacing w:after="220" w:line="276" w:lineRule="auto"/>
      </w:pPr>
      <w:r>
        <w:rPr>
          <w:b/>
        </w:rPr>
        <w:t xml:space="preserve">Table S15. </w:t>
      </w:r>
      <w:r>
        <w:rPr>
          <w:b/>
        </w:rPr>
        <w:t xml:space="preserve">Dunn post-hoc comparisons. </w:t>
      </w:r>
      <w:r>
        <w:t>Pairwise Dunn comparisons for every feature, with within-feature Benjamini-Hochberg adjustment. Supports: Figure S7.</w:t>
      </w:r>
    </w:p>
    <w:p>
      <w:pPr>
        <w:spacing w:after="220" w:line="276" w:lineRule="auto"/>
      </w:pPr>
      <w:r>
        <w:rPr>
          <w:b/>
        </w:rPr>
        <w:t xml:space="preserve">Table S16. </w:t>
      </w:r>
      <w:r>
        <w:rPr>
          <w:b/>
        </w:rPr>
        <w:t xml:space="preserve">Molecular-group-adjusted differential expression, all three contrasts. </w:t>
      </w:r>
      <w:r>
        <w:t>Gene-wise ordinary least squares on log2(TPM + 1) with ecotype and integrated molecular group, 18,586 annotated genes, n = 349. Supports: Figure 6A-C.</w:t>
      </w:r>
    </w:p>
    <w:p>
      <w:pPr>
        <w:spacing w:after="220" w:line="276" w:lineRule="auto"/>
      </w:pPr>
      <w:r>
        <w:rPr>
          <w:b/>
        </w:rPr>
        <w:t xml:space="preserve">Table S17. </w:t>
      </w:r>
      <w:r>
        <w:rPr>
          <w:b/>
        </w:rPr>
        <w:t xml:space="preserve">Overlap of the three adjusted contrasts. </w:t>
      </w:r>
      <w:r>
        <w:t>Partition of the up-regulated gene sets of the two Immune-desert-referenced contrasts. Supports: Figure 6D.</w:t>
      </w:r>
    </w:p>
    <w:p>
      <w:pPr>
        <w:spacing w:after="220" w:line="276" w:lineRule="auto"/>
      </w:pPr>
      <w:r>
        <w:rPr>
          <w:b/>
        </w:rPr>
        <w:t xml:space="preserve">Table S18. </w:t>
      </w:r>
      <w:r>
        <w:rPr>
          <w:b/>
        </w:rPr>
        <w:t xml:space="preserve">Genes shared by both Immune-desert-referenced contrasts. </w:t>
      </w:r>
      <w:r>
        <w:t>The 426 genes up-regulated in both Lymphocyte-inflamed and Myeloid-dominant versus Immune-desert, with both adjusted effect sizes. Supports: Figure 6D-F.</w:t>
      </w:r>
    </w:p>
    <w:p>
      <w:pPr>
        <w:spacing w:after="220" w:line="276" w:lineRule="auto"/>
      </w:pPr>
      <w:r>
        <w:rPr>
          <w:b/>
        </w:rPr>
        <w:t xml:space="preserve">Table S19. </w:t>
      </w:r>
      <w:r>
        <w:rPr>
          <w:b/>
        </w:rPr>
        <w:t xml:space="preserve">Pathway enrichment from the adjusted gene lists. </w:t>
      </w:r>
      <w:r>
        <w:t>g:Profiler enrichment of the molecular-group-adjusted up-regulated gene lists. Supports: Figure S8.</w:t>
      </w:r>
    </w:p>
    <w:p>
      <w:pPr>
        <w:spacing w:after="220" w:line="276" w:lineRule="auto"/>
      </w:pPr>
      <w:r>
        <w:rPr>
          <w:b/>
        </w:rPr>
        <w:t xml:space="preserve">Table S20. </w:t>
      </w:r>
      <w:r>
        <w:rPr>
          <w:b/>
        </w:rPr>
        <w:t xml:space="preserve">Cox models and proportional-hazards diagnostics. </w:t>
      </w:r>
      <w:r>
        <w:t>Multivariable Cox models, Grambsch-Therneau tests on scaled Schoenfeld residuals, and the comparison with and without location adjustment. Supports: Figure 7B; Figures S10, S12.</w:t>
      </w:r>
    </w:p>
    <w:p>
      <w:pPr>
        <w:spacing w:after="220" w:line="276" w:lineRule="auto"/>
      </w:pPr>
      <w:r>
        <w:rPr>
          <w:b/>
        </w:rPr>
        <w:t xml:space="preserve">Table S21. </w:t>
      </w:r>
      <w:r>
        <w:rPr>
          <w:b/>
        </w:rPr>
        <w:t xml:space="preserve">Survival evaluability and missingness. </w:t>
      </w:r>
      <w:r>
        <w:t>Survival evaluability by baseline characteristic and ecotype by evaluability within each molecular group. Supports: Figure S13.</w:t>
      </w:r>
    </w:p>
    <w:p>
      <w:pPr>
        <w:spacing w:after="220" w:line="276" w:lineRule="auto"/>
      </w:pPr>
      <w:r>
        <w:rPr>
          <w:b/>
        </w:rPr>
        <w:t xml:space="preserve">Table S22. </w:t>
      </w:r>
      <w:r>
        <w:rPr>
          <w:b/>
        </w:rPr>
        <w:t xml:space="preserve">Single-cell signature attribution. </w:t>
      </w:r>
      <w:r>
        <w:t>AUROC of each directional signature for the cell type it is named for, and the effect of correcting the two misassigned theme memberships. Supports: Figure 5A; Figure S14.</w:t>
      </w:r>
    </w:p>
    <w:p>
      <w:pPr>
        <w:spacing w:after="220" w:line="276" w:lineRule="auto"/>
      </w:pPr>
      <w:r>
        <w:rPr>
          <w:b/>
        </w:rPr>
        <w:t xml:space="preserve">Table S23. </w:t>
      </w:r>
      <w:r>
        <w:rPr>
          <w:b/>
        </w:rPr>
        <w:t xml:space="preserve">Cell type expressing the ecotype-axis genes. </w:t>
      </w:r>
      <w:r>
        <w:t>Mean expression and detection rate of each detectable ecotype-axis gene in matched malignant, myeloid and T cells. Supports: Figure 5B; Figure S14.</w:t>
      </w:r>
    </w:p>
    <w:p>
      <w:pPr>
        <w:spacing w:after="220" w:line="276" w:lineRule="auto"/>
      </w:pPr>
      <w:r>
        <w:rPr>
          <w:b/>
        </w:rPr>
        <w:t xml:space="preserve">Table S24. </w:t>
      </w:r>
      <w:r>
        <w:rPr>
          <w:b/>
        </w:rPr>
        <w:t xml:space="preserve">Spatial autocorrelation and spot-level ecotype assignment. </w:t>
      </w:r>
      <w:r>
        <w:t>Moran's I for every signature in each section, and the spot-level assignment and spatial coherence statistics. Supports: Figure 5C-E; Figure S15.</w:t>
      </w:r>
    </w:p>
    <w:p>
      <w:pPr>
        <w:spacing w:after="220" w:line="276" w:lineRule="auto"/>
      </w:pPr>
      <w:r>
        <w:rPr>
          <w:b/>
        </w:rPr>
        <w:t xml:space="preserve">Table S25. </w:t>
      </w:r>
      <w:r>
        <w:rPr>
          <w:b/>
        </w:rPr>
        <w:t xml:space="preserve">Software versions, parameters and random seeds. </w:t>
      </w:r>
      <w:r>
        <w:t>Execution environment, package versions, parameters and seeds for every analysis. Supports: Methods.</w:t>
      </w:r>
    </w:p>
    <w:p>
      <w:pPr>
        <w:spacing w:before="280" w:after="120"/>
      </w:pPr>
      <w:r>
        <w:rPr>
          <w:b/>
          <w:sz w:val="26"/>
        </w:rPr>
        <w:t>Abbreviations</w:t>
      </w:r>
    </w:p>
    <w:p>
      <w:r>
        <w:t>AUROC, area under the receiver-operating-characteristic curve; BH, Benjamini–Hochberg; CI, confidence interval; CNS, central nervous system; DAM, disease-associated microglia; DHG, diffuse hemispheric glioma; DMG, diffuse midline glioma; df, degrees of freedom; FDR, false-discovery rate; HR, hazard ratio; IHG, infant-type hemispheric glioma; IPW, inverse-probability weighting; MDM, monocyte-derived macrophage; PAC, proportion of ambiguous clustering; PERMANOVA, permutational multivariate analysis of variance; pDMG, pediatric diffuse midline glioma; pHGG, pediatric high-grade glioma; ssGSEA, single-sample gene set enrichment analysis; TAM, tumor-associated macrophage; TPM, transcripts per million; UMAP, uniform manifold approximation and projection.</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