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383F" w14:textId="255E6776" w:rsidR="00717EA4" w:rsidRDefault="00717EA4" w:rsidP="005B781D">
      <w:pPr>
        <w:spacing w:line="360" w:lineRule="auto"/>
        <w:rPr>
          <w:rFonts w:ascii="바탕체" w:eastAsia="바탕체" w:hAnsi="바탕체"/>
          <w:b/>
          <w:bCs/>
          <w:sz w:val="22"/>
          <w:szCs w:val="22"/>
        </w:rPr>
      </w:pPr>
      <w:r w:rsidRPr="00717EA4">
        <w:rPr>
          <w:rFonts w:ascii="바탕체" w:eastAsia="바탕체" w:hAnsi="바탕체"/>
          <w:b/>
          <w:bCs/>
          <w:sz w:val="22"/>
          <w:szCs w:val="22"/>
        </w:rPr>
        <w:t>소아 고등급 교종은 보통 H3 K27 변이, H3 G34 변이, H3/IDH-wildtype 여부, 그리고 영아형 수용체 티로신 키나아제 융합과 같은 분자유전학적 변화에 따라 분류됩니다. 그러나 이러한 종양들은 면역 미세환경에서도 서로 다른 특징을 보입니다. 기존의 면역세포 deconvolution 도구들은 주로 말초혈액 면역세포를 기반으로 개발되었기 때문에, 뇌에 상주하는 미세아교세포와 혈액에서 유입된 단핵구 유래 대식세포를 충분히 구별하지 못합니다. 본 연구에서는 OpenPedCan v15 cohort의 소아 교종 349개 sample을 대상으로, 여러 면역 deconvolution 방법과 뇌 특이적 면역 signature를 함께 적용하여 분석하였습니다. 그 결과 Inflamed, Intermediate, Immune</w:t>
      </w:r>
      <w:r w:rsidR="00B80A9E">
        <w:rPr>
          <w:rFonts w:ascii="바탕체" w:eastAsia="바탕체" w:hAnsi="바탕체" w:hint="eastAsia"/>
          <w:b/>
          <w:bCs/>
          <w:sz w:val="22"/>
          <w:szCs w:val="22"/>
        </w:rPr>
        <w:t>-</w:t>
      </w:r>
      <w:r w:rsidRPr="00717EA4">
        <w:rPr>
          <w:rFonts w:ascii="바탕체" w:eastAsia="바탕체" w:hAnsi="바탕체"/>
          <w:b/>
          <w:bCs/>
          <w:sz w:val="22"/>
          <w:szCs w:val="22"/>
        </w:rPr>
        <w:t>desert의 세 가지 면역 ecotype을 확인하였습니다. 이 중 Immune</w:t>
      </w:r>
      <w:r w:rsidR="00B80A9E">
        <w:rPr>
          <w:rFonts w:ascii="바탕체" w:eastAsia="바탕체" w:hAnsi="바탕체" w:hint="eastAsia"/>
          <w:b/>
          <w:bCs/>
          <w:sz w:val="22"/>
          <w:szCs w:val="22"/>
        </w:rPr>
        <w:t>-</w:t>
      </w:r>
      <w:r w:rsidRPr="00717EA4">
        <w:rPr>
          <w:rFonts w:ascii="바탕체" w:eastAsia="바탕체" w:hAnsi="바탕체"/>
          <w:b/>
          <w:bCs/>
          <w:sz w:val="22"/>
          <w:szCs w:val="22"/>
        </w:rPr>
        <w:t>desert ecotype은 분자 아형, 나이, 성별을 보정한 뒤에도 더 나쁜 전체 생존율과 관련되어 있었습니다. 본 연구 결과는 면역 미세환경이 분자진단만으로는 알 수 없는 임상적으로 의미 있는 정보를 제공할 수 있으며, 향후 소아 신경종양에서 면역 기반 환자 stratification을 정교화하는 데 도움이 될 수 있음을 시사합니다.</w:t>
      </w:r>
    </w:p>
    <w:p w14:paraId="11C31195" w14:textId="77777777" w:rsidR="00BD2467" w:rsidRDefault="00BD2467" w:rsidP="005B781D">
      <w:pPr>
        <w:spacing w:line="360" w:lineRule="auto"/>
        <w:rPr>
          <w:rFonts w:ascii="바탕체" w:eastAsia="바탕체" w:hAnsi="바탕체"/>
          <w:b/>
          <w:bCs/>
          <w:sz w:val="22"/>
          <w:szCs w:val="22"/>
        </w:rPr>
      </w:pPr>
    </w:p>
    <w:p w14:paraId="04507FD8" w14:textId="5151A233" w:rsidR="00BD2467" w:rsidRDefault="00BD2467" w:rsidP="005B781D">
      <w:pPr>
        <w:spacing w:line="360" w:lineRule="auto"/>
        <w:rPr>
          <w:rFonts w:ascii="Times New Roman" w:eastAsia="바탕체" w:hAnsi="Times New Roman" w:cs="Times New Roman"/>
          <w:b/>
          <w:bCs/>
          <w:sz w:val="26"/>
          <w:szCs w:val="26"/>
        </w:rPr>
      </w:pPr>
      <w:r w:rsidRPr="00BD2467">
        <w:rPr>
          <w:rFonts w:ascii="Times New Roman" w:eastAsia="바탕체" w:hAnsi="Times New Roman" w:cs="Times New Roman"/>
          <w:b/>
          <w:bCs/>
          <w:sz w:val="26"/>
          <w:szCs w:val="26"/>
        </w:rPr>
        <w:t>Brain</w:t>
      </w:r>
      <w:r w:rsidR="001A3351">
        <w:rPr>
          <w:rFonts w:ascii="Times New Roman" w:eastAsia="바탕체" w:hAnsi="Times New Roman" w:cs="Times New Roman" w:hint="eastAsia"/>
          <w:b/>
          <w:bCs/>
          <w:sz w:val="26"/>
          <w:szCs w:val="26"/>
        </w:rPr>
        <w:t>-</w:t>
      </w:r>
      <w:r w:rsidRPr="00BD2467">
        <w:rPr>
          <w:rFonts w:ascii="Times New Roman" w:eastAsia="바탕체" w:hAnsi="Times New Roman" w:cs="Times New Roman"/>
          <w:b/>
          <w:bCs/>
          <w:sz w:val="26"/>
          <w:szCs w:val="26"/>
        </w:rPr>
        <w:t>Tuned Immune Deconvolution Identifies Prognostic Immune Ecotypes in Pediatric High-Grade Glioma</w:t>
      </w:r>
    </w:p>
    <w:p w14:paraId="31A197A6" w14:textId="77777777" w:rsidR="004E41E8" w:rsidRDefault="004E41E8" w:rsidP="005B781D">
      <w:pPr>
        <w:spacing w:line="360" w:lineRule="auto"/>
        <w:rPr>
          <w:rFonts w:ascii="Times New Roman" w:eastAsia="바탕체" w:hAnsi="Times New Roman" w:cs="Times New Roman"/>
          <w:b/>
          <w:bCs/>
          <w:sz w:val="26"/>
          <w:szCs w:val="26"/>
        </w:rPr>
      </w:pPr>
    </w:p>
    <w:p w14:paraId="11E8D4D3" w14:textId="77777777" w:rsidR="00626138" w:rsidRDefault="004E41E8" w:rsidP="00626138">
      <w:pPr>
        <w:spacing w:line="360" w:lineRule="auto"/>
        <w:rPr>
          <w:rFonts w:ascii="Times New Roman" w:hAnsi="Times New Roman" w:cs="Times New Roman"/>
          <w:sz w:val="20"/>
          <w:szCs w:val="20"/>
        </w:rPr>
      </w:pPr>
      <w:r w:rsidRPr="00F30022">
        <w:rPr>
          <w:rFonts w:ascii="Times New Roman" w:hAnsi="Times New Roman" w:cs="Times New Roman"/>
          <w:sz w:val="20"/>
          <w:szCs w:val="20"/>
        </w:rPr>
        <w:t xml:space="preserve">Suhmi Chung, MD; </w:t>
      </w:r>
      <w:r w:rsidR="00B80A9E">
        <w:rPr>
          <w:rFonts w:ascii="Times New Roman" w:hAnsi="Times New Roman" w:cs="Times New Roman" w:hint="eastAsia"/>
          <w:sz w:val="20"/>
          <w:szCs w:val="20"/>
        </w:rPr>
        <w:t xml:space="preserve">Jong Hwi Kim, PhD; </w:t>
      </w:r>
    </w:p>
    <w:p w14:paraId="42FB2B47" w14:textId="4F1755F7" w:rsidR="004E41E8" w:rsidRPr="00626138" w:rsidRDefault="004E41E8" w:rsidP="00626138">
      <w:pPr>
        <w:pStyle w:val="a6"/>
        <w:numPr>
          <w:ilvl w:val="0"/>
          <w:numId w:val="2"/>
        </w:numPr>
        <w:spacing w:line="360" w:lineRule="auto"/>
        <w:rPr>
          <w:rFonts w:ascii="Times New Roman" w:hAnsi="Times New Roman" w:cs="Times New Roman"/>
          <w:sz w:val="20"/>
          <w:szCs w:val="20"/>
        </w:rPr>
      </w:pPr>
      <w:r w:rsidRPr="00626138">
        <w:rPr>
          <w:rFonts w:ascii="Times New Roman" w:hAnsi="Times New Roman" w:cs="Times New Roman"/>
          <w:sz w:val="20"/>
          <w:szCs w:val="20"/>
        </w:rPr>
        <w:t>Department of Neurosurgery, Asan Medical Center, University of Ulsan College of Medicine, Seoul, Republic of Korea</w:t>
      </w:r>
    </w:p>
    <w:p w14:paraId="40D0D492" w14:textId="35100CC3" w:rsidR="00C6667F" w:rsidRPr="00626138" w:rsidRDefault="00C6667F" w:rsidP="00626138">
      <w:pPr>
        <w:pStyle w:val="a6"/>
        <w:numPr>
          <w:ilvl w:val="0"/>
          <w:numId w:val="2"/>
        </w:numPr>
        <w:spacing w:line="360" w:lineRule="auto"/>
        <w:rPr>
          <w:rFonts w:ascii="Times New Roman" w:hAnsi="Times New Roman" w:cs="Times New Roman"/>
          <w:sz w:val="20"/>
          <w:szCs w:val="20"/>
        </w:rPr>
      </w:pPr>
      <w:r w:rsidRPr="00626138">
        <w:rPr>
          <w:rFonts w:ascii="Times New Roman" w:hAnsi="Times New Roman" w:cs="Times New Roman"/>
          <w:sz w:val="20"/>
          <w:szCs w:val="20"/>
        </w:rPr>
        <w:t>Korea Institute of Science and Technology</w:t>
      </w:r>
    </w:p>
    <w:p w14:paraId="45859987" w14:textId="77777777" w:rsidR="00C6667F" w:rsidRDefault="00C6667F" w:rsidP="005B781D">
      <w:pPr>
        <w:spacing w:line="360" w:lineRule="auto"/>
        <w:rPr>
          <w:rFonts w:ascii="Times New Roman" w:hAnsi="Times New Roman" w:cs="Times New Roman"/>
          <w:b/>
          <w:bCs/>
          <w:sz w:val="20"/>
          <w:szCs w:val="20"/>
        </w:rPr>
      </w:pPr>
    </w:p>
    <w:p w14:paraId="37477F05" w14:textId="196151A3" w:rsidR="00167648" w:rsidRPr="00167648" w:rsidRDefault="00167648" w:rsidP="005B781D">
      <w:pPr>
        <w:spacing w:line="360" w:lineRule="auto"/>
        <w:rPr>
          <w:rFonts w:ascii="Times New Roman" w:eastAsia="바탕체" w:hAnsi="Times New Roman" w:cs="Times New Roman"/>
          <w:b/>
          <w:bCs/>
          <w:sz w:val="22"/>
          <w:szCs w:val="22"/>
        </w:rPr>
      </w:pPr>
      <w:r w:rsidRPr="00167648">
        <w:rPr>
          <w:rFonts w:ascii="Times New Roman" w:eastAsia="바탕체" w:hAnsi="Times New Roman" w:cs="Times New Roman"/>
          <w:b/>
          <w:bCs/>
          <w:sz w:val="22"/>
          <w:szCs w:val="22"/>
        </w:rPr>
        <w:t>Abstract</w:t>
      </w:r>
    </w:p>
    <w:p w14:paraId="4CE0BA68"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Background</w:t>
      </w:r>
    </w:p>
    <w:p w14:paraId="645C0E95"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 xml:space="preserve">The tumor immune microenvironment of pediatric gliomas remains incompletely characterized. Although pediatric gliomas are molecularly distinct from adult gliomas, most computational immune deconvolution approaches were developed using peripheral immune cell signatures and do not adequately resolve brain-resident microglia from infiltrating monocyte-derived macrophages. We sought to define immune </w:t>
      </w:r>
      <w:r w:rsidRPr="00167648">
        <w:rPr>
          <w:rFonts w:ascii="Times New Roman" w:eastAsia="바탕체" w:hAnsi="Times New Roman" w:cs="Times New Roman"/>
          <w:sz w:val="22"/>
          <w:szCs w:val="22"/>
        </w:rPr>
        <w:lastRenderedPageBreak/>
        <w:t>ecotypes in pediatric glioma using a brain-tuned deconvolution strategy and to determine whether these ecotypes carry molecular, anatomical, and prognostic significance.</w:t>
      </w:r>
    </w:p>
    <w:p w14:paraId="3AA84C10"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Methods</w:t>
      </w:r>
    </w:p>
    <w:p w14:paraId="657AC4CC"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We analyzed harmonized bulk RNA-sequencing and clinical/molecular annotation from the OpenPedCan v15 cohort. The main cohort included 349 independent pediatric glioma biospecimens comprising diffuse midline glioma, H3 K27-altered; diffuse hemispheric glioma, H3 G34-mutant; pediatric-type high-grade glioma, H3/IDH-wildtype; and operationally defined infant-type hemispheric glioma. Four conventional deconvolution algorithms, MCP-counter, quanTIseq, EPIC, and xCell, were applied together with single-sample gene set enrichment analysis using brain-tuned signatures for microglia, monocyte-derived macrophages, antigen presentation, interferon response, T-cell cytotoxicity, exhaustion, regulatory T cells, MAPK activity, and immunosuppressive pathways. Consensus clustering was performed using quanTIseq fractions and immune-relevant ssGSEA signatures. Overall survival was evaluated by Kaplan–Meier analysis and multivariable Cox regression adjusted for molecular cohort group, age, and sex. External immune frameworks, including the Danaher tumor inflammation signature, Grabowski-derived immunosuppression modules, CD276 checkpoint analysis, and Bagaev pan-cancer immune signatures, were applied as analytical cross-validation rather than as independent discovery cohorts.</w:t>
      </w:r>
    </w:p>
    <w:p w14:paraId="31DCAEC9"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Results</w:t>
      </w:r>
    </w:p>
    <w:p w14:paraId="7A2A2557"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Consensus clustering identified three reproducible immune ecotypes: Inflamed, Intermediate, and Immune-desert. Brain-tuned signatures separated microglia-associated programs from monocyte-derived macrophage programs, whereas conventional peripheral blood-derived methods, including LM22-style deconvolution, showed limited ability to resolve this brain-specific myeloid axis. Ecotype assignment was significantly associated with molecular cohort group and anatomical location. The Inflamed ecotype showed co-elevation of lymphocyte, myeloid, antigen-presentation, interferon, and exhaustion-related programs, whereas the Immune-desert ecotype showed low cytotoxic, chemokine, and antigen-presentation activity. Among patients with available overall survival data, the Inflamed ecotype had the longest median overall survival, followed by Intermediate and Immune-desert. In multivariable Cox regression, Immune-desert remained independently associated with worse overall survival relative to Inflamed after adjustment for cohort group, age, and sex. Cross-framework analysis showed that the Danaher tumor inflammation signature strongly tracked the ecotype inflammation continuum but did not capture an HLA-I/HLA-II antigen-presentation asymmetry identified by the brain-tuned framework. CD276 showed partial independence from the canonical checkpoint network, and BRAF V600E low-</w:t>
      </w:r>
      <w:r w:rsidRPr="00167648">
        <w:rPr>
          <w:rFonts w:ascii="Times New Roman" w:eastAsia="바탕체" w:hAnsi="Times New Roman" w:cs="Times New Roman"/>
          <w:sz w:val="22"/>
          <w:szCs w:val="22"/>
        </w:rPr>
        <w:lastRenderedPageBreak/>
        <w:t>grade glioma analyses supported immune cluster heterogeneity but indicated that TIS-based prognostic claims were sensitive to cutoff-selection methodology.</w:t>
      </w:r>
    </w:p>
    <w:p w14:paraId="3DE77005"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Conclusions</w:t>
      </w:r>
    </w:p>
    <w:p w14:paraId="72C13B91" w14:textId="77777777" w:rsid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Pediatric gliomas are not uniformly immune-cold. Brain-tuned immune deconvolution identifies three prognostically relevant immune ecotypes and resolves a microglia-versus-monocyte-derived macrophage axis that is obscured by conventional peripheral immune deconvolution. This framework provides a biologically and clinically meaningful approach for interpreting pediatric glioma immunity and may support future immune-based risk stratification and therapeutic design.</w:t>
      </w:r>
    </w:p>
    <w:p w14:paraId="4707AAF8" w14:textId="77777777" w:rsidR="00714ABA" w:rsidRPr="00167648" w:rsidRDefault="00714ABA" w:rsidP="005B781D">
      <w:pPr>
        <w:spacing w:line="360" w:lineRule="auto"/>
        <w:rPr>
          <w:rFonts w:ascii="Times New Roman" w:eastAsia="바탕체" w:hAnsi="Times New Roman" w:cs="Times New Roman"/>
          <w:sz w:val="22"/>
          <w:szCs w:val="22"/>
        </w:rPr>
      </w:pPr>
    </w:p>
    <w:p w14:paraId="7A171C03" w14:textId="77777777" w:rsidR="00167648" w:rsidRPr="00167648" w:rsidRDefault="00167648" w:rsidP="005B781D">
      <w:pPr>
        <w:spacing w:line="360" w:lineRule="auto"/>
        <w:rPr>
          <w:rFonts w:ascii="Times New Roman" w:eastAsia="바탕체" w:hAnsi="Times New Roman" w:cs="Times New Roman"/>
          <w:b/>
          <w:bCs/>
          <w:sz w:val="22"/>
          <w:szCs w:val="22"/>
        </w:rPr>
      </w:pPr>
      <w:r w:rsidRPr="00167648">
        <w:rPr>
          <w:rFonts w:ascii="Times New Roman" w:eastAsia="바탕체" w:hAnsi="Times New Roman" w:cs="Times New Roman"/>
          <w:b/>
          <w:bCs/>
          <w:sz w:val="22"/>
          <w:szCs w:val="22"/>
        </w:rPr>
        <w:t>Keywords</w:t>
      </w:r>
    </w:p>
    <w:p w14:paraId="639AA67C" w14:textId="77777777" w:rsidR="00167648" w:rsidRPr="00167648" w:rsidRDefault="00167648" w:rsidP="005B781D">
      <w:pPr>
        <w:spacing w:line="360" w:lineRule="auto"/>
        <w:rPr>
          <w:rFonts w:ascii="Times New Roman" w:eastAsia="바탕체" w:hAnsi="Times New Roman" w:cs="Times New Roman"/>
          <w:sz w:val="22"/>
          <w:szCs w:val="22"/>
        </w:rPr>
      </w:pPr>
      <w:r w:rsidRPr="00167648">
        <w:rPr>
          <w:rFonts w:ascii="Times New Roman" w:eastAsia="바탕체" w:hAnsi="Times New Roman" w:cs="Times New Roman"/>
          <w:sz w:val="22"/>
          <w:szCs w:val="22"/>
        </w:rPr>
        <w:t>pediatric glioma; pediatric high-grade glioma; tumor immune microenvironment; immune ecotype; deconvolution; microglia; monocyte-derived macrophage; OpenPedCan; ssGSEA; immunotherapy</w:t>
      </w:r>
    </w:p>
    <w:p w14:paraId="5A11F9B1" w14:textId="77777777" w:rsidR="00FE3120" w:rsidRDefault="00FE3120" w:rsidP="005B781D">
      <w:pPr>
        <w:spacing w:line="360" w:lineRule="auto"/>
        <w:rPr>
          <w:rFonts w:ascii="Times New Roman" w:eastAsia="바탕체" w:hAnsi="Times New Roman" w:cs="Times New Roman"/>
          <w:b/>
          <w:bCs/>
          <w:sz w:val="22"/>
          <w:szCs w:val="22"/>
        </w:rPr>
      </w:pPr>
    </w:p>
    <w:p w14:paraId="448EDBF0" w14:textId="5DB3E982"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Introduction</w:t>
      </w:r>
    </w:p>
    <w:p w14:paraId="37986366"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Pediatric gliomas are biologically distinct from adult gliomas. Their classification is increasingly defined by molecular and developmental context, including diffuse midline glioma, H3 K27-altered; diffuse hemispheric glioma, H3 G34-mutant; pediatric-type diffuse high-grade glioma, H3-wildtype and IDH-wildtype; and infant-type hemispheric glioma driven by receptor tyrosine kinase or MAPK pathway alterations. These entities differ not only in genetic drivers, but also in age of onset, anatomical predilection, epigenetic state, and clinical behavior. The biological diversity of pediatric glioma therefore cannot be fully captured by histology or adult glioblastoma paradigms alone.</w:t>
      </w:r>
    </w:p>
    <w:p w14:paraId="6C2A1865"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 xml:space="preserve">The tumor immune microenvironment has emerged as a major determinant of tumor behavior and treatment response in adult glioma and other solid tumors. Pediatric brain tumors, however, have historically been viewed as immunologically cold, partly because of low mutational burden, limited lymphocyte infiltration, developmental immune privilege of the central nervous system, and disappointing clinical responses to immune checkpoint blockade. Recent studies have challenged this simplified view by showing that immune activity varies substantially across pediatric brain tumor types, molecular subgroups, and anatomical locations. In particular, diffuse midline glioma, H3 K27-altered, H3 G34-mutant hemispheric glioma, MAPK-altered glioma, and infant-type glioma may exhibit distinct </w:t>
      </w:r>
      <w:r w:rsidRPr="0045084F">
        <w:rPr>
          <w:rFonts w:ascii="Times New Roman" w:eastAsia="바탕체" w:hAnsi="Times New Roman" w:cs="Times New Roman"/>
          <w:sz w:val="22"/>
          <w:szCs w:val="22"/>
        </w:rPr>
        <w:lastRenderedPageBreak/>
        <w:t>immune architectures. A unified immune ecotype framework that integrates molecular class, anatomical location, developmental context, and survival has not yet been established for pediatric glioma.</w:t>
      </w:r>
    </w:p>
    <w:p w14:paraId="25F6BA74"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A major methodological limitation in immune profiling of brain tumors is the reliance on conventional deconvolution tools derived from peripheral blood immune populations. CIBERSORTx LM22 and related approaches are familiar and widely used, but they do not explicitly model brain-resident microglia. In the central nervous system, microglia and monocyte-derived macrophages share overlapping transcriptional programs but represent biologically distinct myeloid populations. Microglia arise from yolk-sac-derived resident immune cells and participate in developmental synaptic remodeling, homeostatic surveillance, and local inflammatory responses. Monocyte-derived macrophages reflect peripheral immune recruitment and may mark a different immunologic and therapeutic state. Collapsing these two populations into a single macrophage-like signal risks obscuring biologically meaningful variation in pediatric glioma immunity.</w:t>
      </w:r>
    </w:p>
    <w:p w14:paraId="055BAD04"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Several recent studies provide complementary frameworks for interpreting glioma immunity. Mechanistic reviews of glioma immunosuppression have emphasized T-cell exhaustion, regulatory T-cell expansion, myeloid-derived suppressor cells, suppressive cytokine programs, hypoxia-driven macrophage recruitment, and treatment-associated immunosuppression. Brain tumor immunology studies have highlighted the dominance of tumor-associated macrophage populations and the need to distinguish microglia from monocyte-derived macrophages. Large-scale pediatric brain tumor immune profiling has also established tumor inflammation signatures, checkpoint axes, and molecularly linked immune patterns, including CD276/B7-H3 as a potential immunotherapeutic target. These frameworks describe related aspects of the same biological landscape but have not been integrated into a brain-tuned prognostic ecotype model in pediatric glioma.</w:t>
      </w:r>
    </w:p>
    <w:p w14:paraId="6D295E52" w14:textId="11B267B8" w:rsidR="005B781D"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In this study, we used the OpenPedCan v15 cohort to define immune ecotypes in pediatric glioma using multi-method deconvolution and brain-tuned ssGSEA signature scoring. We hypothesized that pediatric gliomas would segregate into reproducible immune states, that these states would carry molecular and anatomical correlates, and that brain-tuned myeloid signatures would resolve a microglia-versus-monocyte-derived macrophage axis not captured by conventional peripheral immune deconvolution. We further evaluated whether ecotype assignment was associated with overall survival and whether external immune frameworks corroborated or complemented the ecotype structure.</w:t>
      </w:r>
    </w:p>
    <w:p w14:paraId="68D775F7" w14:textId="77777777" w:rsidR="005B781D" w:rsidRDefault="005B781D" w:rsidP="005B781D">
      <w:pPr>
        <w:spacing w:line="360" w:lineRule="auto"/>
        <w:rPr>
          <w:rFonts w:ascii="Times New Roman" w:eastAsia="바탕체" w:hAnsi="Times New Roman" w:cs="Times New Roman"/>
          <w:sz w:val="22"/>
          <w:szCs w:val="22"/>
        </w:rPr>
      </w:pPr>
    </w:p>
    <w:p w14:paraId="5E3A960E" w14:textId="79487E7C"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b/>
          <w:bCs/>
          <w:sz w:val="22"/>
          <w:szCs w:val="22"/>
        </w:rPr>
        <w:t>Methods</w:t>
      </w:r>
    </w:p>
    <w:p w14:paraId="089B804A" w14:textId="329F1902"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lastRenderedPageBreak/>
        <w:t>Data Source and Cohort Assembly</w:t>
      </w:r>
    </w:p>
    <w:p w14:paraId="50954B42"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Harmonized bulk RNA-sequencing data and clinical/molecular annotation were obtained from the Open Pediatric Cancer project, OpenPedCan v15 release. OpenPedCan extends and updates the Open Pediatric Brain Tumor Atlas resource and provides harmonized molecular and clinical annotation across pediatric cancer datasets. Analyses were restricted to PBTA-cohort RNA-sequencing specimens annotated as tumor tissue.</w:t>
      </w:r>
    </w:p>
    <w:p w14:paraId="0A74FB8C"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To minimize bias from repeated sampling and recurrent specimens, the OpenPedCan independent-primary-plus specimen list was applied. This approach retains one biospecimen per patient, preferentially selecting primary tumor specimens when available. The main analysis cohort consisted of 349 independent pediatric glioma biospecimens. Cohort groups were defined as diffuse midline glioma, H3 K27-altered; diffuse hemispheric glioma, H3 G34-mutant; pediatric-type high-grade glioma, H3/IDH-wildtype; and infant-type hemispheric glioma. OpenPedCan uses updated IUPAC residue nomenclature for histone alterations; therefore, H3 K28-altered and H3 G35-mutant annotations were interpreted as corresponding to H3 K27-altered and H3 G34-mutant nomenclature, respectively, for clinical readability.</w:t>
      </w:r>
    </w:p>
    <w:p w14:paraId="44E2D1CC"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Infant-type hemispheric glioma was operationally defined because this entity was not directly labeled as a single harmonized diagnosis in the working annotation. Tumors were classified as infant-type hemispheric glioma when they occurred in patients younger than 18 months, arose in a hemispheric location, and carried a putative oncogenic fusion involving NTRK1/2/3, ALK, ROS1, MET, or BRAF. A secondary cohort of BRAF-altered and MAPK-driven tumors was retained for projection and replication analyses but was not included in the primary ecotype discovery.</w:t>
      </w:r>
    </w:p>
    <w:p w14:paraId="4C9751D4"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Anatomical location was classified using CNS region and primary-site annotations. Tumors with clear midline, hemispheric, or posterior fossa designation were used for anatomical association analyses. Pineal, suprasellar, optic pathway, ventricular, or otherwise ambiguous locations were classified as ambiguous/other and excluded from direct midline-versus-hemispheric comparisons.</w:t>
      </w:r>
    </w:p>
    <w:p w14:paraId="642B203C" w14:textId="5676B375"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Gene Expression Processing</w:t>
      </w:r>
    </w:p>
    <w:p w14:paraId="65807F0D"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TPM-normalized gene expression matrices were obtained from the OpenPedCan v15 release and subset to the biospecimen identifiers in the main and secondary cohorts. Gene identifiers were retained as HGNC symbols. Genes with zero expression across all retained samples were removed. For deconvolution and signature scoring, TPM values were used as required by each method. Log-transformed expression values were used for selected visualization and gene set scoring steps where appropriate.</w:t>
      </w:r>
    </w:p>
    <w:p w14:paraId="0D970D16" w14:textId="2E9C4513"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lastRenderedPageBreak/>
        <w:t>Conventional Immune Deconvolution</w:t>
      </w:r>
    </w:p>
    <w:p w14:paraId="76DDC607"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Four immune deconvolution methods were applied using the immunedeconv R package: MCP-counter, quanTIseq, EPIC, and xCell. These methods were selected because they provide complementary estimates of immune and stromal components and are widely used in bulk RNA-sequencing studies. quanTIseq and EPIC were run with tumor mode enabled where applicable. Default method-specific parameters were otherwise used.</w:t>
      </w:r>
    </w:p>
    <w:p w14:paraId="3502EDDC"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CIBERSORTx LM22 deconvolution was also performed as an independent cross-check, not as the primary clustering method. LM22-derived outputs were used to assess goodness-of-fit metrics and to compare broad immune axes across methods. Because LM22 was derived from peripheral blood immune populations and does not explicitly include brain-resident microglia, LM22 fractions were not included in the primary clustering feature matrix.</w:t>
      </w:r>
    </w:p>
    <w:p w14:paraId="4C6BD961" w14:textId="637D01F7"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Brain-Tuned ssGSEA Signature Scoring</w:t>
      </w:r>
    </w:p>
    <w:p w14:paraId="607F2A83"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To capture brain-specific immune biology, a curated ssGSEA library was assembled. The signature library included microglia-associated programs, monocyte-derived macrophage programs, disease-associated microglia, antigen presentation, interferon response, T-cell cytotoxicity, T-cell exhaustion, regulatory T-cell activity, dendritic-cell activation, NK-cell activity, macrophage polarization, neutrophil activation, chemokine-mediated T-cell recruitment, MAPK transcriptional activity, TGF-β immunosuppression, glioma inflammatory signatures, cell cycle/proliferation, and stemness-related programs.</w:t>
      </w:r>
    </w:p>
    <w:p w14:paraId="098EE059"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Single-sample gene set enrichment analysis was performed using the GSVA package. Signature scores were normalized and used as continuous features for clustering, association analysis, and cross-framework comparison.</w:t>
      </w:r>
    </w:p>
    <w:p w14:paraId="49417A5E" w14:textId="17BDEC90"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Consensus Clustering and Immune Ecotype Definition</w:t>
      </w:r>
    </w:p>
    <w:p w14:paraId="70003F4A"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 primary clustering matrix combined quanTIseq immune cell fractions with immune-relevant ssGSEA signatures. Features were z-scored across samples prior to clustering. Consensus clustering was performed over k values from 2 to 6 using resampling-based methods. Cluster stability was assessed by consensus matrices, proportion of ambiguous clustering, silhouette analysis, and biological interpretability. Based on the pre-specified hypothesis and reproducible separation of immune states, k = 3 was selected for primary analysis.</w:t>
      </w:r>
    </w:p>
    <w:p w14:paraId="5488DD3D"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 resulting clusters were annotated as Inflamed, Intermediate, and Immune-desert based on mean feature z-scores, immune pathway enrichment, and deconvolution-derived immune estimates.</w:t>
      </w:r>
    </w:p>
    <w:p w14:paraId="219C419B" w14:textId="2C3A631B"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lastRenderedPageBreak/>
        <w:t>Association with Molecular and Anatomical Variables</w:t>
      </w:r>
    </w:p>
    <w:p w14:paraId="028DA5FD"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Ecotype assignment was compared across molecular cohort group, anatomical location, age group, sex, and fusion status where available. Fisher’s exact test or chi-square-based methods were used for categorical variables as appropriate. Continuous immune signature scores were compared across ecotypes using Kruskal–Wallis tests with Benjamini–Hochberg correction for multiple testing. Effect sizes were reported where appropriate.</w:t>
      </w:r>
    </w:p>
    <w:p w14:paraId="0F2583C0" w14:textId="2BE90F9D"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Survival Analysis</w:t>
      </w:r>
    </w:p>
    <w:p w14:paraId="2D3C1001"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Overall survival was evaluated in patients with available survival annotation. Kaplan–Meier curves were generated by ecotype, and log-rank tests were used for univariable comparison. Multivariable Cox proportional-hazards models were fitted with the Inflamed ecotype as reference and adjusted for molecular cohort group, age at diagnosis, and sex. Proportional-hazards assumptions were evaluated using Schoenfeld residuals. Survival analyses were interpreted cautiously because of incomplete clinical annotation and treatment heterogeneity.</w:t>
      </w:r>
    </w:p>
    <w:p w14:paraId="743ECA21" w14:textId="1E02E385"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External Analytical Cross-Validation</w:t>
      </w:r>
    </w:p>
    <w:p w14:paraId="27DD570A"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External immune frameworks were applied to the same OpenPedCan v15 cohort after fixing the primary ecotype assignments. These analyses were not treated as independent discovery or independent validation cohorts. Rather, they were used to determine whether the same ecotype structure was visible under alternative immune analytic lenses.</w:t>
      </w:r>
    </w:p>
    <w:p w14:paraId="7160E8A1"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Grabowski-derived immunosuppression modules were operationalized as ssGSEA signatures capturing exhaustion, senescence, central memory/naïve T-cell loss, MDSC-related programs, hypoxia, HLA-I and HLA-II antigen presentation, CSF1R-associated TAM programs, CCR2 chemokine axis, Treg activity, and suppressive cytokine signaling. Sampson-related microglia-versus-monocyte-derived TAM concepts were assessed using brain-tuned microglia and MDM signatures. The Danaher 18-gene tumor inflammation signature was computed as a scalar inflammation score. CD276 was analyzed relative to canonical checkpoint genes including PDCD1, CD274, CTLA4, LAG3, HAVCR2, and TIGIT. Bagaev pan-cancer microenvironment signatures and pathway-proxy scores were used for broader immune contextualization.</w:t>
      </w:r>
    </w:p>
    <w:p w14:paraId="2DC96C10" w14:textId="77777777" w:rsid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 xml:space="preserve">For BRAF V600E low-grade glioma replication analyses, BRAF V600E and KIAA1549-BRAF fusion samples were analyzed as a secondary cohort. Hierarchical clustering and progression-free survival analyses were performed to compare with prior reported immune-cluster and TIS-based prognostic </w:t>
      </w:r>
      <w:r w:rsidRPr="0045084F">
        <w:rPr>
          <w:rFonts w:ascii="Times New Roman" w:eastAsia="바탕체" w:hAnsi="Times New Roman" w:cs="Times New Roman"/>
          <w:sz w:val="22"/>
          <w:szCs w:val="22"/>
        </w:rPr>
        <w:lastRenderedPageBreak/>
        <w:t>findings. Because maximally selected cutoffs can inflate significance, exploratory cutoff-based survival claims were additionally evaluated using permutation-based correction.</w:t>
      </w:r>
    </w:p>
    <w:p w14:paraId="5D879841" w14:textId="77777777" w:rsidR="005B781D" w:rsidRPr="0045084F" w:rsidRDefault="005B781D" w:rsidP="005B781D">
      <w:pPr>
        <w:spacing w:line="360" w:lineRule="auto"/>
        <w:rPr>
          <w:rFonts w:ascii="Times New Roman" w:eastAsia="바탕체" w:hAnsi="Times New Roman" w:cs="Times New Roman"/>
          <w:sz w:val="22"/>
          <w:szCs w:val="22"/>
        </w:rPr>
      </w:pPr>
    </w:p>
    <w:p w14:paraId="23437A28" w14:textId="690EBC8E"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Results</w:t>
      </w:r>
    </w:p>
    <w:p w14:paraId="6EB209EC" w14:textId="6D2C58C8"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Cohort Composition</w:t>
      </w:r>
    </w:p>
    <w:p w14:paraId="3F33A82F"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Application of inclusion criteria to OpenPedCan v15 yielded 349 independent pediatric glioma biospecimens. The cohort included 175 diffuse midline glioma, H3 K27-altered; 31 diffuse hemispheric glioma, H3 G34-mutant; 125 pediatric-type high-grade glioma, H3/IDH-wildtype; and 18 operationally defined infant-type hemispheric glioma. The median age of the total cohort was 8.8 years. Diffuse midline glioma showed the expected midline predominance, whereas diffuse hemispheric glioma, H3 G34-mutant, showed hemispheric predominance and adolescent age distribution. Infant-type hemispheric glioma occurred in infants and was enriched for hemispheric location and RTK/BRAF fusion by definition. Overall survival data were available for 251 of 349 patients.</w:t>
      </w:r>
    </w:p>
    <w:p w14:paraId="3BC7D9E2"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These cohort characteristics confirmed that OpenPedCan v15 annotation recapitulated known biological and anatomical patterns of pediatric glioma and provided a suitable basis for immune ecotype discovery.</w:t>
      </w:r>
    </w:p>
    <w:p w14:paraId="7CFE7F86" w14:textId="151444C6"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Brain-Tuned Signatures Resolve a Microglia-versus-Monocyte-Derived Macrophage Axis</w:t>
      </w:r>
    </w:p>
    <w:p w14:paraId="4A6F425F"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Cross-method analysis of myeloid-related signals showed that brain-tuned signatures could distinguish microglia-associated programs from monocyte-derived macrophage programs. Microglia-related signatures derived from brain-resident or glioma-associated microglial programs were strongly correlated with each other. Monocyte-derived macrophage signatures were also internally correlated. In contrast, cross-correlation between microglia and monocyte-derived macrophage signatures was more modest, supporting the presence of separable myeloid axes.</w:t>
      </w:r>
    </w:p>
    <w:p w14:paraId="295218BF"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Conventional deconvolution methods showed more mixed behavior. Broad macrophage estimates from xCell, EPIC, MCP-counter, and quanTIseq partially tracked monocyte-derived macrophage signatures but did not consistently distinguish resident microglia from infiltrating macrophage programs. CIBERSORTx LM22 showed reduced fit in this pediatric brain tumor context and did not reliably separate lymphoid or brain-specific myeloid components. These findings support the use of brain-tuned signature scoring as the primary biological readout for pediatric glioma immune profiling.</w:t>
      </w:r>
    </w:p>
    <w:p w14:paraId="4D8C0FE2" w14:textId="187CC286"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Consensus Clustering Identifies Three Immune Ecotypes</w:t>
      </w:r>
    </w:p>
    <w:p w14:paraId="114A294C"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lastRenderedPageBreak/>
        <w:t>Consensus clustering of the combined quanTIseq and brain-tuned immune ssGSEA feature matrix identified three reproducible immune ecotypes. The Inflamed ecotype included 113 samples and was characterized by elevated cytotoxic T-cell, NK-cell, interferon, antigen-presentation, macrophage, monocyte-derived TAM, Treg, and exhaustion-related programs. This ecotype was therefore not simply lymphocyte-rich, but showed co-activation of effector and suppressive immune programs.</w:t>
      </w:r>
    </w:p>
    <w:p w14:paraId="651EF411"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 Intermediate ecotype included 157 samples and showed immune feature scores near the cohort average, without strong enrichment or depletion of immune programs. The Immune-desert ecotype included 79 samples and showed uniformly reduced immune feature scores, including lower cytotoxicity, chemokine recruitment, antigen-presentation, macrophage-associated, and checkpoint-related programs.</w:t>
      </w:r>
    </w:p>
    <w:p w14:paraId="6F861780"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Dimensionality reduction by principal component analysis and UMAP supported separation of these ecotypes. Unlike adult glioma frameworks that often separate lymphocyte-inflamed and myeloid-dominant states, pediatric gliomas in this cohort showed co-elevation of lymphoid and myeloid signals within the Inflamed ecotype, suggesting a pediatric-specific immune architecture.</w:t>
      </w:r>
    </w:p>
    <w:p w14:paraId="064075DA" w14:textId="4463E000"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LM22 Cross-Checks the Ecotype Architecture but Shows Limited Fit</w:t>
      </w:r>
    </w:p>
    <w:p w14:paraId="71F5D27B"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CIBERSORTx LM22 was used as a conventional peripheral immune reference for comparison. LM22-derived monocyte/macrophage fractions followed the expected gradient, with higher values in the Inflamed ecotype and lower values in the Immune-desert ecotype. However, LM22 showed limited per-sample fit and failed to distinguish key lymphoid axes such as CD8 T cells across ecotypes. Some LM22 lymphoid and granulocyte fractions showed apparent inverse gradients, likely reflecting the compositional nature of LM22 fractional outputs that sum to unity.</w:t>
      </w:r>
    </w:p>
    <w:p w14:paraId="7E98B1EA"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These findings indicate that LM22 can partially corroborate broad macrophage-related differences but is not sufficient as the primary tool for brain tumor immune deconvolution. This supports the central premise that pediatric glioma immune profiling requires brain-tuned interpretation.</w:t>
      </w:r>
    </w:p>
    <w:p w14:paraId="42EE5A50" w14:textId="62041FAA"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Ecotype Distribution Differs by Molecular Class and Anatomical Location</w:t>
      </w:r>
    </w:p>
    <w:p w14:paraId="4D0B9617"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 xml:space="preserve">Ecotype assignment was significantly associated with molecular cohort group. Diffuse hemispheric glioma, H3 G34-mutant, was enriched for the Immune-desert ecotype in this cohort, contrasting with prior expectations that G34-mutant tumors may be relatively lymphocyte-inflamed. Diffuse midline glioma, H3 K27-altered, showed substantial internal heterogeneity, with a notable proportion classified as Inflamed despite uniformly aggressive clinical behavior. Pediatric-type H3/IDH-wildtype high-grade </w:t>
      </w:r>
      <w:r w:rsidRPr="0045084F">
        <w:rPr>
          <w:rFonts w:ascii="Times New Roman" w:eastAsia="바탕체" w:hAnsi="Times New Roman" w:cs="Times New Roman"/>
          <w:sz w:val="22"/>
          <w:szCs w:val="22"/>
        </w:rPr>
        <w:lastRenderedPageBreak/>
        <w:t>glioma showed a mixed ecotype distribution. Infant-type hemispheric glioma was distributed across Intermediate, Inflamed, and Immune-desert states, although the sample size was small.</w:t>
      </w:r>
    </w:p>
    <w:p w14:paraId="5089C0D4"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Anatomical location was also associated with ecotype. Unexpectedly, clearly classified midline tumors were more frequently Inflamed than hemispheric tumors, whereas hemispheric tumors showed greater enrichment for Immune-desert states. This finding suggests that pediatric glioma immune architecture does not simply follow adult glioma expectations. Instead, immune contexture may reflect a combination of molecular subtype, tumor location, developmental timing, and cellular lineage state.</w:t>
      </w:r>
    </w:p>
    <w:p w14:paraId="4FB76200" w14:textId="64615FED"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Immune-Desert Ecotype Is Independently Associated with Worse Overall Survival</w:t>
      </w:r>
    </w:p>
    <w:p w14:paraId="493783CC"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Among 251 patients with available overall survival data, Kaplan–Meier analysis showed significant survival differences across ecotypes. The Inflamed ecotype had the longest median overall survival, followed by Intermediate and Immune-desert. The Immune-desert ecotype showed the shortest median overall survival.</w:t>
      </w:r>
    </w:p>
    <w:p w14:paraId="71C8153A"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In multivariable Cox regression adjusted for cohort group, age at diagnosis, and sex, Immune-desert remained independently associated with worse overall survival relative to Inflamed. The Intermediate ecotype showed a non-significant trend toward worse survival compared with Inflamed. Molecular cohort group remained strongly associated with survival, as expected, but did not eliminate the independent contribution of ecotype.</w:t>
      </w:r>
    </w:p>
    <w:p w14:paraId="23E35665"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These results suggest that immune ecotype captures prognostic information beyond molecular classification alone.</w:t>
      </w:r>
    </w:p>
    <w:p w14:paraId="63763223" w14:textId="4A505A7F"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Immune Ecotypes Reflect Immune Contexture Rather Than Proliferation</w:t>
      </w:r>
    </w:p>
    <w:p w14:paraId="486E5390"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Pathway-level ssGSEA analysis showed broad immune differences across ecotypes. Cytotoxicity, chemokine-mediated recruitment, interferon response, MHC class II antigen presentation, macrophage/TAM programs, Treg activity, T-cell exhaustion, suppressive cytokine signaling, and TGF-β immunosuppression differed strongly across ecotypes. In contrast, cell-cycle and proliferation signatures did not differ meaningfully across ecotypes, indicating that ecotype assignment was not merely a surrogate for tumor proliferation.</w:t>
      </w:r>
    </w:p>
    <w:p w14:paraId="4B8895E7"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 xml:space="preserve">Monocyte-derived macrophage signatures showed stronger ecotype dependence than microglia-associated signatures. This suggests that variation in peripheral macrophage recruitment may be a major driver of immune ecotype assignment, whereas resident microglia programs may be more uniformly present across </w:t>
      </w:r>
      <w:r w:rsidRPr="0045084F">
        <w:rPr>
          <w:rFonts w:ascii="Times New Roman" w:eastAsia="바탕체" w:hAnsi="Times New Roman" w:cs="Times New Roman"/>
          <w:sz w:val="22"/>
          <w:szCs w:val="22"/>
        </w:rPr>
        <w:lastRenderedPageBreak/>
        <w:t>pediatric gliomas. MAPK activity also varied across ecotypes, raising the possibility that oncogenic signaling and immune contexture are linked in MAPK-altered pediatric tumors.</w:t>
      </w:r>
    </w:p>
    <w:p w14:paraId="51EB898C" w14:textId="723BC8FA"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External Immune Frameworks Support the Ecotype Inflammation Axis</w:t>
      </w:r>
    </w:p>
    <w:p w14:paraId="54089667"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External analytical frameworks were applied to the same cohort with ecotype assignment fixed. Grabowski-derived immunosuppression modules supported the biological interpretation of the Inflamed ecotype as an “inflamed-but-exhausted” state. Exhaustion, Treg, suppressive cytokine, and T-cell memory/naïve-loss signatures were all highest in the Inflamed ecotype, while the Immune-desert ecotype represented a chemokine-silent and antigen-presentation-low endpoint.</w:t>
      </w:r>
    </w:p>
    <w:p w14:paraId="687EBF63"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The Danaher tumor inflammation signature strongly separated the three ecotypes in a monotonic pattern, with highest values in Inflamed, intermediate values in Intermediate, and lowest values in Immune-desert. This confirms that the ecotype structure captures a major inflammation continuum. However, TIS did not capture all immune dimensions. In particular, the HLA-I minus HLA-II antigen-presentation asymmetry showed an inverse relationship with TIS, suggesting that inflammation intensity and antigen-presentation reprogramming represent partially distinct axes.</w:t>
      </w:r>
    </w:p>
    <w:p w14:paraId="61812E3A"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CD276/B7-H3 showed partial independence from the canonical checkpoint network. CD276 varied by ecotype but was less tightly linked to the PD-1/CTLA4/TIGIT/LAG3 axis than canonical checkpoint markers were to each other. A small subset of tumors showed a CD276-high/TIS-low pattern, raising the possibility that selected immune-cold tumors may still express therapeutically relevant checkpoint or CAR-T targets.</w:t>
      </w:r>
    </w:p>
    <w:p w14:paraId="33D74B2D"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Bagaev pan-cancer immune signatures and pathway-proxy analyses broadly supported the ecotype inflammation continuum. Immune effector and suppressive modules tended to co-elevate, consistent with the concept that pediatric glioma inflammation is frequently coupled to immune suppression rather than representing a purely effective antitumor response.</w:t>
      </w:r>
    </w:p>
    <w:p w14:paraId="656BCA99" w14:textId="2C3FDFA3" w:rsidR="0045084F" w:rsidRPr="0045084F" w:rsidRDefault="0045084F" w:rsidP="005B781D">
      <w:pPr>
        <w:spacing w:line="360" w:lineRule="auto"/>
        <w:rPr>
          <w:rFonts w:ascii="Times New Roman" w:eastAsia="바탕체" w:hAnsi="Times New Roman" w:cs="Times New Roman"/>
          <w:b/>
          <w:bCs/>
          <w:sz w:val="22"/>
          <w:szCs w:val="22"/>
        </w:rPr>
      </w:pPr>
      <w:r w:rsidRPr="0045084F">
        <w:rPr>
          <w:rFonts w:ascii="Times New Roman" w:eastAsia="바탕체" w:hAnsi="Times New Roman" w:cs="Times New Roman"/>
          <w:b/>
          <w:bCs/>
          <w:sz w:val="22"/>
          <w:szCs w:val="22"/>
        </w:rPr>
        <w:t>BRAF V600E Low-Grade Glioma Analysis Shows Immune Heterogeneity but Prognostic Cutoff Sensitivity</w:t>
      </w:r>
    </w:p>
    <w:p w14:paraId="734833D5"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As a secondary analysis, BRAF V600E and KIAA1549-BRAF fusion low-grade gliomas were evaluated to contextualize prior reports of BRAF-associated immune clustering and TIS-based prognosis. BRAF V600E tumors showed a three-cluster immune structure and higher TIS compared with KIAA1549-BRAF fusion tumors, supporting the presence of immune heterogeneity within MAPK-driven pediatric glioma.</w:t>
      </w:r>
    </w:p>
    <w:p w14:paraId="33F973EE"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lastRenderedPageBreak/>
        <w:t>However, the reported association between high TIS and worse progression-free survival in BRAF V600E low-grade glioma was sensitive to cutoff selection. When a method resembling prior maximally selected cutoff analysis was applied, the result appeared significant. After permutation-based correction for cutoff-selection multiplicity, the association was no longer significant. This finding should be interpreted not as a contradiction of the underlying immune signal, but as evidence that prognostic claims based on data-driven cutoffs may depend strongly on cohort composition and statistical correction.</w:t>
      </w:r>
    </w:p>
    <w:p w14:paraId="03E14D8D" w14:textId="77777777" w:rsidR="0045084F" w:rsidRPr="0045084F" w:rsidRDefault="0045084F" w:rsidP="005B781D">
      <w:pPr>
        <w:spacing w:line="360" w:lineRule="auto"/>
        <w:rPr>
          <w:rFonts w:ascii="Times New Roman" w:eastAsia="바탕체" w:hAnsi="Times New Roman" w:cs="Times New Roman"/>
          <w:sz w:val="22"/>
          <w:szCs w:val="22"/>
        </w:rPr>
      </w:pPr>
      <w:r w:rsidRPr="0045084F">
        <w:rPr>
          <w:rFonts w:ascii="Times New Roman" w:eastAsia="바탕체" w:hAnsi="Times New Roman" w:cs="Times New Roman"/>
          <w:sz w:val="22"/>
          <w:szCs w:val="22"/>
        </w:rPr>
        <w:t>Because the main focus of this manuscript is pediatric high-grade glioma immune ecotype discovery, BRAF V600E low-grade glioma findings should be considered exploratory and contextual.</w:t>
      </w:r>
    </w:p>
    <w:p w14:paraId="10132D49" w14:textId="77777777" w:rsidR="00BD2467" w:rsidRPr="00167648" w:rsidRDefault="00BD2467" w:rsidP="005B781D">
      <w:pPr>
        <w:spacing w:line="360" w:lineRule="auto"/>
        <w:rPr>
          <w:rFonts w:ascii="Times New Roman" w:eastAsia="바탕체" w:hAnsi="Times New Roman" w:cs="Times New Roman"/>
          <w:sz w:val="22"/>
          <w:szCs w:val="22"/>
        </w:rPr>
      </w:pPr>
    </w:p>
    <w:p w14:paraId="39651C2A" w14:textId="77777777" w:rsidR="007365C9" w:rsidRPr="007365C9" w:rsidRDefault="007365C9" w:rsidP="005B781D">
      <w:pPr>
        <w:spacing w:line="360" w:lineRule="auto"/>
        <w:rPr>
          <w:rFonts w:ascii="Times New Roman" w:eastAsia="바탕체" w:hAnsi="Times New Roman" w:cs="Times New Roman"/>
          <w:b/>
          <w:bCs/>
          <w:sz w:val="22"/>
          <w:szCs w:val="22"/>
        </w:rPr>
      </w:pPr>
      <w:r w:rsidRPr="007365C9">
        <w:rPr>
          <w:rFonts w:ascii="Times New Roman" w:eastAsia="바탕체" w:hAnsi="Times New Roman" w:cs="Times New Roman"/>
          <w:b/>
          <w:bCs/>
          <w:sz w:val="22"/>
          <w:szCs w:val="22"/>
        </w:rPr>
        <w:t>Discussion</w:t>
      </w:r>
    </w:p>
    <w:p w14:paraId="76F63AB1"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This study identifies three immune ecotypes in pediatric glioma using brain-tuned deconvolution and ssGSEA analysis of the OpenPedCan v15 cohort. The principal findings are that pediatric gliomas segregate into Inflamed, Intermediate, and Immune-desert states; that brain-tuned signatures resolve a microglia-versus-monocyte-derived macrophage axis obscured by conventional peripheral immune deconvolution; and that the Immune-desert ecotype is independently associated with worse overall survival after adjustment for molecular subgroup, age, and sex. External immune frameworks corroborated the major inflammation axis while also indicating that scalar inflammation scores, such as the Danaher tumor inflammation signature, do not capture all dimensions of antigen presentation and brain-specific myeloid biology.</w:t>
      </w:r>
    </w:p>
    <w:p w14:paraId="5F36846C"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The most important methodological and biological contribution of this study is the separation of brain-resident microglia and monocyte-derived macrophage programs. In brain tumors, macrophage-like signals are often interpreted as a single compartment. However, microglia and infiltrating macrophages differ in ontogeny, function, localization, and potential therapeutic vulnerability. Microglia represent a resident CNS immune population involved in homeostatic surveillance, synaptic remodeling, tissue repair, and local inflammatory responses, whereas monocyte-derived macrophages reflect peripheral immune recruitment into the tumor microenvironment. Our results suggest that monocyte-derived macrophage programs vary more strongly across immune ecotypes than microglial programs, implying that peripheral macrophage recruitment may be a major determinant of immune ecotype assignment in pediatric glioma. This distinction is clinically relevant because therapies targeting myeloid recruitment, CSF1R signaling, CCR2-related trafficking, macrophage polarization, or tumor-associated macrophage function may not have equivalent effects on resident microglia and infiltrating macrophages.</w:t>
      </w:r>
    </w:p>
    <w:p w14:paraId="49830145"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lastRenderedPageBreak/>
        <w:t>The Inflamed ecotype should not be interpreted as a purely favorable antitumor immune state. Although it showed the longest overall survival in this cohort, it also displayed high exhaustion, regulatory T-cell, suppressive cytokine, interferon, antigen-presentation, and myeloid-associated signatures. This pattern suggests an “inflamed-but-exhausted” phenotype, in which immune infiltration is present but functionally constrained. From a clinical perspective, this may explain why the presence of immune cells alone does not necessarily predict effective antitumor immunity in glioma. Tumors in this category may be more immunologically visible than Immune-desert tumors, but they may also require combination strategies that address exhaustion, suppressive cytokine signaling, and myeloid-mediated immune inhibition rather than checkpoint blockade alone.</w:t>
      </w:r>
    </w:p>
    <w:p w14:paraId="41D48C55"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The Immune-desert ecotype appears clinically important because it was independently associated with worse overall survival. Biologically, this state was characterized by reduced cytotoxicity, chemokine recruitment, antigen-presentation activity, and immune-cell programs. These findings suggest that Immune-desert tumors may be immunologically invisible rather than simply immune-suppressed. In other words, the problem in these tumors may not be only that T cells are dysfunctional after entering the tumor, but that the tumor microenvironment may fail to recruit, present antigen to, or sustain immune effector cells in the first place. This has important therapeutic implications. Immune-desert tumors may be less likely to respond to approaches that require pre-existing immune infiltration, and future strategies may need to focus on immune priming, antigen-presentation enhancement, chemokine induction, or myeloid remodeling before effector-based immunotherapy can be effective.</w:t>
      </w:r>
    </w:p>
    <w:p w14:paraId="121871AC"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The relationship between ecotype, histone class, and anatomical location was more complex than expected. Adult glioma immune models often distinguish lymphocyte-rich and myeloid-dominant states, and prior studies have suggested that some hemispheric tumors may be more immune-inflamed than midline tumors. In this pediatric cohort, lymphoid and myeloid signals frequently co-occurred within the Inflamed ecotype, and diffuse midline gliomas were not uniformly immune-cold. Conversely, H3 G34-mutant tumors showed enrichment for the Immune-desert ecotype in this dataset. These findings underscore the need to avoid direct extrapolation from adult glioblastoma to pediatric glioma. Pediatric glioma immunity may be shaped by a combination of molecular subtype, anatomical compartment, developmental timing, cellular lineage state, and treatment history. Clinically, this suggests that immune stratification should not rely on diagnosis or location alone; tumors within the same molecular category may occupy different immune states and may therefore require different immune-directed strategies.</w:t>
      </w:r>
    </w:p>
    <w:p w14:paraId="4ECD9053"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 xml:space="preserve">The external framework analysis provides important context for interpreting our ecotype model. The Danaher tumor inflammation signature strongly captured the ecotype inflammation continuum, </w:t>
      </w:r>
      <w:r w:rsidRPr="007365C9">
        <w:rPr>
          <w:rFonts w:ascii="Times New Roman" w:eastAsia="바탕체" w:hAnsi="Times New Roman" w:cs="Times New Roman"/>
          <w:sz w:val="22"/>
          <w:szCs w:val="22"/>
        </w:rPr>
        <w:lastRenderedPageBreak/>
        <w:t>confirming that the three-state model is not an artifact of the chosen clustering pipeline. However, the brain-tuned framework identified an HLA-I/HLA-II antigen-presentation asymmetry that was not fully captured by the tumor inflammation signature. This suggests that a single inflammation score may describe how inflamed a tumor is, but may not adequately describe how antigen presentation is being reorganized within the brain tumor microenvironment. This distinction is clinically meaningful because antigen presentation determines whether an immune-infiltrated tumor is also immunologically recognizable. A tumor may show inflammatory signaling but still fail to present antigens in a manner that supports effective cytotoxic immune activity.</w:t>
      </w:r>
    </w:p>
    <w:p w14:paraId="3F26ACE0"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The CD276/B7-H3 analysis further illustrates why pediatric glioma immunophenotyping should extend beyond conventional T-cell inflammation markers. CD276 showed partial independence from the canonical PD-1/CTLA-4/TIGIT/LAG-3 checkpoint network. Although only a small subset of tumors showed a CD276-high/TIS-low pattern, this finding suggests that some immune-cold or weakly inflamed tumors may still express therapeutically relevant immune targets. This observation is particularly relevant in pediatric neuro-oncology, where B7-H3-directed antibody-based therapy or cellular therapy is being explored. However, our data should not be interpreted as evidence that CD276 expression alone is sufficient for therapeutic response. Rather, CD276 may identify an additional axis that should be considered alongside immune infiltration, antigen presentation, and myeloid contexture.</w:t>
      </w:r>
    </w:p>
    <w:p w14:paraId="49C2D65B"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The BRAF V600E low-grade glioma analysis illustrates the difference between biological reproducibility and prognostic robustness. Immune clustering and higher tumor inflammation signature scores in BRAF V600E tumors compared with KIAA1549-BRAF fusion tumors supported prior biological observations that MAPK-altered pediatric gliomas are immunologically heterogeneous. However, the reported association between high TIS and worse progression-free survival was sensitive to cutoff-selection methodology and was not robust after correction for maximally selected cutoff bias. This finding should be framed as a statistical caution rather than a direct contradiction of prior work. Prognostic biomarker claims based on data-driven cutoffs require careful validation, particularly in modest-sized pediatric molecular subgroups where recurrence patterns, treatment exposure, and cohort selection can strongly influence results.</w:t>
      </w:r>
    </w:p>
    <w:p w14:paraId="52A637C0"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 xml:space="preserve">Taken together, these findings suggest that immune ecotype may provide clinically meaningful information beyond molecular diagnosis alone. Molecular classification remains essential for pediatric glioma diagnosis and risk stratification, but it does not fully describe whether a tumor is immune-infiltrated, immune-exhausted, myeloid-dominant, antigen-presentation-low, or immune-invisible. The present framework may therefore help define biologically distinct patient groups for future translational </w:t>
      </w:r>
      <w:r w:rsidRPr="007365C9">
        <w:rPr>
          <w:rFonts w:ascii="Times New Roman" w:eastAsia="바탕체" w:hAnsi="Times New Roman" w:cs="Times New Roman"/>
          <w:sz w:val="22"/>
          <w:szCs w:val="22"/>
        </w:rPr>
        <w:lastRenderedPageBreak/>
        <w:t>studies. Inflamed-but-exhausted tumors may be candidates for strategies that combine checkpoint modulation with myeloid or cytokine-axis targeting. Immune-desert tumors may require priming strategies to induce antigen presentation and immune recruitment. Tumors with CD276 expression may represent a separate immunotherapeutic axis, particularly if they lack broader T-cell inflammation. These implications remain hypothesis-generating, but they show how brain-tuned immune profiling could eventually support treatment stratification in pediatric neuro-oncology.</w:t>
      </w:r>
    </w:p>
    <w:p w14:paraId="4DB5A0A8"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This study has several limitations. First, the analysis relies on bulk RNA-sequencing, which cannot directly resolve cell-cell interactions, spatial organization, or cell-type-specific gene expression. Single-cell RNA sequencing, spatial transcriptomics, multiplex immunohistochemistry, and flow-based validation will be necessary to confirm the localization and functional state of microglia, monocyte-derived macrophages, T cells, and antigen-presenting populations. Second, treatment variables, steroid exposure, radiation, chemotherapy, surgical sampling location, and immunotherapy history were not comprehensively modeled, although these factors may influence immune signatures. Third, survival annotation was incomplete, and subgroup sample sizes were limited, particularly for H3 G34-mutant and infant-type tumors. Fourth, tumor mutation burden could not be incorporated into the main model because mutation-level files were not available in the working export used for this analysis. Therefore, TIS-plus-TMB composite biomarker claims could not be fully tested. Finally, the external framework analyses were performed on the same cohort and should be viewed as analytical cross-validation and contextualization rather than independent validation.</w:t>
      </w:r>
    </w:p>
    <w:p w14:paraId="4BE13A0D" w14:textId="77777777" w:rsid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Despite these limitations, this study provides a practical framework for interpreting pediatric glioma immunity. By integrating conventional deconvolution, brain-tuned immune signatures, ecotype clustering, survival analysis, and external immune frameworks, we show that pediatric gliomas occupy clinically meaningful immune states. This approach may help distinguish tumors with pre-existing but suppressed immune activity from tumors that are immunologically silent, and may support future studies designed around immune contexture rather than diagnosis alone.</w:t>
      </w:r>
    </w:p>
    <w:p w14:paraId="164A8345" w14:textId="77777777" w:rsidR="006951FD" w:rsidRPr="007365C9" w:rsidRDefault="006951FD" w:rsidP="005B781D">
      <w:pPr>
        <w:spacing w:line="360" w:lineRule="auto"/>
        <w:rPr>
          <w:rFonts w:ascii="Times New Roman" w:eastAsia="바탕체" w:hAnsi="Times New Roman" w:cs="Times New Roman"/>
          <w:sz w:val="22"/>
          <w:szCs w:val="22"/>
        </w:rPr>
      </w:pPr>
    </w:p>
    <w:p w14:paraId="1A7CE994" w14:textId="7523B5E0" w:rsidR="007365C9" w:rsidRPr="007365C9" w:rsidRDefault="007365C9" w:rsidP="005B781D">
      <w:pPr>
        <w:spacing w:line="360" w:lineRule="auto"/>
        <w:rPr>
          <w:rFonts w:ascii="Times New Roman" w:eastAsia="바탕체" w:hAnsi="Times New Roman" w:cs="Times New Roman"/>
          <w:b/>
          <w:bCs/>
          <w:sz w:val="22"/>
          <w:szCs w:val="22"/>
        </w:rPr>
      </w:pPr>
      <w:r w:rsidRPr="007365C9">
        <w:rPr>
          <w:rFonts w:ascii="Times New Roman" w:eastAsia="바탕체" w:hAnsi="Times New Roman" w:cs="Times New Roman"/>
          <w:b/>
          <w:bCs/>
          <w:sz w:val="22"/>
          <w:szCs w:val="22"/>
        </w:rPr>
        <w:t>Conclusions</w:t>
      </w:r>
    </w:p>
    <w:p w14:paraId="451998F9" w14:textId="77777777" w:rsidR="007365C9" w:rsidRPr="007365C9" w:rsidRDefault="007365C9" w:rsidP="005B781D">
      <w:pPr>
        <w:spacing w:line="360" w:lineRule="auto"/>
        <w:rPr>
          <w:rFonts w:ascii="Times New Roman" w:eastAsia="바탕체" w:hAnsi="Times New Roman" w:cs="Times New Roman"/>
          <w:sz w:val="22"/>
          <w:szCs w:val="22"/>
        </w:rPr>
      </w:pPr>
      <w:r w:rsidRPr="007365C9">
        <w:rPr>
          <w:rFonts w:ascii="Times New Roman" w:eastAsia="바탕체" w:hAnsi="Times New Roman" w:cs="Times New Roman"/>
          <w:sz w:val="22"/>
          <w:szCs w:val="22"/>
        </w:rPr>
        <w:t xml:space="preserve">Brain-tuned immune deconvolution identifies three prognostically relevant immune ecotypes in pediatric glioma: Inflamed, Intermediate, and Immune-desert. These ecotypes organize the tumor immune microenvironment along a continuum of immune activation, immune suppression, and immune invisibility. By resolving microglia-associated and monocyte-derived macrophage programs, this </w:t>
      </w:r>
      <w:r w:rsidRPr="007365C9">
        <w:rPr>
          <w:rFonts w:ascii="Times New Roman" w:eastAsia="바탕체" w:hAnsi="Times New Roman" w:cs="Times New Roman"/>
          <w:sz w:val="22"/>
          <w:szCs w:val="22"/>
        </w:rPr>
        <w:lastRenderedPageBreak/>
        <w:t>approach provides information beyond conventional peripheral immune deconvolution. The Immune-desert ecotype is independently associated with worse overall survival, supporting the clinical relevance of immune contexture in pediatric glioma. Future studies should validate this framework using independent cohorts, spatial and single-cell approaches, and prospective therapeutic correlation.</w:t>
      </w:r>
    </w:p>
    <w:p w14:paraId="0CF79011" w14:textId="77777777" w:rsidR="00717EA4" w:rsidRPr="007365C9" w:rsidRDefault="00717EA4" w:rsidP="005B781D">
      <w:pPr>
        <w:spacing w:line="360" w:lineRule="auto"/>
        <w:rPr>
          <w:rFonts w:ascii="Times New Roman" w:eastAsia="바탕체" w:hAnsi="Times New Roman" w:cs="Times New Roman"/>
          <w:sz w:val="22"/>
          <w:szCs w:val="22"/>
        </w:rPr>
      </w:pPr>
    </w:p>
    <w:p w14:paraId="18CAB38C" w14:textId="77777777" w:rsidR="00717EA4" w:rsidRPr="007365C9" w:rsidRDefault="00717EA4" w:rsidP="005B781D">
      <w:pPr>
        <w:spacing w:line="360" w:lineRule="auto"/>
        <w:rPr>
          <w:rFonts w:ascii="Times New Roman" w:eastAsia="바탕체" w:hAnsi="Times New Roman" w:cs="Times New Roman"/>
          <w:sz w:val="22"/>
          <w:szCs w:val="22"/>
        </w:rPr>
      </w:pPr>
    </w:p>
    <w:sectPr w:rsidR="00717EA4" w:rsidRPr="007365C9">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9872" w14:textId="77777777" w:rsidR="00EE2688" w:rsidRDefault="00EE2688" w:rsidP="00626138">
      <w:pPr>
        <w:spacing w:after="0" w:line="240" w:lineRule="auto"/>
      </w:pPr>
      <w:r>
        <w:separator/>
      </w:r>
    </w:p>
  </w:endnote>
  <w:endnote w:type="continuationSeparator" w:id="0">
    <w:p w14:paraId="53EFAECA" w14:textId="77777777" w:rsidR="00EE2688" w:rsidRDefault="00EE2688" w:rsidP="00626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FB78" w14:textId="77777777" w:rsidR="00EE2688" w:rsidRDefault="00EE2688" w:rsidP="00626138">
      <w:pPr>
        <w:spacing w:after="0" w:line="240" w:lineRule="auto"/>
      </w:pPr>
      <w:r>
        <w:separator/>
      </w:r>
    </w:p>
  </w:footnote>
  <w:footnote w:type="continuationSeparator" w:id="0">
    <w:p w14:paraId="7955DEAE" w14:textId="77777777" w:rsidR="00EE2688" w:rsidRDefault="00EE2688" w:rsidP="00626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0B2"/>
    <w:multiLevelType w:val="hybridMultilevel"/>
    <w:tmpl w:val="96D26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5E35D0"/>
    <w:multiLevelType w:val="hybridMultilevel"/>
    <w:tmpl w:val="39FC0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688271">
    <w:abstractNumId w:val="1"/>
  </w:num>
  <w:num w:numId="2" w16cid:durableId="155242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A4"/>
    <w:rsid w:val="00167648"/>
    <w:rsid w:val="00180804"/>
    <w:rsid w:val="001A3351"/>
    <w:rsid w:val="004438D5"/>
    <w:rsid w:val="0045084F"/>
    <w:rsid w:val="004D0346"/>
    <w:rsid w:val="004D19EF"/>
    <w:rsid w:val="004E41E8"/>
    <w:rsid w:val="00575FCA"/>
    <w:rsid w:val="005B781D"/>
    <w:rsid w:val="00626138"/>
    <w:rsid w:val="006951FD"/>
    <w:rsid w:val="00714ABA"/>
    <w:rsid w:val="00717EA4"/>
    <w:rsid w:val="007365C9"/>
    <w:rsid w:val="00B80A9E"/>
    <w:rsid w:val="00BD2467"/>
    <w:rsid w:val="00C049D0"/>
    <w:rsid w:val="00C6667F"/>
    <w:rsid w:val="00D97A2E"/>
    <w:rsid w:val="00EC7175"/>
    <w:rsid w:val="00EE2688"/>
    <w:rsid w:val="00FE31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FE5AD"/>
  <w15:chartTrackingRefBased/>
  <w15:docId w15:val="{A67D8787-A016-47E5-9AC6-EA68F922A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17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17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17E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17E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17E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17E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17E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17E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17E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17EA4"/>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717EA4"/>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717EA4"/>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717EA4"/>
    <w:rPr>
      <w:rFonts w:eastAsiaTheme="majorEastAsia" w:cstheme="majorBidi"/>
      <w:i/>
      <w:iCs/>
      <w:color w:val="0F4761" w:themeColor="accent1" w:themeShade="BF"/>
    </w:rPr>
  </w:style>
  <w:style w:type="character" w:customStyle="1" w:styleId="5Char">
    <w:name w:val="제목 5 Char"/>
    <w:basedOn w:val="a0"/>
    <w:link w:val="5"/>
    <w:uiPriority w:val="9"/>
    <w:semiHidden/>
    <w:rsid w:val="00717EA4"/>
    <w:rPr>
      <w:rFonts w:eastAsiaTheme="majorEastAsia" w:cstheme="majorBidi"/>
      <w:color w:val="0F4761" w:themeColor="accent1" w:themeShade="BF"/>
    </w:rPr>
  </w:style>
  <w:style w:type="character" w:customStyle="1" w:styleId="6Char">
    <w:name w:val="제목 6 Char"/>
    <w:basedOn w:val="a0"/>
    <w:link w:val="6"/>
    <w:uiPriority w:val="9"/>
    <w:semiHidden/>
    <w:rsid w:val="00717EA4"/>
    <w:rPr>
      <w:rFonts w:eastAsiaTheme="majorEastAsia" w:cstheme="majorBidi"/>
      <w:i/>
      <w:iCs/>
      <w:color w:val="595959" w:themeColor="text1" w:themeTint="A6"/>
    </w:rPr>
  </w:style>
  <w:style w:type="character" w:customStyle="1" w:styleId="7Char">
    <w:name w:val="제목 7 Char"/>
    <w:basedOn w:val="a0"/>
    <w:link w:val="7"/>
    <w:uiPriority w:val="9"/>
    <w:semiHidden/>
    <w:rsid w:val="00717EA4"/>
    <w:rPr>
      <w:rFonts w:eastAsiaTheme="majorEastAsia" w:cstheme="majorBidi"/>
      <w:color w:val="595959" w:themeColor="text1" w:themeTint="A6"/>
    </w:rPr>
  </w:style>
  <w:style w:type="character" w:customStyle="1" w:styleId="8Char">
    <w:name w:val="제목 8 Char"/>
    <w:basedOn w:val="a0"/>
    <w:link w:val="8"/>
    <w:uiPriority w:val="9"/>
    <w:semiHidden/>
    <w:rsid w:val="00717EA4"/>
    <w:rPr>
      <w:rFonts w:eastAsiaTheme="majorEastAsia" w:cstheme="majorBidi"/>
      <w:i/>
      <w:iCs/>
      <w:color w:val="272727" w:themeColor="text1" w:themeTint="D8"/>
    </w:rPr>
  </w:style>
  <w:style w:type="character" w:customStyle="1" w:styleId="9Char">
    <w:name w:val="제목 9 Char"/>
    <w:basedOn w:val="a0"/>
    <w:link w:val="9"/>
    <w:uiPriority w:val="9"/>
    <w:semiHidden/>
    <w:rsid w:val="00717EA4"/>
    <w:rPr>
      <w:rFonts w:eastAsiaTheme="majorEastAsia" w:cstheme="majorBidi"/>
      <w:color w:val="272727" w:themeColor="text1" w:themeTint="D8"/>
    </w:rPr>
  </w:style>
  <w:style w:type="paragraph" w:styleId="a3">
    <w:name w:val="Title"/>
    <w:basedOn w:val="a"/>
    <w:next w:val="a"/>
    <w:link w:val="Char"/>
    <w:uiPriority w:val="10"/>
    <w:qFormat/>
    <w:rsid w:val="0071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17EA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7EA4"/>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717EA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17EA4"/>
    <w:pPr>
      <w:spacing w:before="160"/>
      <w:jc w:val="center"/>
    </w:pPr>
    <w:rPr>
      <w:i/>
      <w:iCs/>
      <w:color w:val="404040" w:themeColor="text1" w:themeTint="BF"/>
    </w:rPr>
  </w:style>
  <w:style w:type="character" w:customStyle="1" w:styleId="Char1">
    <w:name w:val="인용 Char"/>
    <w:basedOn w:val="a0"/>
    <w:link w:val="a5"/>
    <w:uiPriority w:val="29"/>
    <w:rsid w:val="00717EA4"/>
    <w:rPr>
      <w:i/>
      <w:iCs/>
      <w:color w:val="404040" w:themeColor="text1" w:themeTint="BF"/>
    </w:rPr>
  </w:style>
  <w:style w:type="paragraph" w:styleId="a6">
    <w:name w:val="List Paragraph"/>
    <w:basedOn w:val="a"/>
    <w:uiPriority w:val="34"/>
    <w:qFormat/>
    <w:rsid w:val="00717EA4"/>
    <w:pPr>
      <w:ind w:left="720"/>
      <w:contextualSpacing/>
    </w:pPr>
  </w:style>
  <w:style w:type="character" w:styleId="a7">
    <w:name w:val="Intense Emphasis"/>
    <w:basedOn w:val="a0"/>
    <w:uiPriority w:val="21"/>
    <w:qFormat/>
    <w:rsid w:val="00717EA4"/>
    <w:rPr>
      <w:i/>
      <w:iCs/>
      <w:color w:val="0F4761" w:themeColor="accent1" w:themeShade="BF"/>
    </w:rPr>
  </w:style>
  <w:style w:type="paragraph" w:styleId="a8">
    <w:name w:val="Intense Quote"/>
    <w:basedOn w:val="a"/>
    <w:next w:val="a"/>
    <w:link w:val="Char2"/>
    <w:uiPriority w:val="30"/>
    <w:qFormat/>
    <w:rsid w:val="00717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17EA4"/>
    <w:rPr>
      <w:i/>
      <w:iCs/>
      <w:color w:val="0F4761" w:themeColor="accent1" w:themeShade="BF"/>
    </w:rPr>
  </w:style>
  <w:style w:type="character" w:styleId="a9">
    <w:name w:val="Intense Reference"/>
    <w:basedOn w:val="a0"/>
    <w:uiPriority w:val="32"/>
    <w:qFormat/>
    <w:rsid w:val="00717EA4"/>
    <w:rPr>
      <w:b/>
      <w:bCs/>
      <w:smallCaps/>
      <w:color w:val="0F4761" w:themeColor="accent1" w:themeShade="BF"/>
      <w:spacing w:val="5"/>
    </w:rPr>
  </w:style>
  <w:style w:type="paragraph" w:styleId="aa">
    <w:name w:val="Revision"/>
    <w:hidden/>
    <w:uiPriority w:val="99"/>
    <w:semiHidden/>
    <w:rsid w:val="00575FCA"/>
    <w:pPr>
      <w:spacing w:after="0" w:line="240" w:lineRule="auto"/>
    </w:pPr>
  </w:style>
  <w:style w:type="paragraph" w:styleId="ab">
    <w:name w:val="header"/>
    <w:basedOn w:val="a"/>
    <w:link w:val="Char3"/>
    <w:uiPriority w:val="99"/>
    <w:unhideWhenUsed/>
    <w:rsid w:val="00626138"/>
    <w:pPr>
      <w:tabs>
        <w:tab w:val="center" w:pos="4680"/>
        <w:tab w:val="right" w:pos="9360"/>
      </w:tabs>
      <w:spacing w:after="0" w:line="240" w:lineRule="auto"/>
    </w:pPr>
  </w:style>
  <w:style w:type="character" w:customStyle="1" w:styleId="Char3">
    <w:name w:val="머리글 Char"/>
    <w:basedOn w:val="a0"/>
    <w:link w:val="ab"/>
    <w:uiPriority w:val="99"/>
    <w:rsid w:val="00626138"/>
  </w:style>
  <w:style w:type="paragraph" w:styleId="ac">
    <w:name w:val="footer"/>
    <w:basedOn w:val="a"/>
    <w:link w:val="Char4"/>
    <w:uiPriority w:val="99"/>
    <w:unhideWhenUsed/>
    <w:rsid w:val="00626138"/>
    <w:pPr>
      <w:tabs>
        <w:tab w:val="center" w:pos="4680"/>
        <w:tab w:val="right" w:pos="9360"/>
      </w:tabs>
      <w:spacing w:after="0" w:line="240" w:lineRule="auto"/>
    </w:pPr>
  </w:style>
  <w:style w:type="character" w:customStyle="1" w:styleId="Char4">
    <w:name w:val="바닥글 Char"/>
    <w:basedOn w:val="a0"/>
    <w:link w:val="ac"/>
    <w:uiPriority w:val="99"/>
    <w:rsid w:val="00626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391888">
      <w:bodyDiv w:val="1"/>
      <w:marLeft w:val="0"/>
      <w:marRight w:val="0"/>
      <w:marTop w:val="0"/>
      <w:marBottom w:val="0"/>
      <w:divBdr>
        <w:top w:val="none" w:sz="0" w:space="0" w:color="auto"/>
        <w:left w:val="none" w:sz="0" w:space="0" w:color="auto"/>
        <w:bottom w:val="none" w:sz="0" w:space="0" w:color="auto"/>
        <w:right w:val="none" w:sz="0" w:space="0" w:color="auto"/>
      </w:divBdr>
    </w:div>
    <w:div w:id="702755851">
      <w:bodyDiv w:val="1"/>
      <w:marLeft w:val="0"/>
      <w:marRight w:val="0"/>
      <w:marTop w:val="0"/>
      <w:marBottom w:val="0"/>
      <w:divBdr>
        <w:top w:val="none" w:sz="0" w:space="0" w:color="auto"/>
        <w:left w:val="none" w:sz="0" w:space="0" w:color="auto"/>
        <w:bottom w:val="none" w:sz="0" w:space="0" w:color="auto"/>
        <w:right w:val="none" w:sz="0" w:space="0" w:color="auto"/>
      </w:divBdr>
    </w:div>
    <w:div w:id="785851443">
      <w:bodyDiv w:val="1"/>
      <w:marLeft w:val="0"/>
      <w:marRight w:val="0"/>
      <w:marTop w:val="0"/>
      <w:marBottom w:val="0"/>
      <w:divBdr>
        <w:top w:val="none" w:sz="0" w:space="0" w:color="auto"/>
        <w:left w:val="none" w:sz="0" w:space="0" w:color="auto"/>
        <w:bottom w:val="none" w:sz="0" w:space="0" w:color="auto"/>
        <w:right w:val="none" w:sz="0" w:space="0" w:color="auto"/>
      </w:divBdr>
    </w:div>
    <w:div w:id="800418361">
      <w:bodyDiv w:val="1"/>
      <w:marLeft w:val="0"/>
      <w:marRight w:val="0"/>
      <w:marTop w:val="0"/>
      <w:marBottom w:val="0"/>
      <w:divBdr>
        <w:top w:val="none" w:sz="0" w:space="0" w:color="auto"/>
        <w:left w:val="none" w:sz="0" w:space="0" w:color="auto"/>
        <w:bottom w:val="none" w:sz="0" w:space="0" w:color="auto"/>
        <w:right w:val="none" w:sz="0" w:space="0" w:color="auto"/>
      </w:divBdr>
    </w:div>
    <w:div w:id="1176577683">
      <w:bodyDiv w:val="1"/>
      <w:marLeft w:val="0"/>
      <w:marRight w:val="0"/>
      <w:marTop w:val="0"/>
      <w:marBottom w:val="0"/>
      <w:divBdr>
        <w:top w:val="none" w:sz="0" w:space="0" w:color="auto"/>
        <w:left w:val="none" w:sz="0" w:space="0" w:color="auto"/>
        <w:bottom w:val="none" w:sz="0" w:space="0" w:color="auto"/>
        <w:right w:val="none" w:sz="0" w:space="0" w:color="auto"/>
      </w:divBdr>
    </w:div>
    <w:div w:id="138001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5468E-14C1-47E9-8757-C106E2D2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5850</Words>
  <Characters>33348</Characters>
  <Application>Microsoft Office Word</Application>
  <DocSecurity>0</DocSecurity>
  <Lines>277</Lines>
  <Paragraphs>78</Paragraphs>
  <ScaleCrop>false</ScaleCrop>
  <Company/>
  <LinksUpToDate>false</LinksUpToDate>
  <CharactersWithSpaces>39120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dc:creator>
  <cp:keywords/>
  <dc:description/>
  <cp:lastModifiedBy>s c</cp:lastModifiedBy>
  <cp:revision>30</cp:revision>
  <cp:lastPrinted>2026-06-19T04:50:00Z</cp:lastPrinted>
  <dcterms:created xsi:type="dcterms:W3CDTF">2026-06-19T04:18:00Z</dcterms:created>
  <dcterms:modified xsi:type="dcterms:W3CDTF">2026-06-19T04:56:00Z</dcterms:modified>
</cp:coreProperties>
</file>