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6324F"/>
          <w:sz w:val="34"/>
        </w:rPr>
        <w:t>Feasibility assessment — a brain-immunology-specific CIBERSORTx signature matrix for pediatric glioma</w:t>
      </w:r>
    </w:p>
    <w:p>
      <w:r>
        <w:rPr>
          <w:i/>
          <w:color w:val="5C6B7A"/>
          <w:sz w:val="21"/>
        </w:rPr>
        <w:t>Prepared for the pediatric glioma immune-ecotype project · OpenPedCan v15</w:t>
      </w:r>
    </w:p>
    <w:p>
      <w:pPr>
        <w:shd w:val="clear" w:fill="EAF3F1"/>
      </w:pPr>
      <w:r>
        <w:rPr>
          <w:color w:val="16324F"/>
          <w:sz w:val="21"/>
        </w:rPr>
        <w:t>Bottom line.  Yes — it is technically feasible and methodologically sound, and it directly closes a limitation the manuscript already acknowledges. It is best framed as a confirmatory extension (future work / revision), not a replacement for the brain-tuned ssGSEA layer. The single hardest point — cleanly separating brain-resident microglia from monocyte-derived macrophages (MDM) — is exactly where a static signature matrix is most likely to remain partially unstable, so the custom matrix should be benchmarked against, not substituted for, the existing ssGSEA axis.</w:t>
      </w:r>
    </w:p>
    <w:p>
      <w:r>
        <w:rPr>
          <w:b/>
          <w:color w:val="16324F"/>
          <w:sz w:val="30"/>
        </w:rPr>
        <w:t>1. Is it possible?</w:t>
      </w:r>
    </w:p>
    <w:p>
      <w:r>
        <w:rPr>
          <w:sz w:val="22"/>
        </w:rPr>
        <w:t>Yes. CIBERSORTx was explicitly designed to build a custom signature matrix from a single-cell RNA-seq (scRNA-seq) reference, using the "Create Signature Matrix" module, and then to impute cell-type fractions (and, in high-resolution mode, cell-type-specific expression) in bulk RNA-seq using that matrix (Newman et al., Nat Biotechnol 2019; Steen et al., Methods Mol Biol 2020). The standard LM22 matrix is simply one such matrix derived from peripheral blood; nothing prevents constructing a CNS/glioma-specific equivalent. So the question is not "can it be done" but "will a custom matrix resolve the brain-specific cell types better than LM22 and reliably enough to add value."</w:t>
      </w:r>
    </w:p>
    <w:p>
      <w:r>
        <w:rPr>
          <w:b/>
          <w:color w:val="16324F"/>
          <w:sz w:val="30"/>
        </w:rPr>
        <w:t>2. What you would need</w:t>
      </w:r>
    </w:p>
    <w:p>
      <w:r>
        <w:rPr>
          <w:b/>
          <w:color w:val="2A9D8F"/>
          <w:sz w:val="25"/>
        </w:rPr>
        <w:t>2.1 A suitable single-cell reference (the rate-limiting input)</w:t>
      </w:r>
    </w:p>
    <w:p>
      <w:r>
        <w:rPr>
          <w:sz w:val="22"/>
        </w:rPr>
        <w:t>The matrix is only as good as its reference. You need an annotated scRNA-seq dataset of glioma/CNS tissue that contains, as distinct labelled populations, the lineages you care about:</w:t>
      </w:r>
    </w:p>
    <w:p>
      <w:pPr>
        <w:pStyle w:val="ListBullet"/>
      </w:pPr>
      <w:r>
        <w:rPr>
          <w:sz w:val="21"/>
        </w:rPr>
        <w:t>Brain-resident microglia — ideally split into homeostatic vs activated/glioma-associated (Mg-TAM).</w:t>
      </w:r>
    </w:p>
    <w:p>
      <w:pPr>
        <w:pStyle w:val="ListBullet"/>
      </w:pPr>
      <w:r>
        <w:rPr>
          <w:sz w:val="21"/>
        </w:rPr>
        <w:t>Monocyte-derived macrophages / Mo-TAM — the population LM22 cannot separate from microglia.</w:t>
      </w:r>
    </w:p>
    <w:p>
      <w:pPr>
        <w:pStyle w:val="ListBullet"/>
      </w:pPr>
      <w:r>
        <w:rPr>
          <w:sz w:val="21"/>
        </w:rPr>
        <w:t>Lymphoid: CD8 T, CD4 T, Tregs, NK, B/plasma; plus DCs and neutrophils.</w:t>
      </w:r>
    </w:p>
    <w:p>
      <w:pPr>
        <w:pStyle w:val="ListBullet"/>
      </w:pPr>
      <w:r>
        <w:rPr>
          <w:sz w:val="21"/>
        </w:rPr>
        <w:t>Non-immune CNS context: malignant cells, oligodendrocytes, astrocytes, neurons, endothelium, pericytes — these MUST be in the matrix, or their transcripts get misattributed to immune cell types.</w:t>
      </w:r>
    </w:p>
    <w:p>
      <w:r>
        <w:rPr>
          <w:sz w:val="22"/>
        </w:rPr>
        <w:t>Candidate references already cited in your manuscript: Klemm 2020 (Cell), Antunes 2021 (Nat Neurosci, glioma myeloid with explicit microglia vs Mo-TAM labels — the most directly relevant), and Friebel 2020 (Cell). For pediatric specificity, Filbin 2018 (Science, H3K27M DMG) is the closest, but pediatric immune scRNA coverage is thin; you will most likely have to build on adult glioma references and flag the developmental mismatch as a caveat.</w:t>
      </w:r>
    </w:p>
    <w:p>
      <w:r>
        <w:rPr>
          <w:b/>
          <w:color w:val="2A9D8F"/>
          <w:sz w:val="25"/>
        </w:rPr>
        <w:t>2.2 Workflow</w:t>
      </w:r>
    </w:p>
    <w:p>
      <w:pPr>
        <w:pStyle w:val="ListBullet"/>
      </w:pPr>
      <w:r>
        <w:rPr>
          <w:sz w:val="21"/>
        </w:rPr>
        <w:t>Assemble the reference as raw counts/UMI with one cell-type label per cell; subsample to balance rare populations.</w:t>
      </w:r>
    </w:p>
    <w:p>
      <w:pPr>
        <w:pStyle w:val="ListBullet"/>
      </w:pPr>
      <w:r>
        <w:rPr>
          <w:sz w:val="21"/>
        </w:rPr>
        <w:t>Build the signature matrix in CIBERSORTx (Create Signature Matrix), tuning the differential-expression q-value / fold-change so each population is defined by specific genes.</w:t>
      </w:r>
    </w:p>
    <w:p>
      <w:pPr>
        <w:pStyle w:val="ListBullet"/>
      </w:pPr>
      <w:r>
        <w:rPr>
          <w:sz w:val="21"/>
        </w:rPr>
        <w:t>Run imputation on the OpenPedCan TPM (absolute or relative mode), no quantile normalisation for RNA-seq, and — critically — enable S-mode batch correction to bridge the platform gap between a 10x reference and bulk RNA-seq.</w:t>
      </w:r>
    </w:p>
    <w:p>
      <w:pPr>
        <w:pStyle w:val="ListBullet"/>
      </w:pPr>
      <w:r>
        <w:rPr>
          <w:sz w:val="21"/>
        </w:rPr>
        <w:t>Validate against what you already have: correlate the new microglia and MDM fractions with the brain-tuned ssGSEA microglia/MDM scores and with the four orthogonal methods; re-test ecotype association and survival to confirm the architecture is preserved.</w:t>
      </w:r>
    </w:p>
    <w:p>
      <w:r>
        <w:rPr>
          <w:b/>
          <w:color w:val="16324F"/>
          <w:sz w:val="30"/>
        </w:rPr>
        <w:t>3. Key risks and why they matter here</w:t>
      </w:r>
    </w:p>
    <w:p>
      <w:r>
        <w:rPr>
          <w:b/>
          <w:color w:val="2A9D8F"/>
          <w:sz w:val="25"/>
        </w:rPr>
        <w:t>3.1 Microglia–MDM collinearity (the core difficulty)</w:t>
      </w:r>
    </w:p>
    <w:p>
      <w:r>
        <w:rPr>
          <w:sz w:val="22"/>
        </w:rPr>
        <w:t>Microglia and MDM share a large fraction of their transcriptome. In signature-matrix deconvolution, two highly correlated reference profiles inflate the matrix condition number (kappa) and make their estimated fractions unstable and anti-correlated. This collinearity is the original reason your pipeline used brain-tuned ssGSEA scoring instead of a single matrix. A custom matrix will likely improve on LM22 (which has no microglia at all) but may still not fully resolve the two populations — report the condition number and the microglia–MDM estimate correlation as honesty checks.</w:t>
      </w:r>
    </w:p>
    <w:p>
      <w:r>
        <w:rPr>
          <w:b/>
          <w:color w:val="2A9D8F"/>
          <w:sz w:val="25"/>
        </w:rPr>
        <w:t>3.2 Other risks</w:t>
      </w:r>
    </w:p>
    <w:p>
      <w:pPr>
        <w:pStyle w:val="ListBullet"/>
      </w:pPr>
      <w:r>
        <w:rPr>
          <w:sz w:val="21"/>
        </w:rPr>
        <w:t>Reference–bulk platform mismatch (10x vs bulk) and batch effects — mitigated but not eliminated by S-mode correction.</w:t>
      </w:r>
    </w:p>
    <w:p>
      <w:pPr>
        <w:pStyle w:val="ListBullet"/>
      </w:pPr>
      <w:r>
        <w:rPr>
          <w:sz w:val="21"/>
        </w:rPr>
        <w:t>Pediatric vs adult reference: developmental immune differences (you already show a pediatric-specific lymphoid/myeloid co-occurrence) may not be captured by an adult-derived matrix.</w:t>
      </w:r>
    </w:p>
    <w:p>
      <w:pPr>
        <w:pStyle w:val="ListBullet"/>
      </w:pPr>
      <w:r>
        <w:rPr>
          <w:sz w:val="21"/>
        </w:rPr>
        <w:t>Tumor-cell and CNS-cell contamination: omitting malignant/oligo/neuron profiles causes systematic misassignment to immune types.</w:t>
      </w:r>
    </w:p>
    <w:p>
      <w:pPr>
        <w:pStyle w:val="ListBullet"/>
      </w:pPr>
      <w:r>
        <w:rPr>
          <w:sz w:val="21"/>
        </w:rPr>
        <w:t>Operational: CIBERSORTx is web/Docker with an academic licence/token; custom-matrix building and S-mode require the registered account and adequate compute for large references.</w:t>
      </w:r>
    </w:p>
    <w:p>
      <w:r>
        <w:rPr>
          <w:b/>
          <w:color w:val="16324F"/>
          <w:sz w:val="30"/>
        </w:rPr>
        <w:t>4. Alternatives worth benchmarking in parallel</w:t>
      </w:r>
    </w:p>
    <w:p>
      <w:r>
        <w:rPr>
          <w:sz w:val="22"/>
        </w:rPr>
        <w:t>Reference-based methods that model collinear populations probabilistically often outperform a static signature matrix for exactly this microglia-vs-MDM problem. Consider benchmarking BayesPrism (Chu et al., Nat Cancer 2022) and MuSiC (Wang et al., Nat Commun 2019) on the same scRNA reference; BayesPrism in particular handles malignant-cell heterogeneity well and is a natural companion claim for a Cancers revision. The custom CIBERSORTx matrix and BayesPrism together would make a strong "we resolved microglia vs MDM by reference-based deconvolution" extension.</w:t>
      </w:r>
    </w:p>
    <w:p>
      <w:r>
        <w:rPr>
          <w:b/>
          <w:color w:val="16324F"/>
          <w:sz w:val="30"/>
        </w:rPr>
        <w:t>5. Recommendation and effort</w:t>
      </w:r>
    </w:p>
    <w:p>
      <w:r>
        <w:rPr>
          <w:sz w:val="22"/>
        </w:rPr>
        <w:t>Recommended: pursue it as a confirmatory extension, not a re-analysis that replaces the current results. Concretely:</w:t>
      </w:r>
    </w:p>
    <w:p>
      <w:pPr>
        <w:pStyle w:val="ListBullet"/>
      </w:pPr>
      <w:r>
        <w:rPr>
          <w:sz w:val="21"/>
        </w:rPr>
        <w:t>Use Antunes 2021 + Klemm 2020 as the reference (explicit microglia / Mg-TAM / MDM / Mo-TAM labels), include all CNS and malignant populations.</w:t>
      </w:r>
    </w:p>
    <w:p>
      <w:pPr>
        <w:pStyle w:val="ListBullet"/>
      </w:pPr>
      <w:r>
        <w:rPr>
          <w:sz w:val="21"/>
        </w:rPr>
        <w:t>Build the matrix, run in absolute mode with S-mode batch correction, and report kappa and microglia–MDM estimate correlation.</w:t>
      </w:r>
    </w:p>
    <w:p>
      <w:pPr>
        <w:pStyle w:val="ListBullet"/>
      </w:pPr>
      <w:r>
        <w:rPr>
          <w:sz w:val="21"/>
        </w:rPr>
        <w:t>Cross-check the resulting microglia and MDM fractions against the existing ssGSEA axis (Spearman rho) and re-confirm ecotype + survival; benchmark against BayesPrism.</w:t>
      </w:r>
    </w:p>
    <w:p>
      <w:pPr>
        <w:pStyle w:val="ListBullet"/>
      </w:pPr>
      <w:r>
        <w:rPr>
          <w:sz w:val="21"/>
        </w:rPr>
        <w:t>Frame as: "a custom brain-tuned signature matrix corroborates the microglia-vs-MDM axis resolved by ssGSEA," keeping ssGSEA as the orthogonal anchor.</w:t>
      </w:r>
    </w:p>
    <w:p>
      <w:r>
        <w:rPr>
          <w:sz w:val="22"/>
        </w:rPr>
        <w:t>Effort: moderate. The deconvolution run itself is fast; the bottleneck (≈2–4 weeks) is obtaining, harmonising and annotating the scRNA reference and validating matrix quality. This precisely converts the manuscript's stated limitation ("addressed via ssGSEA scoring rather than a custom brain-tuned signature matrix … planned future work") into a delivered analysis, which would strengthen a revision.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