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Malgun Gothic" w:cs="Malgun Gothic" w:eastAsia="Malgun Gothic" w:hAnsi="Malgun Gothic"/>
          <w:b/>
          <w:bCs/>
          <w:color w:val="2E5C8A"/>
          <w:sz w:val="34"/>
          <w:szCs w:val="34"/>
        </w:rPr>
        <w:t xml:space="preserve">Pediatric Glioma Immune Ecotype — 통합 분석 보고서</w:t>
      </w:r>
    </w:p>
    <w:p>
      <w:pPr>
        <w:spacing w:after="320"/>
        <w:jc w:val="center"/>
      </w:pPr>
      <w:r>
        <w:rPr>
          <w:rFonts w:ascii="Malgun Gothic" w:cs="Malgun Gothic" w:eastAsia="Malgun Gothic" w:hAnsi="Malgun Gothic"/>
          <w:color w:val="555555"/>
          <w:sz w:val="24"/>
          <w:szCs w:val="24"/>
        </w:rPr>
        <w:t xml:space="preserve">Step 1–8 결과 + Reviewer-appeal 정리 (OpenPedCan v15)</w:t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2E5C8A"/>
          <w:sz w:val="30"/>
          <w:szCs w:val="30"/>
        </w:rPr>
        <w:t xml:space="preserve">0. Executive Summary</w:t>
      </w:r>
    </w:p>
    <w:p>
      <w:pPr>
        <w:pBdr>
          <w:left w:val="single" w:color="2E5C8A" w:sz="24" w:space="8"/>
        </w:pBdr>
        <w:shd w:fill="EEF3F8" w:val="clear"/>
        <w:spacing w:after="120" w:before="120" w:line="300"/>
      </w:pPr>
      <w:r>
        <w:rPr>
          <w:rFonts w:ascii="Malgun Gothic" w:cs="Malgun Gothic" w:eastAsia="Malgun Gothic" w:hAnsi="Malgun Gothic"/>
          <w:color w:val="1A1A1A"/>
          <w:sz w:val="22"/>
          <w:szCs w:val="22"/>
        </w:rPr>
        <w:t xml:space="preserve">이번 분석은 OpenPedCan v15 기반 349건 pediatric glioma sample에 대해 immunedeconv 4-method + brain-tuned ssGSEA 24-signature + consensus clustering을 수행한 결과입니다. 세 가지 immune ecotype (Inflamed n=113, Intermediate n=157, Immune-desert n=79)을 정의하였고, ecotype과 cohort/location 간 유의한 association을 확인하였습니다 (Fisher p &lt; 0.05). 다만 원 초안의 일부 가설과는 데이터 방향이 다르게 나왔으므로 manuscript 메시지를 데이터 기반으로 재정렬하는 것이 필요합니다.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500"/>
        <w:gridCol w:w="3700"/>
        <w:gridCol w:w="1560"/>
      </w:tblGrid>
      <w:tr>
        <w:trPr>
          <w:tblHeader/>
        </w:trP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5C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5C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3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5C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산출물</w:t>
            </w:r>
          </w:p>
        </w:tc>
        <w:tc>
          <w:tcPr>
            <w:tcW w:type="dxa" w:w="1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5C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1-2</w:t>
            </w:r>
          </w:p>
        </w:tc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Cohort filtering (independent + age cap + ambiguous loc)</w:t>
            </w:r>
          </w:p>
        </w:tc>
        <w:tc>
          <w:tcPr>
            <w:tcW w:type="dxa" w:w="3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cohort_main_final.tsv n=349</w:t>
            </w:r>
          </w:p>
        </w:tc>
        <w:tc>
          <w:tcPr>
            <w:tcW w:type="dxa" w:w="1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완료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Table 1 산출</w:t>
            </w:r>
          </w:p>
        </w:tc>
        <w:tc>
          <w:tcPr>
            <w:tcW w:type="dxa" w:w="3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Table1_cohort_characteristics.tsv + docx</w:t>
            </w:r>
          </w:p>
        </w:tc>
        <w:tc>
          <w:tcPr>
            <w:tcW w:type="dxa" w:w="1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완료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TPM matrix RDS 다운로드 (285 MB)</w:t>
            </w:r>
          </w:p>
        </w:tc>
        <w:tc>
          <w:tcPr>
            <w:tcW w:type="dxa" w:w="3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gene-expression-rsem-tpm-collapsed.rds</w:t>
            </w:r>
          </w:p>
        </w:tc>
        <w:tc>
          <w:tcPr>
            <w:tcW w:type="dxa" w:w="1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완료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Cohort sample subset → CIBERSORTx input</w:t>
            </w:r>
          </w:p>
        </w:tc>
        <w:tc>
          <w:tcPr>
            <w:tcW w:type="dxa" w:w="3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tpm_for_cibersortx.tsv (180 MB)</w:t>
            </w:r>
          </w:p>
        </w:tc>
        <w:tc>
          <w:tcPr>
            <w:tcW w:type="dxa" w:w="1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완료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immunedeconv 4-method</w:t>
            </w:r>
          </w:p>
        </w:tc>
        <w:tc>
          <w:tcPr>
            <w:tcW w:type="dxa" w:w="3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MCP-counter, quanTIseq, EPIC, xCell</w:t>
            </w:r>
          </w:p>
        </w:tc>
        <w:tc>
          <w:tcPr>
            <w:tcW w:type="dxa" w:w="1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완료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7b</w:t>
            </w:r>
          </w:p>
        </w:tc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Brain-tuned ssGSEA scoring</w:t>
            </w:r>
          </w:p>
        </w:tc>
        <w:tc>
          <w:tcPr>
            <w:tcW w:type="dxa" w:w="3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24 signature × 702</w:t>
            </w:r>
          </w:p>
        </w:tc>
        <w:tc>
          <w:tcPr>
            <w:tcW w:type="dxa" w:w="1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완료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Consensus clustering (k=3) + ecotype 정의</w:t>
            </w:r>
          </w:p>
        </w:tc>
        <w:tc>
          <w:tcPr>
            <w:tcW w:type="dxa" w:w="3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ecotype_assignment_k3 + figures</w:t>
            </w:r>
          </w:p>
        </w:tc>
        <w:tc>
          <w:tcPr>
            <w:tcW w:type="dxa" w:w="1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완료</w:t>
            </w:r>
          </w:p>
        </w:tc>
      </w:tr>
    </w:tbl>
    <w:p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2E5C8A"/>
          <w:sz w:val="30"/>
          <w:szCs w:val="30"/>
        </w:rPr>
        <w:t xml:space="preserve">1. Cohort 구성</w:t>
      </w:r>
    </w:p>
    <w:p>
      <w:pPr>
        <w:spacing w:after="120" w:line="320"/>
        <w:jc w:val="both"/>
      </w:pPr>
      <w:r>
        <w:rPr>
          <w:rFonts w:ascii="Malgun Gothic" w:cs="Malgun Gothic" w:eastAsia="Malgun Gothic" w:hAnsi="Malgun Gothic"/>
          <w:b w:val="false"/>
          <w:bCs w:val="false"/>
          <w:color w:val="1A1A1A"/>
          <w:sz w:val="22"/>
          <w:szCs w:val="22"/>
        </w:rPr>
        <w:t xml:space="preserve">OpenPedCan v15 기반 main cohort 349 sample (independent-primary-plus filter, pHGG_WT &lt; 21yr cap, ambiguous location 별도 분리). Secondary BRAF cohort 353 sample도 deconvolution 입력에 포함하여 총 702 sample을 한 번에 분석하였습니다.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32"/>
        <w:gridCol w:w="1432"/>
        <w:gridCol w:w="1432"/>
        <w:gridCol w:w="1432"/>
        <w:gridCol w:w="1432"/>
      </w:tblGrid>
      <w:tr>
        <w:trPr>
          <w:tblHeader/>
        </w:trP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5C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변수</w:t>
            </w:r>
          </w:p>
        </w:tc>
        <w:tc>
          <w:tcPr>
            <w:tcW w:type="dxa" w:w="143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5C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DMG_K27</w:t>
            </w:r>
          </w:p>
        </w:tc>
        <w:tc>
          <w:tcPr>
            <w:tcW w:type="dxa" w:w="143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5C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DHG_G34</w:t>
            </w:r>
          </w:p>
        </w:tc>
        <w:tc>
          <w:tcPr>
            <w:tcW w:type="dxa" w:w="143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5C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pHGG_WT</w:t>
            </w:r>
          </w:p>
        </w:tc>
        <w:tc>
          <w:tcPr>
            <w:tcW w:type="dxa" w:w="143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5C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IHG</w:t>
            </w:r>
          </w:p>
        </w:tc>
        <w:tc>
          <w:tcPr>
            <w:tcW w:type="dxa" w:w="143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5C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n biospecimen</w:t>
            </w:r>
          </w:p>
        </w:tc>
        <w:tc>
          <w:tcPr>
            <w:tcW w:type="dxa" w:w="143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175</w:t>
            </w:r>
          </w:p>
        </w:tc>
        <w:tc>
          <w:tcPr>
            <w:tcW w:type="dxa" w:w="143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31</w:t>
            </w:r>
          </w:p>
        </w:tc>
        <w:tc>
          <w:tcPr>
            <w:tcW w:type="dxa" w:w="143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125</w:t>
            </w:r>
          </w:p>
        </w:tc>
        <w:tc>
          <w:tcPr>
            <w:tcW w:type="dxa" w:w="143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18</w:t>
            </w:r>
          </w:p>
        </w:tc>
        <w:tc>
          <w:tcPr>
            <w:tcW w:type="dxa" w:w="143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349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n unique patient</w:t>
            </w:r>
          </w:p>
        </w:tc>
        <w:tc>
          <w:tcPr>
            <w:tcW w:type="dxa" w:w="143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175</w:t>
            </w:r>
          </w:p>
        </w:tc>
        <w:tc>
          <w:tcPr>
            <w:tcW w:type="dxa" w:w="143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31</w:t>
            </w:r>
          </w:p>
        </w:tc>
        <w:tc>
          <w:tcPr>
            <w:tcW w:type="dxa" w:w="143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125</w:t>
            </w:r>
          </w:p>
        </w:tc>
        <w:tc>
          <w:tcPr>
            <w:tcW w:type="dxa" w:w="143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18</w:t>
            </w:r>
          </w:p>
        </w:tc>
        <w:tc>
          <w:tcPr>
            <w:tcW w:type="dxa" w:w="143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349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Age yr (median, IQR)</w:t>
            </w:r>
          </w:p>
        </w:tc>
        <w:tc>
          <w:tcPr>
            <w:tcW w:type="dxa" w:w="143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7.9 (5.5–11.2)</w:t>
            </w:r>
          </w:p>
        </w:tc>
        <w:tc>
          <w:tcPr>
            <w:tcW w:type="dxa" w:w="143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15.7 (13.5–17.9)</w:t>
            </w:r>
          </w:p>
        </w:tc>
        <w:tc>
          <w:tcPr>
            <w:tcW w:type="dxa" w:w="143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9.5 (6.0–13.7)</w:t>
            </w:r>
          </w:p>
        </w:tc>
        <w:tc>
          <w:tcPr>
            <w:tcW w:type="dxa" w:w="143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0.4 (0.1–0.9)</w:t>
            </w:r>
          </w:p>
        </w:tc>
        <w:tc>
          <w:tcPr>
            <w:tcW w:type="dxa" w:w="143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8.8 (5.5–12.5)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Midline</w:t>
            </w:r>
          </w:p>
        </w:tc>
        <w:tc>
          <w:tcPr>
            <w:tcW w:type="dxa" w:w="143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118 (67.4%)</w:t>
            </w:r>
          </w:p>
        </w:tc>
        <w:tc>
          <w:tcPr>
            <w:tcW w:type="dxa" w:w="143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0 (0%)</w:t>
            </w:r>
          </w:p>
        </w:tc>
        <w:tc>
          <w:tcPr>
            <w:tcW w:type="dxa" w:w="143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22 (17.6%)</w:t>
            </w:r>
          </w:p>
        </w:tc>
        <w:tc>
          <w:tcPr>
            <w:tcW w:type="dxa" w:w="143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0 (0%)</w:t>
            </w:r>
          </w:p>
        </w:tc>
        <w:tc>
          <w:tcPr>
            <w:tcW w:type="dxa" w:w="143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140 (40.1%)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Hemispheric</w:t>
            </w:r>
          </w:p>
        </w:tc>
        <w:tc>
          <w:tcPr>
            <w:tcW w:type="dxa" w:w="143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3 (1.7%)</w:t>
            </w:r>
          </w:p>
        </w:tc>
        <w:tc>
          <w:tcPr>
            <w:tcW w:type="dxa" w:w="143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24 (77.4%)</w:t>
            </w:r>
          </w:p>
        </w:tc>
        <w:tc>
          <w:tcPr>
            <w:tcW w:type="dxa" w:w="143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62 (49.6%)</w:t>
            </w:r>
          </w:p>
        </w:tc>
        <w:tc>
          <w:tcPr>
            <w:tcW w:type="dxa" w:w="143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15 (83.3%)</w:t>
            </w:r>
          </w:p>
        </w:tc>
        <w:tc>
          <w:tcPr>
            <w:tcW w:type="dxa" w:w="143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104 (29.8%)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Posterior fossa</w:t>
            </w:r>
          </w:p>
        </w:tc>
        <w:tc>
          <w:tcPr>
            <w:tcW w:type="dxa" w:w="143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5 (2.9%)</w:t>
            </w:r>
          </w:p>
        </w:tc>
        <w:tc>
          <w:tcPr>
            <w:tcW w:type="dxa" w:w="143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0 (0%)</w:t>
            </w:r>
          </w:p>
        </w:tc>
        <w:tc>
          <w:tcPr>
            <w:tcW w:type="dxa" w:w="143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9 (7.2%)</w:t>
            </w:r>
          </w:p>
        </w:tc>
        <w:tc>
          <w:tcPr>
            <w:tcW w:type="dxa" w:w="143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0 (0%)</w:t>
            </w:r>
          </w:p>
        </w:tc>
        <w:tc>
          <w:tcPr>
            <w:tcW w:type="dxa" w:w="143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14 (4.0%)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Ambiguous/Other</w:t>
            </w:r>
          </w:p>
        </w:tc>
        <w:tc>
          <w:tcPr>
            <w:tcW w:type="dxa" w:w="143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49 (28%)</w:t>
            </w:r>
          </w:p>
        </w:tc>
        <w:tc>
          <w:tcPr>
            <w:tcW w:type="dxa" w:w="143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7 (22.6%)</w:t>
            </w:r>
          </w:p>
        </w:tc>
        <w:tc>
          <w:tcPr>
            <w:tcW w:type="dxa" w:w="143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32 (25.6%)</w:t>
            </w:r>
          </w:p>
        </w:tc>
        <w:tc>
          <w:tcPr>
            <w:tcW w:type="dxa" w:w="143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3 (16.7%)</w:t>
            </w:r>
          </w:p>
        </w:tc>
        <w:tc>
          <w:tcPr>
            <w:tcW w:type="dxa" w:w="143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91 (26.1%)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BRAF/RTK fusion+</w:t>
            </w:r>
          </w:p>
        </w:tc>
        <w:tc>
          <w:tcPr>
            <w:tcW w:type="dxa" w:w="143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31 (17.7%)</w:t>
            </w:r>
          </w:p>
        </w:tc>
        <w:tc>
          <w:tcPr>
            <w:tcW w:type="dxa" w:w="143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4 (12.9%)</w:t>
            </w:r>
          </w:p>
        </w:tc>
        <w:tc>
          <w:tcPr>
            <w:tcW w:type="dxa" w:w="143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17 (13.6%)</w:t>
            </w:r>
          </w:p>
        </w:tc>
        <w:tc>
          <w:tcPr>
            <w:tcW w:type="dxa" w:w="143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18 (100%)</w:t>
            </w:r>
          </w:p>
        </w:tc>
        <w:tc>
          <w:tcPr>
            <w:tcW w:type="dxa" w:w="143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70 (20.1%)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OS data</w:t>
            </w:r>
          </w:p>
        </w:tc>
        <w:tc>
          <w:tcPr>
            <w:tcW w:type="dxa" w:w="143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140 (80%)</w:t>
            </w:r>
          </w:p>
        </w:tc>
        <w:tc>
          <w:tcPr>
            <w:tcW w:type="dxa" w:w="143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15 (48%)</w:t>
            </w:r>
          </w:p>
        </w:tc>
        <w:tc>
          <w:tcPr>
            <w:tcW w:type="dxa" w:w="143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82 (66%)</w:t>
            </w:r>
          </w:p>
        </w:tc>
        <w:tc>
          <w:tcPr>
            <w:tcW w:type="dxa" w:w="143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14 (78%)</w:t>
            </w:r>
          </w:p>
        </w:tc>
        <w:tc>
          <w:tcPr>
            <w:tcW w:type="dxa" w:w="143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251 (72%)</w:t>
            </w:r>
          </w:p>
        </w:tc>
      </w:tr>
    </w:tbl>
    <w:p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2E5C8A"/>
          <w:sz w:val="30"/>
          <w:szCs w:val="30"/>
        </w:rPr>
        <w:t xml:space="preserve">2. Deconvolution + Brain-tuned scoring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1A1A1A"/>
          <w:sz w:val="24"/>
          <w:szCs w:val="24"/>
        </w:rPr>
        <w:t xml:space="preserve">2.1. immunedeconv 4-method</w:t>
      </w:r>
    </w:p>
    <w:p>
      <w:pPr>
        <w:spacing w:after="120" w:line="320"/>
        <w:jc w:val="both"/>
      </w:pPr>
      <w:r>
        <w:rPr>
          <w:rFonts w:ascii="Malgun Gothic" w:cs="Malgun Gothic" w:eastAsia="Malgun Gothic" w:hAnsi="Malgun Gothic"/>
          <w:b w:val="false"/>
          <w:bCs w:val="false"/>
          <w:color w:val="1A1A1A"/>
          <w:sz w:val="22"/>
          <w:szCs w:val="22"/>
        </w:rPr>
        <w:t xml:space="preserve">702 sample × 55,408 gene TPM matrix에 대해 다음 4가지 deconvolution 방법을 모두 적용하였습니다.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MCP-counter (11 cell, 2.9 sec)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quanTIseq (11 cell incl. uncharacterized, 12.3 min)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EPIC (8 cell, 0.4 min) — 32 sample은 비수렴 경고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xCell (39 cell, 2.2 min)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1A1A1A"/>
          <w:sz w:val="24"/>
          <w:szCs w:val="24"/>
        </w:rPr>
        <w:t xml:space="preserve">2.2. Brain-tuned ssGSEA (24 signature)</w:t>
      </w:r>
    </w:p>
    <w:p>
      <w:pPr>
        <w:spacing w:after="120" w:line="320"/>
        <w:jc w:val="both"/>
      </w:pPr>
      <w:r>
        <w:rPr>
          <w:rFonts w:ascii="Malgun Gothic" w:cs="Malgun Gothic" w:eastAsia="Malgun Gothic" w:hAnsi="Malgun Gothic"/>
          <w:b w:val="false"/>
          <w:bCs w:val="false"/>
          <w:color w:val="1A1A1A"/>
          <w:sz w:val="22"/>
          <w:szCs w:val="22"/>
        </w:rPr>
        <w:t xml:space="preserve">Klemm 2020, Antunes 2021, Bohlen 2020, Keren-Shaul 2017, MSigDB Hallmark 등에서 24개 gene signature를 정리하여 ssGSEA(GSVA package) 점수를 산출하였습니다. 모든 signature가 90% 이상의 유전자 매칭률을 보였습니다.</w:t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2E5C8A"/>
          <w:sz w:val="30"/>
          <w:szCs w:val="30"/>
        </w:rPr>
        <w:t xml:space="preserve">3. ⭐ 핵심 발견 — Microglia vs MDM 분리 성공</w:t>
      </w:r>
    </w:p>
    <w:p>
      <w:pPr>
        <w:spacing w:after="120" w:line="320"/>
        <w:jc w:val="both"/>
      </w:pPr>
      <w:r>
        <w:rPr>
          <w:rFonts w:ascii="Malgun Gothic" w:cs="Malgun Gothic" w:eastAsia="Malgun Gothic" w:hAnsi="Malgun Gothic"/>
          <w:b w:val="false"/>
          <w:bCs w:val="false"/>
          <w:color w:val="1A1A1A"/>
          <w:sz w:val="22"/>
          <w:szCs w:val="22"/>
        </w:rPr>
        <w:t xml:space="preserve">Brain-tuned signature가 microglia(brain-resident)와 MDM(monocyte-derived, peripheral)을 명확히 분리한다는 점이 cross-method correlation으로 입증되었습니다. 이건 LM22-류 method가 절대 할 수 없는 일이며, manuscript의 reviewer-appeal 무기 중 가장 강력합니다.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jc w:val="center"/>
      </w:pPr>
      <w:r>
        <w:drawing>
          <wp:inline distT="0" distB="0" distL="0" distR="0">
            <wp:extent cx="5524500" cy="4381500"/>
            <wp:effectExtent t="0" r="0" b="0" l="0"/>
            <wp:docPr id="1" name="fig" descr="Generated figure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pBdr>
          <w:left w:val="single" w:color="2E5C8A" w:sz="24" w:space="8"/>
        </w:pBdr>
        <w:shd w:fill="EEF3F8" w:val="clear"/>
        <w:spacing w:after="120" w:before="120" w:line="300"/>
      </w:pPr>
      <w:r>
        <w:rPr>
          <w:rFonts w:ascii="Malgun Gothic" w:cs="Malgun Gothic" w:eastAsia="Malgun Gothic" w:hAnsi="Malgun Gothic"/>
          <w:color w:val="1A1A1A"/>
          <w:sz w:val="22"/>
          <w:szCs w:val="22"/>
        </w:rPr>
        <w:t xml:space="preserve">Microglia signature 3종 (Klemm, Bohlen, Antunes MgTAM) 내적 r &gt; 0.98; MDM signature 2종 (Klemm, Antunes MoTAM) 내적 r = 0.94; Microglia ↔ MDM 간 r ≈ 0.40 — 두 신호가 명확히 분리되는 별개 cell population임.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tbl>
      <w:tblPr>
        <w:tblW w:type="dxa" w:w="9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38"/>
        <w:gridCol w:w="838"/>
        <w:gridCol w:w="838"/>
        <w:gridCol w:w="838"/>
        <w:gridCol w:w="838"/>
        <w:gridCol w:w="838"/>
        <w:gridCol w:w="838"/>
        <w:gridCol w:w="838"/>
        <w:gridCol w:w="836"/>
      </w:tblGrid>
      <w:tr>
        <w:trPr>
          <w:tblHeader/>
        </w:trPr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5C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8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5C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MCP</w:t>
            </w:r>
          </w:p>
        </w:tc>
        <w:tc>
          <w:tcPr>
            <w:tcW w:type="dxa" w:w="8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5C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QTS</w:t>
            </w:r>
          </w:p>
        </w:tc>
        <w:tc>
          <w:tcPr>
            <w:tcW w:type="dxa" w:w="8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5C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EPIC</w:t>
            </w:r>
          </w:p>
        </w:tc>
        <w:tc>
          <w:tcPr>
            <w:tcW w:type="dxa" w:w="8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5C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xCell</w:t>
            </w:r>
          </w:p>
        </w:tc>
        <w:tc>
          <w:tcPr>
            <w:tcW w:type="dxa" w:w="8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5C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MgKlemm</w:t>
            </w:r>
          </w:p>
        </w:tc>
        <w:tc>
          <w:tcPr>
            <w:tcW w:type="dxa" w:w="8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5C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MgCore</w:t>
            </w:r>
          </w:p>
        </w:tc>
        <w:tc>
          <w:tcPr>
            <w:tcW w:type="dxa" w:w="8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5C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MDM</w:t>
            </w:r>
          </w:p>
        </w:tc>
        <w:tc>
          <w:tcPr>
            <w:tcW w:type="dxa" w:w="8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5C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MgTAM</w:t>
            </w:r>
          </w:p>
        </w:tc>
        <w:tc>
          <w:tcPr>
            <w:tcW w:type="dxa" w:w="8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5C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MoTAM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MCP macro/mono</w:t>
            </w:r>
          </w:p>
        </w:tc>
        <w:tc>
          <w:tcPr>
            <w:tcW w:type="dxa" w:w="8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1.00</w:t>
            </w:r>
          </w:p>
        </w:tc>
        <w:tc>
          <w:tcPr>
            <w:tcW w:type="dxa" w:w="8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0.83</w:t>
            </w:r>
          </w:p>
        </w:tc>
        <w:tc>
          <w:tcPr>
            <w:tcW w:type="dxa" w:w="8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0.74</w:t>
            </w:r>
          </w:p>
        </w:tc>
        <w:tc>
          <w:tcPr>
            <w:tcW w:type="dxa" w:w="8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0.60</w:t>
            </w:r>
          </w:p>
        </w:tc>
        <w:tc>
          <w:tcPr>
            <w:tcW w:type="dxa" w:w="8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0.58</w:t>
            </w:r>
          </w:p>
        </w:tc>
        <w:tc>
          <w:tcPr>
            <w:tcW w:type="dxa" w:w="8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0.59</w:t>
            </w:r>
          </w:p>
        </w:tc>
        <w:tc>
          <w:tcPr>
            <w:tcW w:type="dxa" w:w="8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0.60</w:t>
            </w:r>
          </w:p>
        </w:tc>
        <w:tc>
          <w:tcPr>
            <w:tcW w:type="dxa" w:w="8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0.62</w:t>
            </w:r>
          </w:p>
        </w:tc>
        <w:tc>
          <w:tcPr>
            <w:tcW w:type="dxa" w:w="8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0.60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QTS macro</w:t>
            </w:r>
          </w:p>
        </w:tc>
        <w:tc>
          <w:tcPr>
            <w:tcW w:type="dxa" w:w="8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0.83</w:t>
            </w:r>
          </w:p>
        </w:tc>
        <w:tc>
          <w:tcPr>
            <w:tcW w:type="dxa" w:w="8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1.00</w:t>
            </w:r>
          </w:p>
        </w:tc>
        <w:tc>
          <w:tcPr>
            <w:tcW w:type="dxa" w:w="8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0.80</w:t>
            </w:r>
          </w:p>
        </w:tc>
        <w:tc>
          <w:tcPr>
            <w:tcW w:type="dxa" w:w="8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0.77</w:t>
            </w:r>
          </w:p>
        </w:tc>
        <w:tc>
          <w:tcPr>
            <w:tcW w:type="dxa" w:w="8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0.54</w:t>
            </w:r>
          </w:p>
        </w:tc>
        <w:tc>
          <w:tcPr>
            <w:tcW w:type="dxa" w:w="8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0.55</w:t>
            </w:r>
          </w:p>
        </w:tc>
        <w:tc>
          <w:tcPr>
            <w:tcW w:type="dxa" w:w="8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0.73</w:t>
            </w:r>
          </w:p>
        </w:tc>
        <w:tc>
          <w:tcPr>
            <w:tcW w:type="dxa" w:w="8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0.58</w:t>
            </w:r>
          </w:p>
        </w:tc>
        <w:tc>
          <w:tcPr>
            <w:tcW w:type="dxa" w:w="8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0.73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EPIC macro</w:t>
            </w:r>
          </w:p>
        </w:tc>
        <w:tc>
          <w:tcPr>
            <w:tcW w:type="dxa" w:w="8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0.74</w:t>
            </w:r>
          </w:p>
        </w:tc>
        <w:tc>
          <w:tcPr>
            <w:tcW w:type="dxa" w:w="8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0.80</w:t>
            </w:r>
          </w:p>
        </w:tc>
        <w:tc>
          <w:tcPr>
            <w:tcW w:type="dxa" w:w="8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1.00</w:t>
            </w:r>
          </w:p>
        </w:tc>
        <w:tc>
          <w:tcPr>
            <w:tcW w:type="dxa" w:w="8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0.85</w:t>
            </w:r>
          </w:p>
        </w:tc>
        <w:tc>
          <w:tcPr>
            <w:tcW w:type="dxa" w:w="8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0.66</w:t>
            </w:r>
          </w:p>
        </w:tc>
        <w:tc>
          <w:tcPr>
            <w:tcW w:type="dxa" w:w="8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0.65</w:t>
            </w:r>
          </w:p>
        </w:tc>
        <w:tc>
          <w:tcPr>
            <w:tcW w:type="dxa" w:w="8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0.75</w:t>
            </w:r>
          </w:p>
        </w:tc>
        <w:tc>
          <w:tcPr>
            <w:tcW w:type="dxa" w:w="8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0.65</w:t>
            </w:r>
          </w:p>
        </w:tc>
        <w:tc>
          <w:tcPr>
            <w:tcW w:type="dxa" w:w="8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0.71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xCell macro</w:t>
            </w:r>
          </w:p>
        </w:tc>
        <w:tc>
          <w:tcPr>
            <w:tcW w:type="dxa" w:w="8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0.60</w:t>
            </w:r>
          </w:p>
        </w:tc>
        <w:tc>
          <w:tcPr>
            <w:tcW w:type="dxa" w:w="8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0.77</w:t>
            </w:r>
          </w:p>
        </w:tc>
        <w:tc>
          <w:tcPr>
            <w:tcW w:type="dxa" w:w="8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0.85</w:t>
            </w:r>
          </w:p>
        </w:tc>
        <w:tc>
          <w:tcPr>
            <w:tcW w:type="dxa" w:w="8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1.00</w:t>
            </w:r>
          </w:p>
        </w:tc>
        <w:tc>
          <w:tcPr>
            <w:tcW w:type="dxa" w:w="8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0.57</w:t>
            </w:r>
          </w:p>
        </w:tc>
        <w:tc>
          <w:tcPr>
            <w:tcW w:type="dxa" w:w="8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0.56</w:t>
            </w:r>
          </w:p>
        </w:tc>
        <w:tc>
          <w:tcPr>
            <w:tcW w:type="dxa" w:w="8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0.86</w:t>
            </w:r>
          </w:p>
        </w:tc>
        <w:tc>
          <w:tcPr>
            <w:tcW w:type="dxa" w:w="8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0.56</w:t>
            </w:r>
          </w:p>
        </w:tc>
        <w:tc>
          <w:tcPr>
            <w:tcW w:type="dxa" w:w="8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0.79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Microglia (Klemm)</w:t>
            </w:r>
          </w:p>
        </w:tc>
        <w:tc>
          <w:tcPr>
            <w:tcW w:type="dxa" w:w="8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0.58</w:t>
            </w:r>
          </w:p>
        </w:tc>
        <w:tc>
          <w:tcPr>
            <w:tcW w:type="dxa" w:w="8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0.54</w:t>
            </w:r>
          </w:p>
        </w:tc>
        <w:tc>
          <w:tcPr>
            <w:tcW w:type="dxa" w:w="8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0.66</w:t>
            </w:r>
          </w:p>
        </w:tc>
        <w:tc>
          <w:tcPr>
            <w:tcW w:type="dxa" w:w="8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0.57</w:t>
            </w:r>
          </w:p>
        </w:tc>
        <w:tc>
          <w:tcPr>
            <w:tcW w:type="dxa" w:w="8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1.00</w:t>
            </w:r>
          </w:p>
        </w:tc>
        <w:tc>
          <w:tcPr>
            <w:tcW w:type="dxa" w:w="8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1.00</w:t>
            </w:r>
          </w:p>
        </w:tc>
        <w:tc>
          <w:tcPr>
            <w:tcW w:type="dxa" w:w="8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0.41</w:t>
            </w:r>
          </w:p>
        </w:tc>
        <w:tc>
          <w:tcPr>
            <w:tcW w:type="dxa" w:w="8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0.99</w:t>
            </w:r>
          </w:p>
        </w:tc>
        <w:tc>
          <w:tcPr>
            <w:tcW w:type="dxa" w:w="8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0.37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Microglia core (Bohlen)</w:t>
            </w:r>
          </w:p>
        </w:tc>
        <w:tc>
          <w:tcPr>
            <w:tcW w:type="dxa" w:w="8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0.59</w:t>
            </w:r>
          </w:p>
        </w:tc>
        <w:tc>
          <w:tcPr>
            <w:tcW w:type="dxa" w:w="8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0.55</w:t>
            </w:r>
          </w:p>
        </w:tc>
        <w:tc>
          <w:tcPr>
            <w:tcW w:type="dxa" w:w="8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0.65</w:t>
            </w:r>
          </w:p>
        </w:tc>
        <w:tc>
          <w:tcPr>
            <w:tcW w:type="dxa" w:w="8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0.56</w:t>
            </w:r>
          </w:p>
        </w:tc>
        <w:tc>
          <w:tcPr>
            <w:tcW w:type="dxa" w:w="8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1.00</w:t>
            </w:r>
          </w:p>
        </w:tc>
        <w:tc>
          <w:tcPr>
            <w:tcW w:type="dxa" w:w="8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1.00</w:t>
            </w:r>
          </w:p>
        </w:tc>
        <w:tc>
          <w:tcPr>
            <w:tcW w:type="dxa" w:w="8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0.41</w:t>
            </w:r>
          </w:p>
        </w:tc>
        <w:tc>
          <w:tcPr>
            <w:tcW w:type="dxa" w:w="8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0.99</w:t>
            </w:r>
          </w:p>
        </w:tc>
        <w:tc>
          <w:tcPr>
            <w:tcW w:type="dxa" w:w="8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0.37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MDM (Klemm)</w:t>
            </w:r>
          </w:p>
        </w:tc>
        <w:tc>
          <w:tcPr>
            <w:tcW w:type="dxa" w:w="8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0.60</w:t>
            </w:r>
          </w:p>
        </w:tc>
        <w:tc>
          <w:tcPr>
            <w:tcW w:type="dxa" w:w="8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0.73</w:t>
            </w:r>
          </w:p>
        </w:tc>
        <w:tc>
          <w:tcPr>
            <w:tcW w:type="dxa" w:w="8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0.75</w:t>
            </w:r>
          </w:p>
        </w:tc>
        <w:tc>
          <w:tcPr>
            <w:tcW w:type="dxa" w:w="8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0.86</w:t>
            </w:r>
          </w:p>
        </w:tc>
        <w:tc>
          <w:tcPr>
            <w:tcW w:type="dxa" w:w="8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0.41</w:t>
            </w:r>
          </w:p>
        </w:tc>
        <w:tc>
          <w:tcPr>
            <w:tcW w:type="dxa" w:w="8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0.41</w:t>
            </w:r>
          </w:p>
        </w:tc>
        <w:tc>
          <w:tcPr>
            <w:tcW w:type="dxa" w:w="8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1.00</w:t>
            </w:r>
          </w:p>
        </w:tc>
        <w:tc>
          <w:tcPr>
            <w:tcW w:type="dxa" w:w="8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0.41</w:t>
            </w:r>
          </w:p>
        </w:tc>
        <w:tc>
          <w:tcPr>
            <w:tcW w:type="dxa" w:w="8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0.94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Mg-TAM (Antunes)</w:t>
            </w:r>
          </w:p>
        </w:tc>
        <w:tc>
          <w:tcPr>
            <w:tcW w:type="dxa" w:w="8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0.62</w:t>
            </w:r>
          </w:p>
        </w:tc>
        <w:tc>
          <w:tcPr>
            <w:tcW w:type="dxa" w:w="8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0.58</w:t>
            </w:r>
          </w:p>
        </w:tc>
        <w:tc>
          <w:tcPr>
            <w:tcW w:type="dxa" w:w="8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0.65</w:t>
            </w:r>
          </w:p>
        </w:tc>
        <w:tc>
          <w:tcPr>
            <w:tcW w:type="dxa" w:w="8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0.56</w:t>
            </w:r>
          </w:p>
        </w:tc>
        <w:tc>
          <w:tcPr>
            <w:tcW w:type="dxa" w:w="8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0.99</w:t>
            </w:r>
          </w:p>
        </w:tc>
        <w:tc>
          <w:tcPr>
            <w:tcW w:type="dxa" w:w="8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0.99</w:t>
            </w:r>
          </w:p>
        </w:tc>
        <w:tc>
          <w:tcPr>
            <w:tcW w:type="dxa" w:w="8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0.41</w:t>
            </w:r>
          </w:p>
        </w:tc>
        <w:tc>
          <w:tcPr>
            <w:tcW w:type="dxa" w:w="8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1.00</w:t>
            </w:r>
          </w:p>
        </w:tc>
        <w:tc>
          <w:tcPr>
            <w:tcW w:type="dxa" w:w="8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0.38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Mo-TAM (Antunes)</w:t>
            </w:r>
          </w:p>
        </w:tc>
        <w:tc>
          <w:tcPr>
            <w:tcW w:type="dxa" w:w="8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0.60</w:t>
            </w:r>
          </w:p>
        </w:tc>
        <w:tc>
          <w:tcPr>
            <w:tcW w:type="dxa" w:w="8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0.73</w:t>
            </w:r>
          </w:p>
        </w:tc>
        <w:tc>
          <w:tcPr>
            <w:tcW w:type="dxa" w:w="8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0.71</w:t>
            </w:r>
          </w:p>
        </w:tc>
        <w:tc>
          <w:tcPr>
            <w:tcW w:type="dxa" w:w="8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0.79</w:t>
            </w:r>
          </w:p>
        </w:tc>
        <w:tc>
          <w:tcPr>
            <w:tcW w:type="dxa" w:w="8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0.37</w:t>
            </w:r>
          </w:p>
        </w:tc>
        <w:tc>
          <w:tcPr>
            <w:tcW w:type="dxa" w:w="8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0.37</w:t>
            </w:r>
          </w:p>
        </w:tc>
        <w:tc>
          <w:tcPr>
            <w:tcW w:type="dxa" w:w="8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0.94</w:t>
            </w:r>
          </w:p>
        </w:tc>
        <w:tc>
          <w:tcPr>
            <w:tcW w:type="dxa" w:w="8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0.38</w:t>
            </w:r>
          </w:p>
        </w:tc>
        <w:tc>
          <w:tcPr>
            <w:tcW w:type="dxa" w:w="8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1.00</w:t>
            </w:r>
          </w:p>
        </w:tc>
      </w:tr>
    </w:tbl>
    <w:p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2E5C8A"/>
          <w:sz w:val="30"/>
          <w:szCs w:val="30"/>
        </w:rPr>
        <w:t xml:space="preserve">4. Consensus clustering → 3개 ecotype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1A1A1A"/>
          <w:sz w:val="24"/>
          <w:szCs w:val="24"/>
        </w:rPr>
        <w:t xml:space="preserve">4.1. 방법론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Feature: quanTIseq 10 cell + ssGSEA 19개 immune signature, z-score per feature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ConsensusClusterPlus (k-means, ward.D2 linkage, euclidean distance, 500 reps, 80% subsampling)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Optimal k 평가: CDF + PAC + silhouette + biological interpretability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Sample size: n = 349 (independent-primary-plus main cohort)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1A1A1A"/>
          <w:sz w:val="24"/>
          <w:szCs w:val="24"/>
        </w:rPr>
        <w:t xml:space="preserve">4.2. Optimal k 결과</w:t>
      </w:r>
    </w:p>
    <w:p>
      <w:pPr>
        <w:spacing w:after="120" w:line="320"/>
        <w:jc w:val="both"/>
      </w:pPr>
      <w:r>
        <w:rPr>
          <w:rFonts w:ascii="Malgun Gothic" w:cs="Malgun Gothic" w:eastAsia="Malgun Gothic" w:hAnsi="Malgun Gothic"/>
          <w:b w:val="false"/>
          <w:bCs w:val="false"/>
          <w:color w:val="1A1A1A"/>
          <w:sz w:val="22"/>
          <w:szCs w:val="22"/>
        </w:rPr>
        <w:t xml:space="preserve">PAC와 silhouette를 함께 보면 k=2가 가장 robust하나, pre-specified hypothesis인 k=3도 충분히 안정적이고 biologically interpretable합니다. k=3을 primary로 사용하고, k=2와 k=4는 supplementary sensitivity로 처리할 예정입니다.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360"/>
      </w:tblGrid>
      <w:tr>
        <w:trPr>
          <w:tblHeader/>
        </w:trP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5C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k</w:t>
            </w:r>
          </w:p>
        </w:tc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5C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PAC (낮을수록 robust)</w:t>
            </w:r>
          </w:p>
        </w:tc>
        <w:tc>
          <w:tcPr>
            <w:tcW w:type="dxa" w:w="4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5C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Silhouette (높을수록 separation 명확)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(가장 robust)</w:t>
            </w:r>
          </w:p>
        </w:tc>
        <w:tc>
          <w:tcPr>
            <w:tcW w:type="dxa" w:w="4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(가장 높음)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0.83</w:t>
            </w:r>
          </w:p>
        </w:tc>
        <w:tc>
          <w:tcPr>
            <w:tcW w:type="dxa" w:w="4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moderate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0.87</w:t>
            </w:r>
          </w:p>
        </w:tc>
        <w:tc>
          <w:tcPr>
            <w:tcW w:type="dxa" w:w="4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lower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0.64</w:t>
            </w:r>
          </w:p>
        </w:tc>
        <w:tc>
          <w:tcPr>
            <w:tcW w:type="dxa" w:w="4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0.58</w:t>
            </w:r>
          </w:p>
        </w:tc>
        <w:tc>
          <w:tcPr>
            <w:tcW w:type="dxa" w:w="4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</w:tbl>
    <w:p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1A1A1A"/>
          <w:sz w:val="24"/>
          <w:szCs w:val="24"/>
        </w:rPr>
        <w:t xml:space="preserve">4.3. 3개 ecotype의 feature mean (z-score)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360"/>
      </w:tblGrid>
      <w:tr>
        <w:trPr>
          <w:tblHeader/>
        </w:trP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5C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5C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Immune-desert (n=79)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5C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Intermediate (n=157)</w:t>
            </w:r>
          </w:p>
        </w:tc>
        <w:tc>
          <w:tcPr>
            <w:tcW w:type="dxa" w:w="2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5C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Inflamed (n=113)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Microglia (Klemm)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−1.30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−0.55</w:t>
            </w:r>
          </w:p>
        </w:tc>
        <w:tc>
          <w:tcPr>
            <w:tcW w:type="dxa" w:w="2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+0.29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MDM (Klemm)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−1.50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−0.21</w:t>
            </w:r>
          </w:p>
        </w:tc>
        <w:tc>
          <w:tcPr>
            <w:tcW w:type="dxa" w:w="2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+0.78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T-cell cytotoxicity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−1.53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−0.23</w:t>
            </w:r>
          </w:p>
        </w:tc>
        <w:tc>
          <w:tcPr>
            <w:tcW w:type="dxa" w:w="2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+0.88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NK cell activity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−1.34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−0.04</w:t>
            </w:r>
          </w:p>
        </w:tc>
        <w:tc>
          <w:tcPr>
            <w:tcW w:type="dxa" w:w="2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+0.89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M1 macrophage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−1.36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−0.13</w:t>
            </w:r>
          </w:p>
        </w:tc>
        <w:tc>
          <w:tcPr>
            <w:tcW w:type="dxa" w:w="2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+1.08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M2 macrophage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−1.41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−0.40</w:t>
            </w:r>
          </w:p>
        </w:tc>
        <w:tc>
          <w:tcPr>
            <w:tcW w:type="dxa" w:w="2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+0.74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MHC class II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−1.68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−0.37</w:t>
            </w:r>
          </w:p>
        </w:tc>
        <w:tc>
          <w:tcPr>
            <w:tcW w:type="dxa" w:w="2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+0.32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IFN-γ response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−1.23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−0.15</w:t>
            </w:r>
          </w:p>
        </w:tc>
        <w:tc>
          <w:tcPr>
            <w:tcW w:type="dxa" w:w="2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+0.93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TGF-β immunosuppression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−1.37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−0.35</w:t>
            </w:r>
          </w:p>
        </w:tc>
        <w:tc>
          <w:tcPr>
            <w:tcW w:type="dxa" w:w="2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+1.08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Chemokine T-cell recruit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−1.62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−0.29</w:t>
            </w:r>
          </w:p>
        </w:tc>
        <w:tc>
          <w:tcPr>
            <w:tcW w:type="dxa" w:w="2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+0.77</w:t>
            </w:r>
          </w:p>
        </w:tc>
      </w:tr>
    </w:tbl>
    <w:p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Inflamed (n=113): 모든 immune feature 상위. Lymphocyte 신호 (T-cell cytotoxicity, NK, IFN)와 myeloid 신호 (M1, M2, MDM) 가 모두 함께 상승 → "pan-immune-hot"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Intermediate (n=157, 45%): 모든 feature 중립 또는 약간 음수. 가장 큰 cluster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Immune-desert (n=79): 모든 immune feature 강한 음수 — true immune cold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1A1A1A"/>
          <w:sz w:val="24"/>
          <w:szCs w:val="24"/>
        </w:rPr>
        <w:t xml:space="preserve">4.4. Ecotype 시각화</w:t>
      </w:r>
    </w:p>
    <w:p>
      <w:pPr>
        <w:spacing w:after="120" w:line="320"/>
        <w:jc w:val="both"/>
      </w:pPr>
      <w:r>
        <w:rPr>
          <w:rFonts w:ascii="Malgun Gothic" w:cs="Malgun Gothic" w:eastAsia="Malgun Gothic" w:hAnsi="Malgun Gothic"/>
          <w:b w:val="false"/>
          <w:bCs w:val="false"/>
          <w:color w:val="1A1A1A"/>
          <w:sz w:val="22"/>
          <w:szCs w:val="22"/>
        </w:rPr>
        <w:t xml:space="preserve">Heatmap, PCA, UMAP에서 3개 ecotype의 분리가 명확히 보입니다.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jc w:val="center"/>
      </w:pPr>
      <w:r>
        <w:drawing>
          <wp:inline distT="0" distB="0" distL="0" distR="0">
            <wp:extent cx="6667500" cy="4762500"/>
            <wp:effectExtent t="0" r="0" b="0" l="0"/>
            <wp:docPr id="1" name="fig" descr="Generated figure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20"/>
        <w:jc w:val="center"/>
      </w:pPr>
      <w:r>
        <w:rPr>
          <w:rFonts w:ascii="Malgun Gothic" w:cs="Malgun Gothic" w:eastAsia="Malgun Gothic" w:hAnsi="Malgun Gothic"/>
          <w:b w:val="false"/>
          <w:bCs w:val="false"/>
          <w:color w:val="1A1A1A"/>
          <w:sz w:val="18"/>
          <w:szCs w:val="18"/>
        </w:rPr>
        <w:t xml:space="preserve">Figure: Feature heatmap by ecotype (z-scored). quanTIseq cell fraction과 ssGSEA brain-immune signature가 함께 사용됨.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jc w:val="center"/>
      </w:pPr>
      <w:r>
        <w:drawing>
          <wp:inline distT="0" distB="0" distL="0" distR="0">
            <wp:extent cx="3619500" cy="3048000"/>
            <wp:effectExtent t="0" r="0" b="0" l="0"/>
            <wp:docPr id="1" name="fig" descr="Generated figure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jc w:val="center"/>
      </w:pPr>
      <w:r>
        <w:drawing>
          <wp:inline distT="0" distB="0" distL="0" distR="0">
            <wp:extent cx="3619500" cy="3048000"/>
            <wp:effectExtent t="0" r="0" b="0" l="0"/>
            <wp:docPr id="1" name="fig" descr="Generated figure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2E5C8A"/>
          <w:sz w:val="30"/>
          <w:szCs w:val="30"/>
        </w:rPr>
        <w:t xml:space="preserve">5. ⚠️ 원 초안 가설 vs 실제 데이터 — 메시지 재조정 필요</w:t>
      </w:r>
    </w:p>
    <w:p>
      <w:pPr>
        <w:pBdr>
          <w:left w:val="single" w:color="F59E0B" w:sz="24" w:space="8"/>
        </w:pBdr>
        <w:shd w:fill="FEF3C7" w:val="clear"/>
        <w:spacing w:after="120" w:before="120" w:line="300"/>
      </w:pPr>
      <w:r>
        <w:rPr>
          <w:rFonts w:ascii="Malgun Gothic" w:cs="Malgun Gothic" w:eastAsia="Malgun Gothic" w:hAnsi="Malgun Gothic"/>
          <w:color w:val="1A1A1A"/>
          <w:sz w:val="22"/>
          <w:szCs w:val="22"/>
        </w:rPr>
        <w:t xml:space="preserve">실제 OpenPedCan v15 데이터는 초안의 일부 가설과 다른 방향을 보였습니다. Manuscript는 conceptual 가설이 아니라 데이터 기반 finding으로 다시 정렬해야 합니다. 다행히도 이러한 차이가 오히려 novel하고 publishable한 finding이 됩니다.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500"/>
        <w:gridCol w:w="3160"/>
      </w:tblGrid>
      <w:tr>
        <w:trPr>
          <w:tblHeader/>
        </w:trP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5C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원 초안 가설</w:t>
            </w:r>
          </w:p>
        </w:tc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5C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실제 데이터 결과</w:t>
            </w:r>
          </w:p>
        </w:tc>
        <w:tc>
          <w:tcPr>
            <w:tcW w:type="dxa" w:w="3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5C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해석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DMG_K27 → Myeloid-dominant</w:t>
            </w:r>
          </w:p>
        </w:tc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DMG_K27 중 49% Intermediate, 37% Inflamed, 15% Desert</w:t>
            </w:r>
          </w:p>
        </w:tc>
        <w:tc>
          <w:tcPr>
            <w:tcW w:type="dxa" w:w="3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DMG가 단일 myeloid 표현형이 아니라 heterogeneous. Inflamed 표현형도 상당수.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DHG_G34 → Lymphocyte-inflamed</w:t>
            </w:r>
          </w:p>
        </w:tc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DHG_G34 중 52% Desert, 39% Intermediate, 10% Inflamed</w:t>
            </w:r>
          </w:p>
        </w:tc>
        <w:tc>
          <w:tcPr>
            <w:tcW w:type="dxa" w:w="3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G34는 오히려 immune-cold 우세 — 기존 adult GBM 패러다임과 다름.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IHG → Immune-desert</w:t>
            </w:r>
          </w:p>
        </w:tc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IHG 중 44% Intermediate, 33% Inflamed, 22% Desert</w:t>
            </w:r>
          </w:p>
        </w:tc>
        <w:tc>
          <w:tcPr>
            <w:tcW w:type="dxa" w:w="3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Infant tumor는 immune-immature지만 Inflamed signal도 보임 (TAM/microglia 중심).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Midline → Myeloid-rich, Hemispheric → Inflamed</w:t>
            </w:r>
          </w:p>
        </w:tc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Midline 43% Inflamed vs Hemispheric 25% Inflamed</w:t>
            </w:r>
          </w:p>
        </w:tc>
        <w:tc>
          <w:tcPr>
            <w:tcW w:type="dxa" w:w="3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Midline 종양이 오히려 inflamed signal이 더 강함 (기존 adult GBM과 반대).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Lymphocyte ↔ Myeloid는 별개 ecotype</w:t>
            </w:r>
          </w:p>
        </w:tc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두 신호가 동일 cluster에서 함께 발현 (Inflamed)</w:t>
            </w:r>
          </w:p>
        </w:tc>
        <w:tc>
          <w:tcPr>
            <w:tcW w:type="dxa" w:w="3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Pediatric glioma에서는 둘이 co-occur — 단일 "pan-immune-hot" 표현형으로 합쳐짐.</w:t>
            </w:r>
          </w:p>
        </w:tc>
      </w:tr>
    </w:tbl>
    <w:p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1A1A1A"/>
          <w:sz w:val="24"/>
          <w:szCs w:val="24"/>
        </w:rPr>
        <w:t xml:space="preserve">5.1. Ecotype × Cohort group 분포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60"/>
        <w:gridCol w:w="1860"/>
        <w:gridCol w:w="1860"/>
        <w:gridCol w:w="1580"/>
      </w:tblGrid>
      <w:tr>
        <w:trPr>
          <w:tblHeader/>
        </w:trP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5C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Cohort group</w:t>
            </w:r>
          </w:p>
        </w:tc>
        <w:tc>
          <w:tcPr>
            <w:tcW w:type="dxa" w:w="1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5C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Immune-desert</w:t>
            </w:r>
          </w:p>
        </w:tc>
        <w:tc>
          <w:tcPr>
            <w:tcW w:type="dxa" w:w="1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5C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Intermediate</w:t>
            </w:r>
          </w:p>
        </w:tc>
        <w:tc>
          <w:tcPr>
            <w:tcW w:type="dxa" w:w="1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5C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Inflamed</w:t>
            </w:r>
          </w:p>
        </w:tc>
        <w:tc>
          <w:tcPr>
            <w:tcW w:type="dxa" w:w="15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5C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DMG_K27 (n=175)</w:t>
            </w:r>
          </w:p>
        </w:tc>
        <w:tc>
          <w:tcPr>
            <w:tcW w:type="dxa" w:w="1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27 (15.4%)</w:t>
            </w:r>
          </w:p>
        </w:tc>
        <w:tc>
          <w:tcPr>
            <w:tcW w:type="dxa" w:w="1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84 (48.0%)</w:t>
            </w:r>
          </w:p>
        </w:tc>
        <w:tc>
          <w:tcPr>
            <w:tcW w:type="dxa" w:w="1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64 (36.6%)</w:t>
            </w:r>
          </w:p>
        </w:tc>
        <w:tc>
          <w:tcPr>
            <w:tcW w:type="dxa" w:w="15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175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DHG_G34 (n=31)</w:t>
            </w:r>
          </w:p>
        </w:tc>
        <w:tc>
          <w:tcPr>
            <w:tcW w:type="dxa" w:w="1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16 (51.6%)</w:t>
            </w:r>
          </w:p>
        </w:tc>
        <w:tc>
          <w:tcPr>
            <w:tcW w:type="dxa" w:w="1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12 (38.7%)</w:t>
            </w:r>
          </w:p>
        </w:tc>
        <w:tc>
          <w:tcPr>
            <w:tcW w:type="dxa" w:w="1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3 (9.7%)</w:t>
            </w:r>
          </w:p>
        </w:tc>
        <w:tc>
          <w:tcPr>
            <w:tcW w:type="dxa" w:w="15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31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pHGG_WT (n=125)</w:t>
            </w:r>
          </w:p>
        </w:tc>
        <w:tc>
          <w:tcPr>
            <w:tcW w:type="dxa" w:w="1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32 (25.6%)</w:t>
            </w:r>
          </w:p>
        </w:tc>
        <w:tc>
          <w:tcPr>
            <w:tcW w:type="dxa" w:w="1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53 (42.4%)</w:t>
            </w:r>
          </w:p>
        </w:tc>
        <w:tc>
          <w:tcPr>
            <w:tcW w:type="dxa" w:w="1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40 (32.0%)</w:t>
            </w:r>
          </w:p>
        </w:tc>
        <w:tc>
          <w:tcPr>
            <w:tcW w:type="dxa" w:w="15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125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IHG (n=18)</w:t>
            </w:r>
          </w:p>
        </w:tc>
        <w:tc>
          <w:tcPr>
            <w:tcW w:type="dxa" w:w="1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4 (22.2%)</w:t>
            </w:r>
          </w:p>
        </w:tc>
        <w:tc>
          <w:tcPr>
            <w:tcW w:type="dxa" w:w="1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8 (44.4%)</w:t>
            </w:r>
          </w:p>
        </w:tc>
        <w:tc>
          <w:tcPr>
            <w:tcW w:type="dxa" w:w="1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6 (33.3%)</w:t>
            </w:r>
          </w:p>
        </w:tc>
        <w:tc>
          <w:tcPr>
            <w:tcW w:type="dxa" w:w="15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18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Total</w:t>
            </w:r>
          </w:p>
        </w:tc>
        <w:tc>
          <w:tcPr>
            <w:tcW w:type="dxa" w:w="1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79 (22.6%)</w:t>
            </w:r>
          </w:p>
        </w:tc>
        <w:tc>
          <w:tcPr>
            <w:tcW w:type="dxa" w:w="1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157 (45.0%)</w:t>
            </w:r>
          </w:p>
        </w:tc>
        <w:tc>
          <w:tcPr>
            <w:tcW w:type="dxa" w:w="1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113 (32.4%)</w:t>
            </w:r>
          </w:p>
        </w:tc>
        <w:tc>
          <w:tcPr>
            <w:tcW w:type="dxa" w:w="15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349</w:t>
            </w:r>
          </w:p>
        </w:tc>
      </w:tr>
    </w:tbl>
    <w:p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pBdr>
          <w:left w:val="single" w:color="C0392B" w:sz="24" w:space="8"/>
        </w:pBdr>
        <w:shd w:fill="EEF3F8" w:val="clear"/>
        <w:spacing w:after="120" w:before="120" w:line="300"/>
      </w:pPr>
      <w:r>
        <w:rPr>
          <w:rFonts w:ascii="Malgun Gothic" w:cs="Malgun Gothic" w:eastAsia="Malgun Gothic" w:hAnsi="Malgun Gothic"/>
          <w:color w:val="1A1A1A"/>
          <w:sz w:val="22"/>
          <w:szCs w:val="22"/>
        </w:rPr>
        <w:t xml:space="preserve">Fisher's exact p = 1.30e-03 — ecotype과 histone class 간 유의한 association. 단, 패턴은 초안 가설과 반대. DHG_G34는 mostly desert (52%) 이고, DMG_K27은 inflamed가 37%로 상당히 많음.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jc w:val="center"/>
      </w:pPr>
      <w:r>
        <w:drawing>
          <wp:inline distT="0" distB="0" distL="0" distR="0">
            <wp:extent cx="5143500" cy="3238500"/>
            <wp:effectExtent t="0" r="0" b="0" l="0"/>
            <wp:docPr id="1" name="fig" descr="Generated figure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1A1A1A"/>
          <w:sz w:val="24"/>
          <w:szCs w:val="24"/>
        </w:rPr>
        <w:t xml:space="preserve">5.2. Ecotype × Anatomical location (Ambiguous 제외)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40"/>
        <w:gridCol w:w="1740"/>
        <w:gridCol w:w="1740"/>
        <w:gridCol w:w="1740"/>
      </w:tblGrid>
      <w:tr>
        <w:trPr>
          <w:tblHeader/>
        </w:trP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5C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17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5C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Immune-desert</w:t>
            </w:r>
          </w:p>
        </w:tc>
        <w:tc>
          <w:tcPr>
            <w:tcW w:type="dxa" w:w="17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5C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Intermediate</w:t>
            </w:r>
          </w:p>
        </w:tc>
        <w:tc>
          <w:tcPr>
            <w:tcW w:type="dxa" w:w="17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5C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Inflamed</w:t>
            </w:r>
          </w:p>
        </w:tc>
        <w:tc>
          <w:tcPr>
            <w:tcW w:type="dxa" w:w="17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5C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Midline (n=140)</w:t>
            </w:r>
          </w:p>
        </w:tc>
        <w:tc>
          <w:tcPr>
            <w:tcW w:type="dxa" w:w="17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22 (15.7%)</w:t>
            </w:r>
          </w:p>
        </w:tc>
        <w:tc>
          <w:tcPr>
            <w:tcW w:type="dxa" w:w="17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60 (42.9%)</w:t>
            </w:r>
          </w:p>
        </w:tc>
        <w:tc>
          <w:tcPr>
            <w:tcW w:type="dxa" w:w="17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58 (41.4%)</w:t>
            </w:r>
          </w:p>
        </w:tc>
        <w:tc>
          <w:tcPr>
            <w:tcW w:type="dxa" w:w="17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140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Hemispheric (n=104)</w:t>
            </w:r>
          </w:p>
        </w:tc>
        <w:tc>
          <w:tcPr>
            <w:tcW w:type="dxa" w:w="17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34 (32.7%)</w:t>
            </w:r>
          </w:p>
        </w:tc>
        <w:tc>
          <w:tcPr>
            <w:tcW w:type="dxa" w:w="17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44 (42.3%)</w:t>
            </w:r>
          </w:p>
        </w:tc>
        <w:tc>
          <w:tcPr>
            <w:tcW w:type="dxa" w:w="17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26 (25.0%)</w:t>
            </w:r>
          </w:p>
        </w:tc>
        <w:tc>
          <w:tcPr>
            <w:tcW w:type="dxa" w:w="17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104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Posterior fossa (n=14)</w:t>
            </w:r>
          </w:p>
        </w:tc>
        <w:tc>
          <w:tcPr>
            <w:tcW w:type="dxa" w:w="17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3 (21.4%)</w:t>
            </w:r>
          </w:p>
        </w:tc>
        <w:tc>
          <w:tcPr>
            <w:tcW w:type="dxa" w:w="17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6 (42.9%)</w:t>
            </w:r>
          </w:p>
        </w:tc>
        <w:tc>
          <w:tcPr>
            <w:tcW w:type="dxa" w:w="17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5 (35.7%)</w:t>
            </w:r>
          </w:p>
        </w:tc>
        <w:tc>
          <w:tcPr>
            <w:tcW w:type="dxa" w:w="17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14</w:t>
            </w:r>
          </w:p>
        </w:tc>
      </w:tr>
    </w:tbl>
    <w:p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pBdr>
          <w:left w:val="single" w:color="C0392B" w:sz="24" w:space="8"/>
        </w:pBdr>
        <w:shd w:fill="EEF3F8" w:val="clear"/>
        <w:spacing w:after="120" w:before="120" w:line="300"/>
      </w:pPr>
      <w:r>
        <w:rPr>
          <w:rFonts w:ascii="Malgun Gothic" w:cs="Malgun Gothic" w:eastAsia="Malgun Gothic" w:hAnsi="Malgun Gothic"/>
          <w:color w:val="1A1A1A"/>
          <w:sz w:val="22"/>
          <w:szCs w:val="22"/>
        </w:rPr>
        <w:t xml:space="preserve">Fisher's exact p = 1.31e-02. Midline 종양이 hemispheric보다 inflamed signal이 강함 (41% vs 25%). 이는 adult GBM의 "midline=immune cold" 통설과 반대되는 pediatric-specific finding.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jc w:val="center"/>
      </w:pPr>
      <w:r>
        <w:drawing>
          <wp:inline distT="0" distB="0" distL="0" distR="0">
            <wp:extent cx="5143500" cy="3238500"/>
            <wp:effectExtent t="0" r="0" b="0" l="0"/>
            <wp:docPr id="1" name="fig" descr="Generated figure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1A1A1A"/>
          <w:sz w:val="24"/>
          <w:szCs w:val="24"/>
        </w:rPr>
        <w:t xml:space="preserve">5.3. Ecotype × Developmental age</w:t>
      </w:r>
    </w:p>
    <w:p>
      <w:pPr>
        <w:spacing w:after="120" w:line="320"/>
        <w:jc w:val="both"/>
      </w:pPr>
      <w:r>
        <w:rPr>
          <w:rFonts w:ascii="Malgun Gothic" w:cs="Malgun Gothic" w:eastAsia="Malgun Gothic" w:hAnsi="Malgun Gothic"/>
          <w:b w:val="false"/>
          <w:bCs w:val="false"/>
          <w:color w:val="1A1A1A"/>
          <w:sz w:val="22"/>
          <w:szCs w:val="22"/>
        </w:rPr>
        <w:t xml:space="preserve">Age developmental group과의 association은 통계적으로 유의하지 않았습니다 (Fisher p = 0.29). 즉 ecotype 결정은 age보다 cohort_group / histone status / location의 영향이 더 큰 것으로 보입니다.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1A1A1A"/>
          <w:sz w:val="24"/>
          <w:szCs w:val="24"/>
        </w:rPr>
        <w:t xml:space="preserve">5.4. Microglia vs MDM ratio (모든 ecotype에서 microglia-tilted)</w:t>
      </w:r>
    </w:p>
    <w:p>
      <w:pPr>
        <w:spacing w:after="120" w:line="320"/>
        <w:jc w:val="both"/>
      </w:pPr>
      <w:r>
        <w:rPr>
          <w:rFonts w:ascii="Malgun Gothic" w:cs="Malgun Gothic" w:eastAsia="Malgun Gothic" w:hAnsi="Malgun Gothic"/>
          <w:b w:val="false"/>
          <w:bCs w:val="false"/>
          <w:color w:val="1A1A1A"/>
          <w:sz w:val="22"/>
          <w:szCs w:val="22"/>
        </w:rPr>
        <w:t xml:space="preserve">Klemm 2020 microglia score − MDM score 차이를 ecotype별로 계산한 결과, 세 ecotype 모두 약하게 microglia 쪽으로 기울어 있습니다 (positive ratio). 이는 pediatric glioma의 myeloid 신호가 peripheral MDM보다 brain-resident microglia 기여가 다소 우세함을 시사합니다.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5C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Ecotype</w:t>
            </w:r>
          </w:p>
        </w:tc>
        <w:tc>
          <w:tcPr>
            <w:tcW w:type="dxa" w:w="5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5C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Microglia − MDM (z-score 평균)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Immune-desert</w:t>
            </w:r>
          </w:p>
        </w:tc>
        <w:tc>
          <w:tcPr>
            <w:tcW w:type="dxa" w:w="5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+0.145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Inflamed</w:t>
            </w:r>
          </w:p>
        </w:tc>
        <w:tc>
          <w:tcPr>
            <w:tcW w:type="dxa" w:w="5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+0.063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Intermediate</w:t>
            </w:r>
          </w:p>
        </w:tc>
        <w:tc>
          <w:tcPr>
            <w:tcW w:type="dxa" w:w="5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+0.087</w:t>
            </w:r>
          </w:p>
        </w:tc>
      </w:tr>
    </w:tbl>
    <w:p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jc w:val="center"/>
      </w:pPr>
      <w:r>
        <w:drawing>
          <wp:inline distT="0" distB="0" distL="0" distR="0">
            <wp:extent cx="5715000" cy="3238500"/>
            <wp:effectExtent t="0" r="0" b="0" l="0"/>
            <wp:docPr id="1" name="fig" descr="Generated figure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2E5C8A"/>
          <w:sz w:val="30"/>
          <w:szCs w:val="30"/>
        </w:rPr>
        <w:t xml:space="preserve">6. Reviewer-appeal Point 정리 (manuscript용)</w:t>
      </w:r>
    </w:p>
    <w:p>
      <w:pPr>
        <w:spacing w:after="120" w:line="320"/>
        <w:jc w:val="both"/>
      </w:pPr>
      <w:r>
        <w:rPr>
          <w:rFonts w:ascii="Malgun Gothic" w:cs="Malgun Gothic" w:eastAsia="Malgun Gothic" w:hAnsi="Malgun Gothic"/>
          <w:b w:val="false"/>
          <w:bCs w:val="false"/>
          <w:color w:val="1A1A1A"/>
          <w:sz w:val="22"/>
          <w:szCs w:val="22"/>
        </w:rPr>
        <w:t xml:space="preserve">이번 분석에서 확보된 reviewer 방어 무기는 다음과 같습니다. Manuscript 작성 시 본문 곳곳에 박을 talking point입니다.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700"/>
        <w:gridCol w:w="2960"/>
      </w:tblGrid>
      <w:tr>
        <w:trPr>
          <w:tblHeader/>
        </w:trP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5C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Reviewer 예상 질문</w:t>
            </w:r>
          </w:p>
        </w:tc>
        <w:tc>
          <w:tcPr>
            <w:tcW w:type="dxa" w:w="3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5C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선제 답변</w:t>
            </w:r>
          </w:p>
        </w:tc>
        <w:tc>
          <w:tcPr>
            <w:tcW w:type="dxa" w:w="2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5C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근거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LM22가 brain TME에 적합한가? Microglia 부재?</w:t>
            </w:r>
          </w:p>
        </w:tc>
        <w:tc>
          <w:tcPr>
            <w:tcW w:type="dxa" w:w="3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Brain-tuned signature score (Klemm, Antunes, Bohlen) ssGSEA로 보완</w:t>
            </w:r>
          </w:p>
        </w:tc>
        <w:tc>
          <w:tcPr>
            <w:tcW w:type="dxa" w:w="2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Microglia 3종 r &gt; 0.98 / MDM 2종 r = 0.94 / 둘 사이 r ≈ 0.40 — 분명한 분리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단일 method 의존?</w:t>
            </w:r>
          </w:p>
        </w:tc>
        <w:tc>
          <w:tcPr>
            <w:tcW w:type="dxa" w:w="3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4-method cross-validation (MCP, QTS, EPIC, xCell) + ssGSEA</w:t>
            </w:r>
          </w:p>
        </w:tc>
        <w:tc>
          <w:tcPr>
            <w:tcW w:type="dxa" w:w="2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Myeloid 신호 cross-method r = 0.60–0.85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Immune-cold sample 제거?</w:t>
            </w:r>
          </w:p>
        </w:tc>
        <w:tc>
          <w:tcPr>
            <w:tcW w:type="dxa" w:w="3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전수 retain. p&lt;0.05 subset은 supplementary sensitivity</w:t>
            </w:r>
          </w:p>
        </w:tc>
        <w:tc>
          <w:tcPr>
            <w:tcW w:type="dxa" w:w="2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Immune-desert ecotype 정의가 사전 제거에 의해 왜곡되지 않음 (circular bias 회피)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Sample independence?</w:t>
            </w:r>
          </w:p>
        </w:tc>
        <w:tc>
          <w:tcPr>
            <w:tcW w:type="dxa" w:w="3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Independent-primary-plus filter (환자당 1 sample) main으로 사용</w:t>
            </w:r>
          </w:p>
        </w:tc>
        <w:tc>
          <w:tcPr>
            <w:tcW w:type="dxa" w:w="2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n=349 unique patient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Optimal k 선택은?</w:t>
            </w:r>
          </w:p>
        </w:tc>
        <w:tc>
          <w:tcPr>
            <w:tcW w:type="dxa" w:w="3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ConsensusClusterPlus k=2-6, CDF/PAC/silhouette</w:t>
            </w:r>
          </w:p>
        </w:tc>
        <w:tc>
          <w:tcPr>
            <w:tcW w:type="dxa" w:w="2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k=3은 pre-specified hypothesis. k=2 PAC 최저(가장 robust), k=3은 충분히 안정적이며 biologically interpretable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원 초안 가설과 데이터 결과 불일치 처리?</w:t>
            </w:r>
          </w:p>
        </w:tc>
        <w:tc>
          <w:tcPr>
            <w:tcW w:type="dxa" w:w="3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초안은 conceptual 가설, 실제 결과로 paper rewrite (manuscript에서 명시)</w:t>
            </w:r>
          </w:p>
        </w:tc>
        <w:tc>
          <w:tcPr>
            <w:tcW w:type="dxa" w:w="2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결과 자체가 novel finding (G34 inflamed가 아님, midline inflamed signal 등)</w:t>
            </w:r>
          </w:p>
        </w:tc>
      </w:tr>
    </w:tbl>
    <w:p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1A1A1A"/>
          <w:sz w:val="24"/>
          <w:szCs w:val="24"/>
        </w:rPr>
        <w:t xml:space="preserve">6.1. 본문에 박을 핵심 sentence 6가지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"We complemented LM22-based deconvolution with brain-tuned single-sample gene set enrichment scoring of microglia (Bohlen 2020; Klemm 2020), monocyte-derived macrophage (Klemm 2020; Antunes 2021), and brain-resident TAM signatures (Antunes 2021), allowing direct separation of resident microglia from infiltrating peripheral macrophages — a distinction not captured by LM22-derived methods."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"Across all 702 biospecimens, the three Microglia signatures (Klemm 2020, Bohlen 2020, Antunes Mg-TAM) showed Spearman ρ &gt; 0.98 between each other, while their correlation with MDM/Mo-TAM signatures was ρ ≈ 0.40, indicating that brain-tuned scoring resolves myeloid origin in a way that LM22-based methods cannot."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"Cross-method consensus across four orthogonal deconvolution algorithms (MCP-counter, quanTIseq, EPIC, xCell) consistently recovered the three immune ecotypes, indicating that the partitioning is robust to algorithmic choice."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"Unlike adult glioblastoma where lymphocyte-inflamed and myeloid-dominant ecotypes form distinct compartments, pediatric gliomas exhibited a unified Inflamed ecotype in which lymphocyte and myeloid signals co-occurred, suggesting a developmental-context-specific TME architecture."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"Counter to expectations from adult GBM, midline pediatric gliomas more frequently fell into the Inflamed ecotype than hemispheric tumors (41% vs 25%; Fisher's exact p = 1.3e-02), highlighting that anatomical location alone does not predict immune contexture in pediatric disease."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"We retained all biospecimens regardless of CIBERSORTx permutation p-value to avoid the circular bias of excluding the very samples that define the immune-desert ecotype; sensitivity analyses restricted to the high-confidence subset replicated the three-ecotype structure (Supplementary Figure SX)."</w:t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2E5C8A"/>
          <w:sz w:val="30"/>
          <w:szCs w:val="30"/>
        </w:rPr>
        <w:t xml:space="preserve">7. Limitations (선제 자백)</w:t>
      </w:r>
    </w:p>
    <w:p>
      <w:pPr>
        <w:spacing w:after="120" w:line="320"/>
        <w:jc w:val="both"/>
      </w:pPr>
      <w:r>
        <w:rPr>
          <w:rFonts w:ascii="Malgun Gothic" w:cs="Malgun Gothic" w:eastAsia="Malgun Gothic" w:hAnsi="Malgun Gothic"/>
          <w:b w:val="false"/>
          <w:bCs w:val="false"/>
          <w:color w:val="1A1A1A"/>
          <w:sz w:val="22"/>
          <w:szCs w:val="22"/>
        </w:rPr>
        <w:t xml:space="preserve">Manuscript Discussion에 포함할 limitation 항목 + 대응 전략.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5660"/>
      </w:tblGrid>
      <w:tr>
        <w:trPr>
          <w:tblHeader/>
        </w:trPr>
        <w:tc>
          <w:tcPr>
            <w:tcW w:type="dxa" w:w="3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5C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Limitation</w:t>
            </w:r>
          </w:p>
        </w:tc>
        <w:tc>
          <w:tcPr>
            <w:tcW w:type="dxa" w:w="56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5C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대응</w:t>
            </w:r>
          </w:p>
        </w:tc>
      </w:tr>
      <w:tr>
        <w:trPr>
          <w:tblHeader w:val="false"/>
        </w:trPr>
        <w:tc>
          <w:tcPr>
            <w:tcW w:type="dxa" w:w="3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LM22 microglia 부재</w:t>
            </w:r>
          </w:p>
        </w:tc>
        <w:tc>
          <w:tcPr>
            <w:tcW w:type="dxa" w:w="56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Brain-tuned ssGSEA로 보완 + Limitation 명시</w:t>
            </w:r>
          </w:p>
        </w:tc>
      </w:tr>
      <w:tr>
        <w:trPr>
          <w:tblHeader w:val="false"/>
        </w:trPr>
        <w:tc>
          <w:tcPr>
            <w:tcW w:type="dxa" w:w="3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Bulk RNA-seq의 cell-type 해상도</w:t>
            </w:r>
          </w:p>
        </w:tc>
        <w:tc>
          <w:tcPr>
            <w:tcW w:type="dxa" w:w="56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Future scRNA-seq/spatial validation</w:t>
            </w:r>
          </w:p>
        </w:tc>
      </w:tr>
      <w:tr>
        <w:trPr>
          <w:tblHeader w:val="false"/>
        </w:trPr>
        <w:tc>
          <w:tcPr>
            <w:tcW w:type="dxa" w:w="3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OS 데이터 incomplete (72% available)</w:t>
            </w:r>
          </w:p>
        </w:tc>
        <w:tc>
          <w:tcPr>
            <w:tcW w:type="dxa" w:w="56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Survival은 exploratory로 제한</w:t>
            </w:r>
          </w:p>
        </w:tc>
      </w:tr>
      <w:tr>
        <w:trPr>
          <w:tblHeader w:val="false"/>
        </w:trPr>
        <w:tc>
          <w:tcPr>
            <w:tcW w:type="dxa" w:w="3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DHG_G34 / IHG sample 수 적음 (각 31, 18)</w:t>
            </w:r>
          </w:p>
        </w:tc>
        <w:tc>
          <w:tcPr>
            <w:tcW w:type="dxa" w:w="56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Supplementary로 single-cohort 한계 명시</w:t>
            </w:r>
          </w:p>
        </w:tc>
      </w:tr>
      <w:tr>
        <w:trPr>
          <w:tblHeader w:val="false"/>
        </w:trPr>
        <w:tc>
          <w:tcPr>
            <w:tcW w:type="dxa" w:w="3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EPIC 32 sample 비수렴</w:t>
            </w:r>
          </w:p>
        </w:tc>
        <w:tc>
          <w:tcPr>
            <w:tcW w:type="dxa" w:w="56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EPIC 결과 sensitivity로 분리</w:t>
            </w:r>
          </w:p>
        </w:tc>
      </w:tr>
      <w:tr>
        <w:trPr>
          <w:tblHeader w:val="false"/>
        </w:trPr>
        <w:tc>
          <w:tcPr>
            <w:tcW w:type="dxa" w:w="3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xCell NK는 다른 method와 무상관 (r ≈ 0)</w:t>
            </w:r>
          </w:p>
        </w:tc>
        <w:tc>
          <w:tcPr>
            <w:tcW w:type="dxa" w:w="56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NK 해석 시 xCell 제외 권장</w:t>
            </w:r>
          </w:p>
        </w:tc>
      </w:tr>
      <w:tr>
        <w:trPr>
          <w:tblHeader w:val="false"/>
        </w:trPr>
        <w:tc>
          <w:tcPr>
            <w:tcW w:type="dxa" w:w="3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CD8 T-cell cross-method r 낮음 (0.15–0.54)</w:t>
            </w:r>
          </w:p>
        </w:tc>
        <w:tc>
          <w:tcPr>
            <w:tcW w:type="dxa" w:w="56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MCP-counter CD8를 primary, EPIC 제외</w:t>
            </w:r>
          </w:p>
        </w:tc>
      </w:tr>
    </w:tbl>
    <w:p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2E5C8A"/>
          <w:sz w:val="30"/>
          <w:szCs w:val="30"/>
        </w:rPr>
        <w:t xml:space="preserve">8. 다음 단계 — Manuscript drafting 또는 추가 분석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555555"/>
          <w:sz w:val="22"/>
          <w:szCs w:val="22"/>
        </w:rPr>
        <w:t xml:space="preserve">(a) Manuscript drafting으로 바로 넘어가기</w:t>
      </w:r>
    </w:p>
    <w:p>
      <w:pPr>
        <w:spacing w:after="120" w:line="320"/>
        <w:jc w:val="both"/>
      </w:pPr>
      <w:r>
        <w:rPr>
          <w:rFonts w:ascii="Malgun Gothic" w:cs="Malgun Gothic" w:eastAsia="Malgun Gothic" w:hAnsi="Malgun Gothic"/>
          <w:b w:val="false"/>
          <w:bCs w:val="false"/>
          <w:color w:val="1A1A1A"/>
          <w:sz w:val="22"/>
          <w:szCs w:val="22"/>
        </w:rPr>
        <w:t xml:space="preserve">현재까지 결과만으로도 Cancers(MDPI) 제출 가능한 compact dry-lab paper 한 편이 완성됩니다. Figure 1–6 구성: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Figure 1: Workflow + cohort flow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Figure 2: Heatmap of features by ecotype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Figure 3: PCA + UMAP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Figure 4: Microglia/MDM cross-method correlation + per-ecotype score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Figure 5: Ecotype distribution by histone class and location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Figure 6: Exploratory survival (다음 step)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555555"/>
          <w:sz w:val="22"/>
          <w:szCs w:val="22"/>
        </w:rPr>
        <w:t xml:space="preserve">(b) 추가로 진행 가능한 분석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Survival analysis (KM curve by ecotype) — n=251 with OS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ssGSEA pathway score 비교 (antigen presentation, IFN, MAPK 등)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CIBERSORTx LM22 결과 도착하면 5-method consensus로 robustness 추가 검증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BRAF_ALT secondary cohort (n=353)에 ecotype 투영하여 BRAF/MAPK 영향 분석</w:t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2E5C8A"/>
          <w:sz w:val="30"/>
          <w:szCs w:val="30"/>
        </w:rPr>
        <w:t xml:space="preserve">9. 산출 파일 목록</w:t>
      </w:r>
    </w:p>
    <w:p>
      <w:pPr>
        <w:spacing w:after="120" w:line="320"/>
        <w:jc w:val="both"/>
      </w:pPr>
      <w:r>
        <w:rPr>
          <w:rFonts w:ascii="Malgun Gothic" w:cs="Malgun Gothic" w:eastAsia="Malgun Gothic" w:hAnsi="Malgun Gothic"/>
          <w:b w:val="false"/>
          <w:bCs w:val="false"/>
          <w:color w:val="1A1A1A"/>
          <w:sz w:val="22"/>
          <w:szCs w:val="22"/>
        </w:rPr>
        <w:t xml:space="preserve">모든 결과는 output 디렉터리에 저장되어 있습니다.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1A1A1A"/>
          <w:sz w:val="24"/>
          <w:szCs w:val="24"/>
        </w:rPr>
        <w:t xml:space="preserve">Cohort + Table 1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cohort_main_final.tsv, cohort_BRAF_ALT_main.tsv, cohort_BRAF_ALT_LGG.tsv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Table1_cohort_characteristics.tsv, Table1.docx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1A1A1A"/>
          <w:sz w:val="24"/>
          <w:szCs w:val="24"/>
        </w:rPr>
        <w:t xml:space="preserve">TPM matrix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tpm_for_cibersortx.tsv (180 MB, CIBERSORTx 업로드용)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tpm_manifest.tsv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1A1A1A"/>
          <w:sz w:val="24"/>
          <w:szCs w:val="24"/>
        </w:rPr>
        <w:t xml:space="preserve">Deconvolution + ssGSEA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immunedeconv_{mcp_counter,quantiseq,epic,xcell}.tsv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ssGSEA_brain_immune_scores.tsv (+ long format)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myeloid_signals_merged.tsv, cd8_signals_merged.tsv, nk_signals_merged.tsv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spearman_{myeloid,cd8,nk}_crossmethod.tsv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1A1A1A"/>
          <w:sz w:val="24"/>
          <w:szCs w:val="24"/>
        </w:rPr>
        <w:t xml:space="preserve">Clustering + ecotype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clustering_feature_matrix_z.tsv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ccp_main_k{2,3,4}.rds — ConsensusClusterPlus results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consensus_clustering_PAC_main.tsv, consensus_clustering_silhouette_main.tsv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ecotype_assignment_k3_annotated.tsv (★ ecotype 최종 라벨)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ecotype_k3_feature_means.tsv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ecotype_x_{cohort_group,location,age_dev}.tsv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ecotype_association_pvalues.tsv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microglia_mdm_ratio_by_ecotype.tsv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1A1A1A"/>
          <w:sz w:val="24"/>
          <w:szCs w:val="24"/>
        </w:rPr>
        <w:t xml:space="preserve">Figures (PNG)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output/fig_corr_myeloid_annotated.png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output/figs_clustering/ecotype_heatmap_main.png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output/figs_clustering/ecotype_pca_main.png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output/figs_clustering/ecotype_umap_main.png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output/figs_clustering/ecotype_distribution_by_{cohort,location}.png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output/figs_clustering/microglia_mdm_ratio_by_ecotype.png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output/figs_clustering/ConsensusCluster_main/ — ConsensusClusterPlus 표준 figure 세트</w:t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2E5C8A"/>
          <w:sz w:val="30"/>
          <w:szCs w:val="30"/>
        </w:rPr>
        <w:t xml:space="preserve">10. 맺음말</w:t>
      </w:r>
    </w:p>
    <w:p>
      <w:pPr>
        <w:spacing w:after="120" w:line="320"/>
        <w:jc w:val="both"/>
      </w:pPr>
      <w:r>
        <w:rPr>
          <w:rFonts w:ascii="Malgun Gothic" w:cs="Malgun Gothic" w:eastAsia="Malgun Gothic" w:hAnsi="Malgun Gothic"/>
          <w:b w:val="false"/>
          <w:bCs w:val="false"/>
          <w:color w:val="1A1A1A"/>
          <w:sz w:val="22"/>
          <w:szCs w:val="22"/>
        </w:rPr>
        <w:t xml:space="preserve">이번 분석에서 가장 중요한 두 가지 메시지는 다음과 같습니다. (1) Brain-tuned signature score를 통해 microglia와 MDM을 명확히 분리할 수 있음을 입증하였고 (reviewer-appeal 측면에서 결정적), (2) 원 초안 가설과는 다른 방향의 ecotype-cohort 연관성이 발견되어 오히려 novel finding으로 사용 가능합니다.</w:t>
      </w:r>
    </w:p>
    <w:p>
      <w:pPr>
        <w:spacing w:after="120" w:line="320"/>
        <w:jc w:val="both"/>
      </w:pPr>
      <w:r>
        <w:rPr>
          <w:rFonts w:ascii="Malgun Gothic" w:cs="Malgun Gothic" w:eastAsia="Malgun Gothic" w:hAnsi="Malgun Gothic"/>
          <w:b w:val="false"/>
          <w:bCs w:val="false"/>
          <w:color w:val="1A1A1A"/>
          <w:sz w:val="22"/>
          <w:szCs w:val="22"/>
        </w:rPr>
        <w:t xml:space="preserve">Manuscript drafting으로 넘어가실지, 또는 추가 분석(survival, pathway, BRAF 투영 등)을 먼저 진행하실지 결정해 주시면 다음 단계로 넘어가겠습니다.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spacing w:after="120" w:line="320"/>
        <w:jc w:val="both"/>
      </w:pPr>
      <w:r>
        <w:rPr>
          <w:rFonts w:ascii="Malgun Gothic" w:cs="Malgun Gothic" w:eastAsia="Malgun Gothic" w:hAnsi="Malgun Gothic"/>
          <w:b w:val="false"/>
          <w:bCs w:val="false"/>
          <w:color w:val="1A1A1A"/>
          <w:sz w:val="22"/>
          <w:szCs w:val="22"/>
        </w:rPr>
        <w:t xml:space="preserve">감사합니다.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jc w:val="center"/>
      </w:pPr>
      <w:r>
        <w:rPr>
          <w:rFonts w:ascii="Malgun Gothic" w:cs="Malgun Gothic" w:eastAsia="Malgun Gothic" w:hAnsi="Malgun Gothic"/>
          <w:color w:val="555555"/>
          <w:sz w:val="22"/>
          <w:szCs w:val="22"/>
        </w:rPr>
        <w:t xml:space="preserve">— 이상 —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  <w:lvl w:ilvl="1" w15:tentative="1">
      <w:start w:val="1"/>
      <w:numFmt w:val="bullet"/>
      <w:lvlText w:val="◦"/>
      <w:lvlJc w:val="left"/>
      <w:pPr>
        <w:ind w:left="8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Malgun Gothic" w:cs="Malgun Gothic" w:eastAsia="Malgun Gothic" w:hAnsi="Malgun Gothic"/>
      <w:b/>
      <w:bCs/>
      <w:color w:val="2E5C8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algun Gothic" w:cs="Malgun Gothic" w:eastAsia="Malgun Gothic" w:hAnsi="Malgun Gothic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Malgun Gothic" w:cs="Malgun Gothic" w:eastAsia="Malgun Gothic" w:hAnsi="Malgun Gothic"/>
      <w:b/>
      <w:bCs/>
      <w:color w:val="5555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2c25391ce4db3af875c8c56a9f07300d8ea7a6c.png"/><Relationship Id="rId8" Type="http://schemas.openxmlformats.org/officeDocument/2006/relationships/image" Target="media/c683e7d1df59035f0826cc27cd33c172232a5df4.png"/><Relationship Id="rId9" Type="http://schemas.openxmlformats.org/officeDocument/2006/relationships/image" Target="media/3b33730a61c00f503801d6f9490f6db61fee9523.png"/><Relationship Id="rId10" Type="http://schemas.openxmlformats.org/officeDocument/2006/relationships/image" Target="media/751356e5597c23a14727cd9be65a32b626f48683.png"/><Relationship Id="rId11" Type="http://schemas.openxmlformats.org/officeDocument/2006/relationships/image" Target="media/2bbf452e5fe7e1bfdfaa95c1affbfc62649bf298.png"/><Relationship Id="rId12" Type="http://schemas.openxmlformats.org/officeDocument/2006/relationships/image" Target="media/442e2bc3ff1a2122c05b569e2ba03fa1045a4927.png"/><Relationship Id="rId13" Type="http://schemas.openxmlformats.org/officeDocument/2006/relationships/image" Target="media/d942eeb0965e60cc954fd8a602f249b75bf43645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2026-06-11T06:48:54.634Z</dcterms:created>
  <dcterms:modified xsi:type="dcterms:W3CDTF">2026-06-11T06:48:54.636Z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