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E5C8A"/>
          <w:sz w:val="28"/>
          <w:szCs w:val="28"/>
        </w:rPr>
        <w:t xml:space="preserve">Table 1. Clinical and molecular characteristics of pediatric glioma cohort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OpenPedCan v15 기반, independent-primary-plus 필터 + pHGG_WT age &lt;21yr cap 적용.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/>
        </w:trPr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Cohort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 biospecimen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 unique patient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Age yr median (IQR)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Sex Male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Sex Female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Midline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Hemispheric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Posterior fossa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Ambiguous/Other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BRAF/RTK fusion+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OS data available
</w:t>
            </w:r>
          </w:p>
        </w:tc>
      </w:tr>
      <w:tr>
        <w:trPr>
          <w:tblHeader w:val="false"/>
        </w:trPr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DMG, H3 K27/K28-altered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175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7.9 (5.5-11.2)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75 (42.9%)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97 (55.4%)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118 (67.4%)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 (1.7%)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 (2.9%)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49 (28.0%)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 (17.7%)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140 (80.0%)
</w:t>
            </w:r>
          </w:p>
        </w:tc>
      </w:tr>
      <w:tr>
        <w:trPr>
          <w:tblHeader w:val="false"/>
        </w:trPr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DHG, H3 G34/G35-mutant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15.7 (13.5-17.9)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16 (51.6%)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(48.4%)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 (77.4%)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 (22.6%)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4 (12.9%)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(48.4%)
</w:t>
            </w:r>
          </w:p>
        </w:tc>
      </w:tr>
      <w:tr>
        <w:trPr>
          <w:tblHeader w:val="false"/>
        </w:trPr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pHGG, H3/IDH-wildtype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125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125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9.5 (6.0-13.7)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70 (56.0%)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55 (44.0%)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22 (17.6%)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62 (49.6%)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 (7.2%)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32 (25.6%)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17 (13.6%)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82 (65.6%)
</w:t>
            </w:r>
          </w:p>
        </w:tc>
      </w:tr>
      <w:tr>
        <w:trPr>
          <w:tblHeader w:val="false"/>
        </w:trPr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Infant-type hemispheric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0.4 (0.1-0.9)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 (50.0%)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9 (50.0%)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15 (83.3%)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0 (0.0%)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 (16.7%)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 (100.0%)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14 (77.8%)
</w:t>
            </w:r>
          </w:p>
        </w:tc>
      </w:tr>
      <w:tr>
        <w:trPr>
          <w:tblHeader w:val="false"/>
        </w:trPr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Total (Main)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349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349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8.8 (5.5-12.5)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170 (48.7%)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176 (50.4%)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140 (40.1%)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104 (29.8%)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14 (4.0%)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91 (26.1%)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70 (20.1%)</w:t>
            </w:r>
          </w:p>
        </w:tc>
        <w:tc>
          <w:tcPr>
            <w:tcW w:type="dxa" w:w="114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251 (71.9%)</w:t>
            </w:r>
          </w:p>
        </w:tc>
      </w:tr>
    </w:tbl>
    <w:p>
      <w:r>
        <w:rPr>
          <w:rFonts w:ascii="Malgun Gothic" w:cs="Malgun Gothic" w:eastAsia="Malgun Gothic" w:hAnsi="Malgun Gothic"/>
        </w:rPr>
        <w:t xml:space="preserve"/>
      </w:r>
    </w:p>
    <w:p>
      <w:pPr>
        <w:spacing w:after="160" w:before="320"/>
      </w:pPr>
      <w:r>
        <w:rPr>
          <w:rFonts w:ascii="Malgun Gothic" w:cs="Malgun Gothic" w:eastAsia="Malgun Gothic" w:hAnsi="Malgun Gothic"/>
          <w:b/>
          <w:bCs/>
          <w:color w:val="2E5C8A"/>
          <w:sz w:val="24"/>
          <w:szCs w:val="24"/>
        </w:rPr>
        <w:t xml:space="preserve">Supplementary — BRAF/RTK-altered secondary cohort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blHeader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Subgroup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 biospecimen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 unique patient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Age yr median (IQR)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BRAF/RTK fusion+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OS data available
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BRAF_ALT_main (HGG/PXA/infant-fusion)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1.2 (0.8-11.5)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18 (58.1%)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8"/>
                <w:szCs w:val="18"/>
              </w:rPr>
              <w:t xml:space="preserve">24 (77.4%)
</w:t>
            </w:r>
          </w:p>
        </w:tc>
      </w:tr>
      <w:tr>
        <w:trPr>
          <w:tblHeader w:val="false"/>
        </w:trPr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BRAF_ALT_LGG (LGG-only)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322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322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9.1 (5.0-12.8)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208 (64.6%)</w:t>
            </w:r>
          </w:p>
        </w:tc>
        <w:tc>
          <w:tcPr>
            <w:tcW w:type="dxa" w:w="22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8"/>
                <w:szCs w:val="18"/>
              </w:rPr>
              <w:t xml:space="preserve">254 (78.9%)</w:t>
            </w:r>
          </w:p>
        </w:tc>
      </w:tr>
    </w:tbl>
    <w:p>
      <w:pPr>
        <w:spacing w:before="240"/>
      </w:pPr>
      <w:r>
        <w:rPr>
          <w:rFonts w:ascii="Malgun Gothic" w:cs="Malgun Gothic" w:eastAsia="Malgun Gothic" w:hAnsi="Malgun Gothic"/>
          <w:i/>
          <w:iCs/>
          <w:color w:val="666666"/>
          <w:sz w:val="18"/>
          <w:szCs w:val="18"/>
        </w:rPr>
        <w:t xml:space="preserve">Footnote: All counts based on independent-primary-plus filter (one biospecimen per patient). Ambiguous = pineal, suprasellar, optic pathway, ventricles. IUPAC nomenclature K28/G35 corresponds to historical K27/G34.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2026-06-11T00:40:03.575Z</dcterms:created>
  <dcterms:modified xsi:type="dcterms:W3CDTF">2026-06-11T00:40:03.588Z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