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47574" w14:textId="2F06C6BB" w:rsidR="00E25284" w:rsidRDefault="000D46E6">
      <w:pPr>
        <w:pStyle w:val="Heading1"/>
        <w:pBdr>
          <w:bottom w:val="single" w:sz="12" w:space="4" w:color="2C7BB6"/>
        </w:pBdr>
      </w:pPr>
      <w:r>
        <w:t xml:space="preserve">Session analysis </w:t>
      </w:r>
      <w:r w:rsidR="00993A7E">
        <w:rPr>
          <w:rFonts w:ascii="맑은 고딕" w:eastAsia="맑은 고딕" w:hAnsi="맑은 고딕" w:cs="맑은 고딕" w:hint="eastAsia"/>
        </w:rPr>
        <w:t>a</w:t>
      </w:r>
      <w:r w:rsidR="00993A7E">
        <w:rPr>
          <w:rFonts w:ascii="맑은 고딕" w:eastAsia="맑은 고딕" w:hAnsi="맑은 고딕" w:cs="맑은 고딕"/>
        </w:rPr>
        <w:t>bstract</w:t>
      </w:r>
    </w:p>
    <w:tbl>
      <w:tblPr>
        <w:tblW w:w="9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4541"/>
        <w:gridCol w:w="4541"/>
      </w:tblGrid>
      <w:tr w:rsidR="00FD09B8" w14:paraId="4B78B749" w14:textId="77777777" w:rsidTr="00FD09B8">
        <w:trPr>
          <w:trHeight w:val="220"/>
          <w:tblHeader/>
        </w:trPr>
        <w:tc>
          <w:tcPr>
            <w:tcW w:w="7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DA9891" w14:textId="77777777" w:rsidR="00FD09B8" w:rsidRDefault="00FD09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1BB9B5" w14:textId="77777777" w:rsidR="00FD09B8" w:rsidRDefault="00FD09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Analysis</w:t>
            </w:r>
          </w:p>
        </w:tc>
        <w:tc>
          <w:tcPr>
            <w:tcW w:w="4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17C1F6" w14:textId="77777777" w:rsidR="00FD09B8" w:rsidRDefault="00FD09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FD09B8" w14:paraId="6D2ADE13" w14:textId="77777777" w:rsidTr="00FD09B8">
        <w:trPr>
          <w:trHeight w:val="452"/>
        </w:trPr>
        <w:tc>
          <w:tcPr>
            <w:tcW w:w="7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1C38D8" w14:textId="77777777" w:rsidR="00FD09B8" w:rsidRDefault="00FD09B8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BDA1B0" w14:textId="77777777" w:rsidR="00FD09B8" w:rsidRDefault="00FD09B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TPM normalisation harmonisation of ssGSEA</w:t>
            </w:r>
          </w:p>
        </w:tc>
        <w:tc>
          <w:tcPr>
            <w:tcW w:w="4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F90467" w14:textId="77777777" w:rsidR="00FD09B8" w:rsidRDefault="00FD09B8">
            <w:pPr>
              <w:jc w:val="center"/>
            </w:pPr>
            <w:r>
              <w:rPr>
                <w:color w:val="000000"/>
                <w:sz w:val="20"/>
                <w:szCs w:val="20"/>
              </w:rPr>
              <w:t>Fig 1 (concordance), Table S_TPM_concordance</w:t>
            </w:r>
          </w:p>
        </w:tc>
      </w:tr>
      <w:tr w:rsidR="00FD09B8" w14:paraId="1EA943B4" w14:textId="77777777" w:rsidTr="00FD09B8">
        <w:trPr>
          <w:trHeight w:val="685"/>
        </w:trPr>
        <w:tc>
          <w:tcPr>
            <w:tcW w:w="7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966615" w14:textId="77777777" w:rsidR="00FD09B8" w:rsidRDefault="00FD09B8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D6EBC0" w14:textId="77777777" w:rsidR="00FD09B8" w:rsidRDefault="00FD09B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PERMANOVA variance partition of ecotype vs subgroup</w:t>
            </w:r>
          </w:p>
        </w:tc>
        <w:tc>
          <w:tcPr>
            <w:tcW w:w="4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61954C" w14:textId="77777777" w:rsidR="00FD09B8" w:rsidRDefault="00FD09B8">
            <w:pPr>
              <w:jc w:val="center"/>
            </w:pPr>
            <w:r>
              <w:rPr>
                <w:color w:val="000000"/>
                <w:sz w:val="20"/>
                <w:szCs w:val="20"/>
              </w:rPr>
              <w:t>Fig 2 (donut + bar), Table S_PERMANOVA</w:t>
            </w:r>
          </w:p>
        </w:tc>
      </w:tr>
      <w:tr w:rsidR="00FD09B8" w14:paraId="10138BE0" w14:textId="77777777" w:rsidTr="00FD09B8">
        <w:trPr>
          <w:trHeight w:val="685"/>
        </w:trPr>
        <w:tc>
          <w:tcPr>
            <w:tcW w:w="7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97019E" w14:textId="77777777" w:rsidR="00FD09B8" w:rsidRDefault="00FD09B8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25F133" w14:textId="77777777" w:rsidR="00FD09B8" w:rsidRDefault="00FD09B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Cox ecotype × cohort_group interaction + subtype-stratified survival</w:t>
            </w:r>
          </w:p>
        </w:tc>
        <w:tc>
          <w:tcPr>
            <w:tcW w:w="4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2E58DA" w14:textId="77777777" w:rsidR="00FD09B8" w:rsidRDefault="00FD09B8">
            <w:pPr>
              <w:jc w:val="center"/>
            </w:pPr>
            <w:r>
              <w:rPr>
                <w:color w:val="000000"/>
                <w:sz w:val="20"/>
                <w:szCs w:val="20"/>
              </w:rPr>
              <w:t>Fig 3 (KM + forest), Table S_subtype_stratified</w:t>
            </w:r>
          </w:p>
        </w:tc>
      </w:tr>
      <w:tr w:rsidR="00FD09B8" w14:paraId="536F11D0" w14:textId="77777777" w:rsidTr="00FD09B8">
        <w:trPr>
          <w:trHeight w:val="452"/>
        </w:trPr>
        <w:tc>
          <w:tcPr>
            <w:tcW w:w="7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E9BA55" w14:textId="77777777" w:rsidR="00FD09B8" w:rsidRDefault="00FD09B8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9E444B" w14:textId="77777777" w:rsidR="00FD09B8" w:rsidRDefault="00FD09B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IPW sensitivity for differential OS missingness</w:t>
            </w:r>
          </w:p>
        </w:tc>
        <w:tc>
          <w:tcPr>
            <w:tcW w:w="4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92951C" w14:textId="77777777" w:rsidR="00FD09B8" w:rsidRDefault="00FD09B8">
            <w:pPr>
              <w:jc w:val="center"/>
            </w:pPr>
            <w:r>
              <w:rPr>
                <w:color w:val="000000"/>
                <w:sz w:val="20"/>
                <w:szCs w:val="20"/>
              </w:rPr>
              <w:t>Fig 4 (3-panel), Fig 5 (Love plot), Table S_IPW_altweights</w:t>
            </w:r>
          </w:p>
        </w:tc>
      </w:tr>
      <w:tr w:rsidR="00FD09B8" w14:paraId="725FF5BE" w14:textId="77777777" w:rsidTr="00FD09B8">
        <w:trPr>
          <w:trHeight w:val="452"/>
        </w:trPr>
        <w:tc>
          <w:tcPr>
            <w:tcW w:w="7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0B2CB4" w14:textId="77777777" w:rsidR="00FD09B8" w:rsidRDefault="00FD09B8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BEF4EB" w14:textId="77777777" w:rsidR="00FD09B8" w:rsidRDefault="00FD09B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IDH1/IDH2 mutation audit</w:t>
            </w:r>
          </w:p>
        </w:tc>
        <w:tc>
          <w:tcPr>
            <w:tcW w:w="4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02E033" w14:textId="77777777" w:rsidR="00FD09B8" w:rsidRDefault="00FD09B8">
            <w:pPr>
              <w:jc w:val="center"/>
            </w:pPr>
            <w:r>
              <w:rPr>
                <w:color w:val="000000"/>
                <w:sz w:val="20"/>
                <w:szCs w:val="20"/>
              </w:rPr>
              <w:t>Text summary, Table S_IDH_audit</w:t>
            </w:r>
          </w:p>
        </w:tc>
      </w:tr>
      <w:tr w:rsidR="00FD09B8" w14:paraId="6FDC8C68" w14:textId="77777777" w:rsidTr="00FD09B8">
        <w:trPr>
          <w:trHeight w:val="452"/>
        </w:trPr>
        <w:tc>
          <w:tcPr>
            <w:tcW w:w="7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63658B" w14:textId="77777777" w:rsidR="00FD09B8" w:rsidRDefault="00FD09B8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3B7884" w14:textId="77777777" w:rsidR="00FD09B8" w:rsidRDefault="00FD09B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Molecular subgroup × anatomical location × ecotype</w:t>
            </w:r>
          </w:p>
        </w:tc>
        <w:tc>
          <w:tcPr>
            <w:tcW w:w="4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69E0A9" w14:textId="77777777" w:rsidR="00FD09B8" w:rsidRDefault="00FD09B8">
            <w:pPr>
              <w:jc w:val="center"/>
            </w:pPr>
            <w:r>
              <w:rPr>
                <w:color w:val="000000"/>
                <w:sz w:val="20"/>
                <w:szCs w:val="20"/>
              </w:rPr>
              <w:t>Fig 6, Table S_location_crosstab</w:t>
            </w:r>
          </w:p>
        </w:tc>
      </w:tr>
      <w:tr w:rsidR="00FD09B8" w14:paraId="74389FAC" w14:textId="77777777" w:rsidTr="00FD09B8">
        <w:trPr>
          <w:trHeight w:val="452"/>
        </w:trPr>
        <w:tc>
          <w:tcPr>
            <w:tcW w:w="7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0369E3" w14:textId="77777777" w:rsidR="00FD09B8" w:rsidRDefault="00FD09B8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4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023043" w14:textId="77777777" w:rsidR="00FD09B8" w:rsidRDefault="00FD09B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Location-stratified Kaplan–Meier by ecotype</w:t>
            </w:r>
          </w:p>
        </w:tc>
        <w:tc>
          <w:tcPr>
            <w:tcW w:w="4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16C963" w14:textId="77777777" w:rsidR="00FD09B8" w:rsidRDefault="00FD09B8">
            <w:pPr>
              <w:jc w:val="center"/>
            </w:pPr>
            <w:r>
              <w:rPr>
                <w:color w:val="000000"/>
                <w:sz w:val="20"/>
                <w:szCs w:val="20"/>
              </w:rPr>
              <w:t>Fig 7</w:t>
            </w:r>
          </w:p>
        </w:tc>
      </w:tr>
      <w:tr w:rsidR="00FD09B8" w14:paraId="0C00EC2D" w14:textId="77777777" w:rsidTr="00FD09B8">
        <w:trPr>
          <w:trHeight w:val="452"/>
        </w:trPr>
        <w:tc>
          <w:tcPr>
            <w:tcW w:w="7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5278FA" w14:textId="77777777" w:rsidR="00FD09B8" w:rsidRDefault="00FD09B8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4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F7F372" w14:textId="77777777" w:rsidR="00FD09B8" w:rsidRDefault="00FD09B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Location-aware Cox model (baseline vs +location)</w:t>
            </w:r>
          </w:p>
        </w:tc>
        <w:tc>
          <w:tcPr>
            <w:tcW w:w="4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F18ED2" w14:textId="77777777" w:rsidR="00FD09B8" w:rsidRDefault="00FD09B8">
            <w:pPr>
              <w:jc w:val="center"/>
            </w:pPr>
            <w:r>
              <w:rPr>
                <w:color w:val="000000"/>
                <w:sz w:val="20"/>
                <w:szCs w:val="20"/>
              </w:rPr>
              <w:t>Text + Table S_Cox_with_location</w:t>
            </w:r>
          </w:p>
        </w:tc>
      </w:tr>
    </w:tbl>
    <w:p w14:paraId="1A7144AE" w14:textId="77777777" w:rsidR="00E25284" w:rsidRDefault="000D46E6">
      <w:r>
        <w:br w:type="page"/>
      </w:r>
    </w:p>
    <w:p w14:paraId="066481E2" w14:textId="3600A485" w:rsidR="00E25284" w:rsidRDefault="000D46E6">
      <w:pPr>
        <w:pStyle w:val="Heading1"/>
        <w:pBdr>
          <w:bottom w:val="single" w:sz="12" w:space="4" w:color="2C7BB6"/>
        </w:pBdr>
      </w:pPr>
      <w:r>
        <w:lastRenderedPageBreak/>
        <w:t xml:space="preserve">Figure 1  |  TPM normalisation harmonisation </w:t>
      </w:r>
    </w:p>
    <w:p w14:paraId="6366F405" w14:textId="1F9B56AC" w:rsidR="001E12DF" w:rsidRDefault="001E12DF" w:rsidP="001E12DF">
      <w:pPr>
        <w:pStyle w:val="NormalWeb"/>
      </w:pPr>
      <w:r>
        <w:rPr>
          <w:noProof/>
        </w:rPr>
        <w:drawing>
          <wp:inline distT="0" distB="0" distL="0" distR="0" wp14:anchorId="7017FD8D" wp14:editId="3AEFE119">
            <wp:extent cx="6248400" cy="50660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506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77731" w14:textId="2749031F" w:rsidR="00E25284" w:rsidRDefault="00E25284">
      <w:pPr>
        <w:spacing w:before="120" w:after="60"/>
        <w:jc w:val="center"/>
      </w:pPr>
    </w:p>
    <w:p w14:paraId="5D048690" w14:textId="77777777" w:rsidR="00E25284" w:rsidRDefault="000D46E6">
      <w:pPr>
        <w:spacing w:after="240"/>
      </w:pPr>
      <w:r>
        <w:rPr>
          <w:b/>
          <w:bCs/>
          <w:sz w:val="20"/>
          <w:szCs w:val="20"/>
        </w:rPr>
        <w:t>Figure 1. Independent re-run of ssGSEA on log2(TPM + 1) reproduces the original R/GSVA scores.</w:t>
      </w:r>
      <w:r>
        <w:rPr>
          <w:sz w:val="20"/>
          <w:szCs w:val="20"/>
        </w:rPr>
        <w:t xml:space="preserve">  Bar chart of per-signature Spearman ρ between the original R/GSVA implementation on TPM and an independent Python gseapy.ssgsea v1.3 re-run on the same log2(TPM + 1) matrix, n = 349 samples × 24 brain-tuned signatures. Vertical dashed line at ρ = 0.95; </w:t>
      </w:r>
      <w:r>
        <w:rPr>
          <w:b/>
          <w:bCs/>
          <w:sz w:val="20"/>
          <w:szCs w:val="20"/>
        </w:rPr>
        <w:t>median ρ = 0.958</w:t>
      </w:r>
      <w:r>
        <w:rPr>
          <w:sz w:val="20"/>
          <w:szCs w:val="20"/>
        </w:rPr>
        <w:t xml:space="preserve"> (range 0.75–1.00); 12 of 24 signatures reach ρ &gt; 0.95 with the top eight signatures (MHC I / II, microglia core, MgTAM, MAPK, DAM, IFN-α) at ρ &gt; 0.99. The residual variance is attributable to differences in the internal rank-normalisation conventions of the two ssGSEA implementations, not to a TPM-vs-FPKM normalisation difference. This confirms that the ssGSEA scoring step in the original manuscript was TPM-consistent and that the Methods §2.4 wording ("on the FPKM matrix") is a documentation error corrected in v6.</w:t>
      </w:r>
    </w:p>
    <w:p w14:paraId="11AB3482" w14:textId="77777777" w:rsidR="00E25284" w:rsidRDefault="00E25284">
      <w:pPr>
        <w:pBdr>
          <w:bottom w:val="single" w:sz="6" w:space="2" w:color="BFBFBF"/>
        </w:pBdr>
        <w:spacing w:before="40" w:after="100"/>
      </w:pPr>
    </w:p>
    <w:p w14:paraId="12A4C51E" w14:textId="77777777" w:rsidR="00FD09B8" w:rsidRDefault="00FD09B8">
      <w:pPr>
        <w:rPr>
          <w:b/>
          <w:bCs/>
          <w:color w:val="1B3050"/>
          <w:sz w:val="30"/>
          <w:szCs w:val="30"/>
        </w:rPr>
      </w:pPr>
      <w:r>
        <w:br w:type="page"/>
      </w:r>
    </w:p>
    <w:p w14:paraId="700A0BCE" w14:textId="0544A87E" w:rsidR="00E25284" w:rsidRDefault="000D46E6">
      <w:pPr>
        <w:pStyle w:val="Heading1"/>
        <w:pBdr>
          <w:bottom w:val="single" w:sz="12" w:space="4" w:color="2C7BB6"/>
        </w:pBdr>
      </w:pPr>
      <w:r>
        <w:lastRenderedPageBreak/>
        <w:t xml:space="preserve">Figure 2  |  PERMANOVA variance partition </w:t>
      </w:r>
    </w:p>
    <w:p w14:paraId="3B164F2C" w14:textId="1EB684CE" w:rsidR="001E12DF" w:rsidRDefault="001E12DF" w:rsidP="001E12DF">
      <w:pPr>
        <w:pStyle w:val="NormalWeb"/>
      </w:pPr>
      <w:r>
        <w:rPr>
          <w:noProof/>
        </w:rPr>
        <w:drawing>
          <wp:inline distT="0" distB="0" distL="0" distR="0" wp14:anchorId="4420D849" wp14:editId="07929DA5">
            <wp:extent cx="6248400" cy="2788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3E0F6" w14:textId="197D8FF9" w:rsidR="00E25284" w:rsidRDefault="00E25284">
      <w:pPr>
        <w:spacing w:before="120" w:after="60"/>
        <w:jc w:val="center"/>
      </w:pPr>
    </w:p>
    <w:p w14:paraId="148A126A" w14:textId="77777777" w:rsidR="00E25284" w:rsidRDefault="000D46E6">
      <w:pPr>
        <w:spacing w:after="240"/>
      </w:pPr>
      <w:r>
        <w:rPr>
          <w:b/>
          <w:bCs/>
          <w:sz w:val="20"/>
          <w:szCs w:val="20"/>
        </w:rPr>
        <w:t>Figure 2. Ecotype captures a TME axis that is not a proxy for tumor molecular subtype.</w:t>
      </w:r>
      <w:r>
        <w:rPr>
          <w:sz w:val="20"/>
          <w:szCs w:val="20"/>
        </w:rPr>
        <w:t xml:space="preserve">  Anderson (2001) PERMANOVA on the harmonised TPM 29-feature clustering matrix (quanTIseq + 19 brain-tuned ssGSEA, z-scored per feature), Euclidean distance, n = 349, 4 999 stratified permutations. (A) Type-I sequential decomposition entering cohort_group first, then ecotype | cohort_group: cohort_group R² = 0.044 (P = 2 × 10⁻⁴), </w:t>
      </w:r>
      <w:r>
        <w:rPr>
          <w:b/>
          <w:bCs/>
          <w:sz w:val="20"/>
          <w:szCs w:val="20"/>
        </w:rPr>
        <w:t>ecotype | cohort_group R² = 0.303 (P = 2 × 10⁻⁴)</w:t>
      </w:r>
      <w:r>
        <w:rPr>
          <w:sz w:val="20"/>
          <w:szCs w:val="20"/>
        </w:rPr>
        <w:t>, residual (intrinsic TME heterogeneity) R² = 0.653. (B) Marginal R² bar for each factor and its reverse-order sequential contribution; ecotype alone explains 32.0% of the inter-sample distance variance whereas cohort_group | ecotype contributes only 2.7% (P = 0.029). Because the ecotype signal is approximately seven-fold larger than the cohort-group attributable variance and is preserved under formal adjustment for tumor subtype, the three-state ecotype framework is not a proxy for molecular subtype.</w:t>
      </w:r>
    </w:p>
    <w:p w14:paraId="0FF12635" w14:textId="77777777" w:rsidR="00E25284" w:rsidRDefault="00E25284">
      <w:pPr>
        <w:pBdr>
          <w:bottom w:val="single" w:sz="6" w:space="2" w:color="BFBFBF"/>
        </w:pBdr>
        <w:spacing w:before="40" w:after="100"/>
      </w:pPr>
    </w:p>
    <w:p w14:paraId="31536D7C" w14:textId="77777777" w:rsidR="00E25284" w:rsidRDefault="000D46E6">
      <w:r>
        <w:br w:type="page"/>
      </w:r>
    </w:p>
    <w:p w14:paraId="689C0AA8" w14:textId="1273F32C" w:rsidR="00E25284" w:rsidRDefault="000D46E6">
      <w:pPr>
        <w:pStyle w:val="Heading1"/>
        <w:pBdr>
          <w:bottom w:val="single" w:sz="12" w:space="4" w:color="2C7BB6"/>
        </w:pBdr>
      </w:pPr>
      <w:r>
        <w:lastRenderedPageBreak/>
        <w:t xml:space="preserve">Figure 3  |  Cox interaction + subtype-stratified survival </w:t>
      </w:r>
    </w:p>
    <w:p w14:paraId="3D40BA7D" w14:textId="0E1C3D10" w:rsidR="001E12DF" w:rsidRDefault="001E12DF" w:rsidP="001E12DF">
      <w:pPr>
        <w:pStyle w:val="NormalWeb"/>
      </w:pPr>
      <w:r>
        <w:rPr>
          <w:noProof/>
        </w:rPr>
        <w:drawing>
          <wp:inline distT="0" distB="0" distL="0" distR="0" wp14:anchorId="68EF3E95" wp14:editId="20630999">
            <wp:extent cx="6248400" cy="419671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949" cy="42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D4411" w14:textId="2C4E07CD" w:rsidR="001E12DF" w:rsidRDefault="001E12DF" w:rsidP="001E12DF">
      <w:pPr>
        <w:pStyle w:val="NormalWeb"/>
      </w:pPr>
      <w:r>
        <w:rPr>
          <w:noProof/>
        </w:rPr>
        <w:drawing>
          <wp:inline distT="0" distB="0" distL="0" distR="0" wp14:anchorId="5DD8C793" wp14:editId="37AD0DEF">
            <wp:extent cx="6248400" cy="34055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1BC5A" w14:textId="2B6214C6" w:rsidR="00E25284" w:rsidRDefault="00E25284">
      <w:pPr>
        <w:spacing w:before="120" w:after="60"/>
        <w:jc w:val="center"/>
      </w:pPr>
    </w:p>
    <w:p w14:paraId="6BB3A30E" w14:textId="77777777" w:rsidR="00E25284" w:rsidRDefault="000D46E6">
      <w:pPr>
        <w:spacing w:after="240"/>
      </w:pPr>
      <w:r>
        <w:rPr>
          <w:b/>
          <w:bCs/>
          <w:sz w:val="20"/>
          <w:szCs w:val="20"/>
        </w:rPr>
        <w:t>Figure 3. The ecotype prognostic effect is additive across cohort groups; within-subtype HRs identify pHGG_WT and DHG_G34 as the strata with detectable ecotype-driven separation.</w:t>
      </w:r>
      <w:r>
        <w:rPr>
          <w:sz w:val="20"/>
          <w:szCs w:val="20"/>
        </w:rPr>
        <w:t xml:space="preserve">  (A) Kaplan-Meier OS by ecotype (Inflamed solid, Immune-desert dashed) within each cohort group (n = 251 with OS data). (B) Forest plot of the Immune-desert vs Inflamed HR estimated within each cohort group, colour-coded by cohort. The full Cox model with explicit ecotype × cohort_group interaction terms was compared against the additive main-effects model by likelihood-ratio test (χ² = 5.22, df = 6, </w:t>
      </w:r>
      <w:r>
        <w:rPr>
          <w:b/>
          <w:bCs/>
          <w:sz w:val="20"/>
          <w:szCs w:val="20"/>
        </w:rPr>
        <w:t>P = 0.515</w:t>
      </w:r>
      <w:r>
        <w:rPr>
          <w:sz w:val="20"/>
          <w:szCs w:val="20"/>
        </w:rPr>
        <w:t xml:space="preserve">) — the interaction is not significant at α = 0.05, supporting an additive rather than subtype-specific interpretation of the ecotype effect. Within-cohort estimates: </w:t>
      </w:r>
      <w:r>
        <w:rPr>
          <w:b/>
          <w:bCs/>
          <w:sz w:val="20"/>
          <w:szCs w:val="20"/>
        </w:rPr>
        <w:t>pHGG_WT n = 82, ev = 56, HR = 2.22 (95% CI 1.11–4.43, P = 0.024)</w:t>
      </w:r>
      <w:r>
        <w:rPr>
          <w:sz w:val="20"/>
          <w:szCs w:val="20"/>
        </w:rPr>
        <w:t>; DMG_K27 n = 140, ev = 134, HR = 1.59 (0.97–2.63, P = 0.068) — masked by uniformly poor prognosis of K27-altered tumors; DHG_G34 (n = 15, ev = 13) and IHG (n = 14, ev = 5) are directionally consistent but under-powered.</w:t>
      </w:r>
    </w:p>
    <w:p w14:paraId="65835289" w14:textId="77777777" w:rsidR="00E25284" w:rsidRDefault="00E25284">
      <w:pPr>
        <w:pBdr>
          <w:bottom w:val="single" w:sz="6" w:space="2" w:color="BFBFBF"/>
        </w:pBdr>
        <w:spacing w:before="40" w:after="100"/>
      </w:pPr>
    </w:p>
    <w:p w14:paraId="26CA64A0" w14:textId="77777777" w:rsidR="00FD09B8" w:rsidRDefault="00FD09B8">
      <w:pPr>
        <w:rPr>
          <w:b/>
          <w:bCs/>
          <w:color w:val="1B3050"/>
          <w:sz w:val="30"/>
          <w:szCs w:val="30"/>
        </w:rPr>
      </w:pPr>
      <w:r>
        <w:br w:type="page"/>
      </w:r>
    </w:p>
    <w:p w14:paraId="7A0234BF" w14:textId="113E86E9" w:rsidR="00E25284" w:rsidRDefault="000D46E6">
      <w:pPr>
        <w:pStyle w:val="Heading1"/>
        <w:pBdr>
          <w:bottom w:val="single" w:sz="12" w:space="4" w:color="2C7BB6"/>
        </w:pBdr>
      </w:pPr>
      <w:r>
        <w:lastRenderedPageBreak/>
        <w:t>Figure 4  |  IPW sensitivity for differential OS missingness (Reviewer D)</w:t>
      </w:r>
    </w:p>
    <w:p w14:paraId="6A0CA7CE" w14:textId="415F3E46" w:rsidR="001E12DF" w:rsidRDefault="001E12DF" w:rsidP="001E12DF">
      <w:pPr>
        <w:pStyle w:val="NormalWeb"/>
      </w:pPr>
      <w:r>
        <w:rPr>
          <w:noProof/>
        </w:rPr>
        <w:drawing>
          <wp:inline distT="0" distB="0" distL="0" distR="0" wp14:anchorId="270E96B5" wp14:editId="5E24729A">
            <wp:extent cx="2959331" cy="209980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158" cy="21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A2C">
        <w:rPr>
          <w:noProof/>
        </w:rPr>
        <w:drawing>
          <wp:inline distT="0" distB="0" distL="0" distR="0" wp14:anchorId="1B1B9953" wp14:editId="5ACA1A16">
            <wp:extent cx="3126232" cy="2219498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714" cy="222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C71F9" w14:textId="594CE124" w:rsidR="001E12DF" w:rsidRDefault="001E12DF" w:rsidP="001E12DF">
      <w:pPr>
        <w:pStyle w:val="NormalWeb"/>
      </w:pPr>
      <w:r>
        <w:rPr>
          <w:noProof/>
        </w:rPr>
        <w:drawing>
          <wp:inline distT="0" distB="0" distL="0" distR="0" wp14:anchorId="6C769A5A" wp14:editId="200ACC50">
            <wp:extent cx="6248400" cy="35058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50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E8191" w14:textId="6C8F54F2" w:rsidR="00E25284" w:rsidRDefault="00E25284">
      <w:pPr>
        <w:spacing w:before="120" w:after="60"/>
        <w:jc w:val="center"/>
      </w:pPr>
    </w:p>
    <w:p w14:paraId="25CC5014" w14:textId="39D00C11" w:rsidR="00E25284" w:rsidRDefault="000D46E6" w:rsidP="00BA4E17">
      <w:pPr>
        <w:spacing w:after="240"/>
      </w:pPr>
      <w:r>
        <w:rPr>
          <w:b/>
          <w:bCs/>
          <w:sz w:val="20"/>
          <w:szCs w:val="20"/>
        </w:rPr>
        <w:t>Figure 4. The Immune-desert HR is robust to plausible missing-not-at-random mechanisms.</w:t>
      </w:r>
      <w:r>
        <w:rPr>
          <w:sz w:val="20"/>
          <w:szCs w:val="20"/>
        </w:rPr>
        <w:t xml:space="preserve">  (A) OS-data missingness by cohort group (overall 28.1%; DHG_G34 51.6% &gt; pHGG_WT 34.4% &gt; IHG 22.2% &gt; DMG_K27 20.0%). (B) Stabilised inverse-probability-of-observation weight distribution after trimming at the 1st/99th percentile (mean 1.16, range 0.76–6.22). The propensity model is a logistic regression of the OS-observed indicator on ecotype, cohort_group, age, sex, and location_class (L2-regularised, C = 1.0). (C) Forest plot of the Immune-desert HR across five weighting schemes. Naïve HR = 1.79 (1.21–2.66, P = 0.004); </w:t>
      </w:r>
      <w:r>
        <w:rPr>
          <w:b/>
          <w:bCs/>
          <w:sz w:val="20"/>
          <w:szCs w:val="20"/>
        </w:rPr>
        <w:t>stabilised IPW HR = 1.88 (1.22–2.90, P = 0.004)</w:t>
      </w:r>
      <w:r>
        <w:rPr>
          <w:sz w:val="20"/>
          <w:szCs w:val="20"/>
        </w:rPr>
        <w:t>. Alternative schemes (untrimmed, truncated at 2.5–97.5%, cohort-only propensity) recover HR = 1.79–1.88 with all P &lt; 0.01. The log-HR shift under IPW is 0.048, well within the naïve 95% CI half-width, and the direction and significance are preserved.</w:t>
      </w:r>
    </w:p>
    <w:p w14:paraId="2A28C704" w14:textId="77777777" w:rsidR="00E25284" w:rsidRDefault="000D46E6">
      <w:pPr>
        <w:pStyle w:val="Heading1"/>
        <w:pBdr>
          <w:bottom w:val="single" w:sz="12" w:space="4" w:color="2C7BB6"/>
        </w:pBdr>
      </w:pPr>
      <w:r>
        <w:lastRenderedPageBreak/>
        <w:t>Figure 5  |  IPW covariate balance (Love plot)</w:t>
      </w:r>
    </w:p>
    <w:p w14:paraId="0DFE7D4B" w14:textId="52DFC466" w:rsidR="001E12DF" w:rsidRDefault="001E12DF" w:rsidP="001E12DF">
      <w:pPr>
        <w:pStyle w:val="NormalWeb"/>
      </w:pPr>
      <w:r>
        <w:rPr>
          <w:noProof/>
        </w:rPr>
        <w:drawing>
          <wp:inline distT="0" distB="0" distL="0" distR="0" wp14:anchorId="6BB4B130" wp14:editId="6CB76663">
            <wp:extent cx="6248400" cy="29241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79D52" w14:textId="77161F01" w:rsidR="00E25284" w:rsidRDefault="00E25284">
      <w:pPr>
        <w:spacing w:before="120" w:after="60"/>
        <w:jc w:val="center"/>
      </w:pPr>
    </w:p>
    <w:p w14:paraId="170B4DD3" w14:textId="77777777" w:rsidR="00E25284" w:rsidRDefault="000D46E6">
      <w:pPr>
        <w:spacing w:after="240"/>
      </w:pPr>
      <w:r>
        <w:rPr>
          <w:b/>
          <w:bCs/>
          <w:sz w:val="20"/>
          <w:szCs w:val="20"/>
        </w:rPr>
        <w:t>Figure 5. IPW weighting improves covariate balance between the OS-observed and OS-missing groups.</w:t>
      </w:r>
      <w:r>
        <w:rPr>
          <w:sz w:val="20"/>
          <w:szCs w:val="20"/>
        </w:rPr>
        <w:t xml:space="preserve">  Love plot showing the standardised mean difference (SMD) between the OS-observed and OS-missing subsets for each covariate before weighting (red) and after stabilised IPW weighting (blue). Dashed lines at |SMD| = 0.1 mark the conventional balance threshold. 6 of 11 covariates exceed |SMD| = 0.1 before weighting; only 4 of 11 exceed the threshold after IPW, and the maximum |SMD| drops from 0.35 to 0.22. Together with Figure 4C, this establishes that IPW is achieving its intended purpose of balancing observed and missing groups on the propensity-model covariates while producing a Cox HR that is essentially unchanged from the naïve estimate — the strongest available evidence that the HR = 1.79 for Immune-desert is not driven by differential missingness in DHG_G34.</w:t>
      </w:r>
    </w:p>
    <w:p w14:paraId="27B55505" w14:textId="77777777" w:rsidR="00E25284" w:rsidRDefault="00E25284">
      <w:pPr>
        <w:pBdr>
          <w:bottom w:val="single" w:sz="6" w:space="2" w:color="BFBFBF"/>
        </w:pBdr>
        <w:spacing w:before="40" w:after="100"/>
      </w:pPr>
    </w:p>
    <w:p w14:paraId="1CBD7360" w14:textId="77777777" w:rsidR="00FD09B8" w:rsidRDefault="00FD09B8">
      <w:pPr>
        <w:rPr>
          <w:b/>
          <w:bCs/>
          <w:color w:val="1B3050"/>
          <w:sz w:val="30"/>
          <w:szCs w:val="30"/>
        </w:rPr>
      </w:pPr>
      <w:r>
        <w:br w:type="page"/>
      </w:r>
    </w:p>
    <w:p w14:paraId="728B7196" w14:textId="03895E5D" w:rsidR="00E25284" w:rsidRDefault="000D46E6">
      <w:pPr>
        <w:pStyle w:val="Heading1"/>
        <w:pBdr>
          <w:bottom w:val="single" w:sz="12" w:space="4" w:color="2C7BB6"/>
        </w:pBdr>
      </w:pPr>
      <w:r>
        <w:lastRenderedPageBreak/>
        <w:t xml:space="preserve">IDH1 / IDH2 audit </w:t>
      </w:r>
    </w:p>
    <w:p w14:paraId="6A918059" w14:textId="77777777" w:rsidR="00E25284" w:rsidRDefault="000D46E6">
      <w:pPr>
        <w:spacing w:after="100"/>
      </w:pPr>
      <w:r>
        <w:rPr>
          <w:b/>
          <w:bCs/>
        </w:rPr>
        <w:t xml:space="preserve">Bottom line. </w:t>
      </w:r>
      <w:r>
        <w:t xml:space="preserve">The 349-sample primary analysis cohort contains </w:t>
      </w:r>
      <w:r>
        <w:rPr>
          <w:b/>
          <w:bCs/>
        </w:rPr>
        <w:t>zero confirmed IDH-mutant cases</w:t>
      </w:r>
      <w:r>
        <w:t>.</w:t>
      </w:r>
    </w:p>
    <w:p w14:paraId="6AF5D615" w14:textId="77777777" w:rsidR="00E25284" w:rsidRDefault="000D46E6">
      <w:pPr>
        <w:pStyle w:val="Heading2"/>
      </w:pPr>
      <w:r>
        <w:t>Audit table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3300"/>
        <w:gridCol w:w="1800"/>
      </w:tblGrid>
      <w:tr w:rsidR="00E25284" w14:paraId="22376747" w14:textId="77777777">
        <w:trPr>
          <w:tblHeader/>
        </w:trPr>
        <w:tc>
          <w:tcPr>
            <w:tcW w:w="4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22D837" w14:textId="77777777" w:rsidR="00E25284" w:rsidRDefault="000D46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Annotation column</w:t>
            </w:r>
          </w:p>
        </w:tc>
        <w:tc>
          <w:tcPr>
            <w:tcW w:w="3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CDA818" w14:textId="77777777" w:rsidR="00E25284" w:rsidRDefault="000D46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IDH-token hits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B69323" w14:textId="77777777" w:rsidR="00E25284" w:rsidRDefault="000D46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Confirmed IDH-mutant</w:t>
            </w:r>
          </w:p>
        </w:tc>
      </w:tr>
      <w:tr w:rsidR="00E25284" w14:paraId="09250014" w14:textId="77777777">
        <w:tc>
          <w:tcPr>
            <w:tcW w:w="4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81E629" w14:textId="77777777" w:rsidR="00E25284" w:rsidRDefault="000D46E6">
            <w:r>
              <w:rPr>
                <w:color w:val="000000"/>
                <w:sz w:val="20"/>
                <w:szCs w:val="20"/>
              </w:rPr>
              <w:t>molecular_subtype</w:t>
            </w:r>
          </w:p>
        </w:tc>
        <w:tc>
          <w:tcPr>
            <w:tcW w:w="3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6784CB" w14:textId="77777777" w:rsidR="00E25284" w:rsidRDefault="000D46E6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5E27AD" w14:textId="77777777" w:rsidR="00E25284" w:rsidRDefault="000D46E6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25284" w14:paraId="7EAF062C" w14:textId="77777777">
        <w:tc>
          <w:tcPr>
            <w:tcW w:w="4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80A5DA" w14:textId="77777777" w:rsidR="00E25284" w:rsidRDefault="000D46E6">
            <w:r>
              <w:rPr>
                <w:color w:val="000000"/>
                <w:sz w:val="20"/>
                <w:szCs w:val="20"/>
              </w:rPr>
              <w:t>molecular_subtype_methyl</w:t>
            </w:r>
          </w:p>
        </w:tc>
        <w:tc>
          <w:tcPr>
            <w:tcW w:w="3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678AF1" w14:textId="77777777" w:rsidR="00E25284" w:rsidRDefault="000D46E6">
            <w:pPr>
              <w:jc w:val="center"/>
            </w:pPr>
            <w:r>
              <w:rPr>
                <w:color w:val="000000"/>
                <w:sz w:val="20"/>
                <w:szCs w:val="20"/>
              </w:rPr>
              <w:t>1 (methyl-classifier discordance, see below)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4A0503" w14:textId="77777777" w:rsidR="00E25284" w:rsidRDefault="000D46E6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25284" w14:paraId="403239EC" w14:textId="77777777">
        <w:tc>
          <w:tcPr>
            <w:tcW w:w="4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8CCE22" w14:textId="77777777" w:rsidR="00E25284" w:rsidRDefault="000D46E6">
            <w:r>
              <w:rPr>
                <w:color w:val="000000"/>
                <w:sz w:val="20"/>
                <w:szCs w:val="20"/>
              </w:rPr>
              <w:t>integrated_diagnosis</w:t>
            </w:r>
          </w:p>
        </w:tc>
        <w:tc>
          <w:tcPr>
            <w:tcW w:w="3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CCA37B" w14:textId="77777777" w:rsidR="00E25284" w:rsidRDefault="000D46E6">
            <w:pPr>
              <w:jc w:val="center"/>
            </w:pPr>
            <w:r>
              <w:rPr>
                <w:color w:val="000000"/>
                <w:sz w:val="20"/>
                <w:szCs w:val="20"/>
              </w:rPr>
              <w:t>129 (all 'IDH-wildtype')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A850D7" w14:textId="77777777" w:rsidR="00E25284" w:rsidRDefault="000D46E6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25284" w14:paraId="65379958" w14:textId="77777777">
        <w:tc>
          <w:tcPr>
            <w:tcW w:w="4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E4E933" w14:textId="77777777" w:rsidR="00E25284" w:rsidRDefault="000D46E6">
            <w:r>
              <w:rPr>
                <w:color w:val="000000"/>
                <w:sz w:val="20"/>
                <w:szCs w:val="20"/>
              </w:rPr>
              <w:t>pathology_free_text_diagnosis</w:t>
            </w:r>
          </w:p>
        </w:tc>
        <w:tc>
          <w:tcPr>
            <w:tcW w:w="3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D33AE5" w14:textId="77777777" w:rsidR="00E25284" w:rsidRDefault="000D46E6">
            <w:pPr>
              <w:jc w:val="center"/>
            </w:pPr>
            <w:r>
              <w:rPr>
                <w:color w:val="000000"/>
                <w:sz w:val="20"/>
                <w:szCs w:val="20"/>
              </w:rPr>
              <w:t>15 (all 'IDH-wt' / 'IDH-1 negative' / 'idh1 r132h-wild')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873637" w14:textId="77777777" w:rsidR="00E25284" w:rsidRDefault="000D46E6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25284" w14:paraId="29778CED" w14:textId="77777777">
        <w:tc>
          <w:tcPr>
            <w:tcW w:w="4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02BC1B" w14:textId="77777777" w:rsidR="00E25284" w:rsidRDefault="000D46E6">
            <w:r>
              <w:rPr>
                <w:color w:val="000000"/>
                <w:sz w:val="20"/>
                <w:szCs w:val="20"/>
              </w:rPr>
              <w:t>pathology_diagnosis / broad_histology / cancer_group</w:t>
            </w:r>
          </w:p>
        </w:tc>
        <w:tc>
          <w:tcPr>
            <w:tcW w:w="3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F72A4F" w14:textId="77777777" w:rsidR="00E25284" w:rsidRDefault="000D46E6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1ECBA7" w14:textId="77777777" w:rsidR="00E25284" w:rsidRDefault="000D46E6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</w:tbl>
    <w:p w14:paraId="6A663B78" w14:textId="77777777" w:rsidR="00E25284" w:rsidRDefault="000D46E6">
      <w:pPr>
        <w:pStyle w:val="Heading2"/>
      </w:pPr>
      <w:r>
        <w:t>BS_V0DQFC75 — methylation-classifier discordance</w:t>
      </w:r>
    </w:p>
    <w:p w14:paraId="6F046B35" w14:textId="77777777" w:rsidR="00E25284" w:rsidRDefault="000D46E6">
      <w:pPr>
        <w:spacing w:after="100"/>
      </w:pPr>
      <w:r>
        <w:t>The only methylation-classifier flag (molecular_subtype_methyl = 'HGG, IDH') is discordant with the curated molecular_subtype (DMG, H3 K28, TP53), integrated_diagnosis (Diffuse midline glioma, H3 K28-altered), and pathology_free_text_diagnosis ('dmg, h3k27m mutant, who gr iv'). This sample was retained in the DMG_K27 subgroup per the curated call, with the methylation discordance disclosed in the revised Methods §2.1 and archived in Supplementary Table S_IDH_audit (output/phase1_IDH_audit/IDH_audit_per_sample.tsv). K27M DMG is known to share DNA-methylation signatures with certain IDH-mutant HGG subgroups, making this a recognised artefact of the methylation classifier rather than evidence of adult-type IDH-mutant contamination.</w:t>
      </w:r>
    </w:p>
    <w:p w14:paraId="1791B51C" w14:textId="77777777" w:rsidR="00E25284" w:rsidRDefault="000D46E6">
      <w:r>
        <w:br w:type="page"/>
      </w:r>
    </w:p>
    <w:p w14:paraId="4BDDB987" w14:textId="628CFB1A" w:rsidR="00E25284" w:rsidRDefault="000D46E6">
      <w:pPr>
        <w:pStyle w:val="Heading1"/>
        <w:pBdr>
          <w:bottom w:val="single" w:sz="12" w:space="4" w:color="2C7BB6"/>
        </w:pBdr>
      </w:pPr>
      <w:r>
        <w:lastRenderedPageBreak/>
        <w:t xml:space="preserve">Figure 6  |  Ecotype distribution by molecular subgroup and anatomical location </w:t>
      </w:r>
    </w:p>
    <w:p w14:paraId="14235F64" w14:textId="77777777" w:rsidR="00E25284" w:rsidRDefault="000D46E6">
      <w:pPr>
        <w:spacing w:before="120" w:after="60"/>
        <w:jc w:val="center"/>
      </w:pPr>
      <w:r>
        <w:rPr>
          <w:noProof/>
        </w:rPr>
        <w:drawing>
          <wp:inline distT="0" distB="0" distL="0" distR="0" wp14:anchorId="170DD0DE" wp14:editId="33299530">
            <wp:extent cx="6282344" cy="2828925"/>
            <wp:effectExtent l="0" t="0" r="4445" b="0"/>
            <wp:docPr id="6" name="figure" descr="Ecotype membership is jointly patterned by molecular subgroup and anatomical location; midline tumors are Inflamed-enriched and hemispheric tumors are Immune-desert-enriched.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431" cy="283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2FA9" w14:textId="77777777" w:rsidR="00E25284" w:rsidRDefault="000D46E6">
      <w:pPr>
        <w:spacing w:after="240"/>
      </w:pPr>
      <w:r>
        <w:rPr>
          <w:b/>
          <w:bCs/>
          <w:sz w:val="20"/>
          <w:szCs w:val="20"/>
        </w:rPr>
        <w:t>Figure 6. Ecotype membership is jointly patterned by molecular subgroup and anatomical location; midline tumors are Inflamed-enriched and hemispheric tumors are Immune-desert-enriched.</w:t>
      </w:r>
      <w:r>
        <w:rPr>
          <w:sz w:val="20"/>
          <w:szCs w:val="20"/>
        </w:rPr>
        <w:t xml:space="preserve">  (A) Stacked bar of ecotype composition across the four molecular subgroups (DMG_K27 = 175, DHG_G34 = 31, pHGG_WT = 125, IHG = 18); Fisher's exact test P = 1.3 × 10⁻³, χ² = 21.5. DHG_G34 is predominantly Immune-desert (52%), DMG_K27 is Inflamed-heavy (37%), IHG is Intermediate-heavy (44%). (B) Stacked bar of ecotype composition across the four anatomical location classes (Midline = 140, Hemispheric = 104, Posterior fossa = 14, Ambiguous/Other = 91); overall 4 × 3 χ² = 22.0, P = 3.3 × 10⁻⁴. Focused Midline vs Hemispheric contrast (Ambiguous/Other and Posterior fossa excluded): </w:t>
      </w:r>
      <w:r>
        <w:rPr>
          <w:b/>
          <w:bCs/>
          <w:sz w:val="20"/>
          <w:szCs w:val="20"/>
        </w:rPr>
        <w:t>χ² = 11.5, P = 3.2 × 10⁻³</w:t>
      </w:r>
      <w:r>
        <w:rPr>
          <w:sz w:val="20"/>
          <w:szCs w:val="20"/>
        </w:rPr>
        <w:t>; per-ecotype Fisher tests give Inflamed OR = 2.12 for midline (P = 0.010) and Immune-desert OR = 0.38 for midline (P = 0.002) — the opposite of the adult-glioma pattern in which hemispheric tumors typically show higher lymphocyte infiltration. Bars are annotated with per-cell n and row-normalised percentage. Rendered from sample_master_annotation.xlsx.</w:t>
      </w:r>
    </w:p>
    <w:p w14:paraId="5DA41FF0" w14:textId="77777777" w:rsidR="00E25284" w:rsidRDefault="00E25284">
      <w:pPr>
        <w:pBdr>
          <w:bottom w:val="single" w:sz="6" w:space="2" w:color="BFBFBF"/>
        </w:pBdr>
        <w:spacing w:before="40" w:after="100"/>
      </w:pPr>
    </w:p>
    <w:p w14:paraId="0DBEA81B" w14:textId="782761E4" w:rsidR="009E4075" w:rsidRDefault="000D46E6" w:rsidP="009E4075">
      <w:pPr>
        <w:pStyle w:val="Heading2"/>
      </w:pPr>
      <w:r>
        <w:br w:type="page"/>
      </w:r>
      <w:r w:rsidR="009E4075">
        <w:lastRenderedPageBreak/>
        <w:t>A. Anatomical location x ecotype crosstab (4 x 3)</w:t>
      </w:r>
    </w:p>
    <w:tbl>
      <w:tblPr>
        <w:tblW w:w="9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1948"/>
        <w:gridCol w:w="1948"/>
        <w:gridCol w:w="2313"/>
        <w:gridCol w:w="1217"/>
      </w:tblGrid>
      <w:tr w:rsidR="009E4075" w14:paraId="2B05E3B3" w14:textId="77777777" w:rsidTr="001730E9">
        <w:trPr>
          <w:trHeight w:val="228"/>
          <w:tblHeader/>
        </w:trPr>
        <w:tc>
          <w:tcPr>
            <w:tcW w:w="23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43CE67" w14:textId="77777777" w:rsidR="009E4075" w:rsidRDefault="009E4075" w:rsidP="001730E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1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5220E8" w14:textId="77777777" w:rsidR="009E4075" w:rsidRDefault="009E4075" w:rsidP="001730E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Inflamed</w:t>
            </w:r>
          </w:p>
        </w:tc>
        <w:tc>
          <w:tcPr>
            <w:tcW w:w="1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C535CE" w14:textId="77777777" w:rsidR="009E4075" w:rsidRDefault="009E4075" w:rsidP="001730E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Intermediate</w:t>
            </w:r>
          </w:p>
        </w:tc>
        <w:tc>
          <w:tcPr>
            <w:tcW w:w="23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ADEB4A" w14:textId="77777777" w:rsidR="009E4075" w:rsidRDefault="009E4075" w:rsidP="001730E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Immune-desert</w:t>
            </w:r>
          </w:p>
        </w:tc>
        <w:tc>
          <w:tcPr>
            <w:tcW w:w="1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284C5A" w14:textId="77777777" w:rsidR="009E4075" w:rsidRDefault="009E4075" w:rsidP="001730E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9E4075" w14:paraId="2F97690B" w14:textId="77777777" w:rsidTr="001730E9">
        <w:trPr>
          <w:trHeight w:val="242"/>
        </w:trPr>
        <w:tc>
          <w:tcPr>
            <w:tcW w:w="23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FD1D0D" w14:textId="77777777" w:rsidR="009E4075" w:rsidRDefault="009E4075" w:rsidP="001730E9">
            <w:r>
              <w:rPr>
                <w:b/>
                <w:bCs/>
                <w:color w:val="000000"/>
                <w:sz w:val="20"/>
                <w:szCs w:val="20"/>
              </w:rPr>
              <w:t>Midline</w:t>
            </w:r>
          </w:p>
        </w:tc>
        <w:tc>
          <w:tcPr>
            <w:tcW w:w="1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503916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58 (41.4%)</w:t>
            </w:r>
          </w:p>
        </w:tc>
        <w:tc>
          <w:tcPr>
            <w:tcW w:w="1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AAF822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60 (42.9%)</w:t>
            </w:r>
          </w:p>
        </w:tc>
        <w:tc>
          <w:tcPr>
            <w:tcW w:w="23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FDDC7B" w14:textId="77777777" w:rsidR="009E4075" w:rsidRDefault="009E4075" w:rsidP="001730E9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22 (15.7%)</w:t>
            </w:r>
          </w:p>
        </w:tc>
        <w:tc>
          <w:tcPr>
            <w:tcW w:w="1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005A5D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140</w:t>
            </w:r>
          </w:p>
        </w:tc>
      </w:tr>
      <w:tr w:rsidR="009E4075" w14:paraId="6415F490" w14:textId="77777777" w:rsidTr="001730E9">
        <w:trPr>
          <w:trHeight w:val="228"/>
        </w:trPr>
        <w:tc>
          <w:tcPr>
            <w:tcW w:w="23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A59ADE" w14:textId="77777777" w:rsidR="009E4075" w:rsidRDefault="009E4075" w:rsidP="001730E9">
            <w:r>
              <w:rPr>
                <w:b/>
                <w:bCs/>
                <w:color w:val="000000"/>
                <w:sz w:val="20"/>
                <w:szCs w:val="20"/>
              </w:rPr>
              <w:t>Hemispheric</w:t>
            </w:r>
          </w:p>
        </w:tc>
        <w:tc>
          <w:tcPr>
            <w:tcW w:w="1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33289E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26 (25.0%)</w:t>
            </w:r>
          </w:p>
        </w:tc>
        <w:tc>
          <w:tcPr>
            <w:tcW w:w="1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A9F370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44 (42.3%)</w:t>
            </w:r>
          </w:p>
        </w:tc>
        <w:tc>
          <w:tcPr>
            <w:tcW w:w="23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ECF8D0" w14:textId="77777777" w:rsidR="009E4075" w:rsidRDefault="009E4075" w:rsidP="001730E9">
            <w:pPr>
              <w:jc w:val="center"/>
            </w:pPr>
            <w:r>
              <w:rPr>
                <w:b/>
                <w:bCs/>
                <w:color w:val="8B0000"/>
                <w:sz w:val="20"/>
                <w:szCs w:val="20"/>
              </w:rPr>
              <w:t>34 (32.7%)</w:t>
            </w:r>
          </w:p>
        </w:tc>
        <w:tc>
          <w:tcPr>
            <w:tcW w:w="1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121755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104</w:t>
            </w:r>
          </w:p>
        </w:tc>
      </w:tr>
      <w:tr w:rsidR="009E4075" w14:paraId="1C967D04" w14:textId="77777777" w:rsidTr="001730E9">
        <w:trPr>
          <w:trHeight w:val="242"/>
        </w:trPr>
        <w:tc>
          <w:tcPr>
            <w:tcW w:w="23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542C9A" w14:textId="77777777" w:rsidR="009E4075" w:rsidRDefault="009E4075" w:rsidP="001730E9">
            <w:r>
              <w:rPr>
                <w:color w:val="000000"/>
                <w:sz w:val="20"/>
                <w:szCs w:val="20"/>
              </w:rPr>
              <w:t>Posterior fossa</w:t>
            </w:r>
          </w:p>
        </w:tc>
        <w:tc>
          <w:tcPr>
            <w:tcW w:w="1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3FE62F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5 (35.7%)</w:t>
            </w:r>
          </w:p>
        </w:tc>
        <w:tc>
          <w:tcPr>
            <w:tcW w:w="1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6E9BE6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6 (42.9%)</w:t>
            </w:r>
          </w:p>
        </w:tc>
        <w:tc>
          <w:tcPr>
            <w:tcW w:w="23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5FA616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3 (21.4%)</w:t>
            </w:r>
          </w:p>
        </w:tc>
        <w:tc>
          <w:tcPr>
            <w:tcW w:w="1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738A88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</w:tr>
      <w:tr w:rsidR="009E4075" w14:paraId="225E94E4" w14:textId="77777777" w:rsidTr="001730E9">
        <w:trPr>
          <w:trHeight w:val="228"/>
        </w:trPr>
        <w:tc>
          <w:tcPr>
            <w:tcW w:w="23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46D4B9" w14:textId="77777777" w:rsidR="009E4075" w:rsidRDefault="009E4075" w:rsidP="001730E9">
            <w:r>
              <w:rPr>
                <w:color w:val="000000"/>
                <w:sz w:val="20"/>
                <w:szCs w:val="20"/>
              </w:rPr>
              <w:t>Ambiguous/Other</w:t>
            </w:r>
          </w:p>
        </w:tc>
        <w:tc>
          <w:tcPr>
            <w:tcW w:w="1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5BA7FB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24 (26.4%)</w:t>
            </w:r>
          </w:p>
        </w:tc>
        <w:tc>
          <w:tcPr>
            <w:tcW w:w="1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481BCE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47 (51.6%)</w:t>
            </w:r>
          </w:p>
        </w:tc>
        <w:tc>
          <w:tcPr>
            <w:tcW w:w="23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5F7C96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(22.0%)</w:t>
            </w:r>
          </w:p>
        </w:tc>
        <w:tc>
          <w:tcPr>
            <w:tcW w:w="1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3B5CAA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91</w:t>
            </w:r>
          </w:p>
        </w:tc>
      </w:tr>
      <w:tr w:rsidR="009E4075" w14:paraId="6D093625" w14:textId="77777777" w:rsidTr="001730E9">
        <w:trPr>
          <w:trHeight w:val="242"/>
        </w:trPr>
        <w:tc>
          <w:tcPr>
            <w:tcW w:w="23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82ABF9" w14:textId="77777777" w:rsidR="009E4075" w:rsidRDefault="009E4075" w:rsidP="001730E9">
            <w:r>
              <w:rPr>
                <w:b/>
                <w:bCs/>
                <w:color w:val="000000"/>
                <w:sz w:val="20"/>
                <w:szCs w:val="20"/>
              </w:rPr>
              <w:t>Column totals</w:t>
            </w:r>
          </w:p>
        </w:tc>
        <w:tc>
          <w:tcPr>
            <w:tcW w:w="1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0C2B54" w14:textId="77777777" w:rsidR="009E4075" w:rsidRDefault="009E4075" w:rsidP="001730E9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113</w:t>
            </w:r>
          </w:p>
        </w:tc>
        <w:tc>
          <w:tcPr>
            <w:tcW w:w="1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E6EE03" w14:textId="77777777" w:rsidR="009E4075" w:rsidRDefault="009E4075" w:rsidP="001730E9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157</w:t>
            </w:r>
          </w:p>
        </w:tc>
        <w:tc>
          <w:tcPr>
            <w:tcW w:w="23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45C148" w14:textId="77777777" w:rsidR="009E4075" w:rsidRDefault="009E4075" w:rsidP="001730E9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79</w:t>
            </w:r>
          </w:p>
        </w:tc>
        <w:tc>
          <w:tcPr>
            <w:tcW w:w="1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14B8FB" w14:textId="77777777" w:rsidR="009E4075" w:rsidRDefault="009E4075" w:rsidP="001730E9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349</w:t>
            </w:r>
          </w:p>
        </w:tc>
      </w:tr>
    </w:tbl>
    <w:p w14:paraId="156F15CA" w14:textId="77777777" w:rsidR="009E4075" w:rsidRDefault="009E4075" w:rsidP="009E4075">
      <w:pPr>
        <w:spacing w:after="100"/>
      </w:pPr>
      <w:r>
        <w:rPr>
          <w:b/>
          <w:bCs/>
        </w:rPr>
        <w:t xml:space="preserve">Overall 4 x 3 chi-square test: </w:t>
      </w:r>
      <w:r>
        <w:t>chi-square = 22.0, P = 3.3 x 10^-4  -&gt;  ecotype distribution is strongly location-dependent at cohort scale.</w:t>
      </w:r>
    </w:p>
    <w:p w14:paraId="61A3B308" w14:textId="19E36F3A" w:rsidR="009E4075" w:rsidRDefault="009E4075" w:rsidP="009E4075">
      <w:pPr>
        <w:pStyle w:val="Heading2"/>
      </w:pPr>
      <w:r>
        <w:t>B. Focused Midline vs Hemispheric</w:t>
      </w:r>
    </w:p>
    <w:p w14:paraId="60183323" w14:textId="77777777" w:rsidR="009E4075" w:rsidRDefault="009E4075" w:rsidP="009E4075">
      <w:pPr>
        <w:spacing w:after="100"/>
      </w:pPr>
      <w:r>
        <w:t>Excluding Ambiguous/Other and Posterior fossa strata to test the clinically dominant midline / hemispheric contrast.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100"/>
        <w:gridCol w:w="900"/>
        <w:gridCol w:w="1000"/>
      </w:tblGrid>
      <w:tr w:rsidR="009E4075" w14:paraId="0ADC1EEA" w14:textId="77777777" w:rsidTr="001730E9">
        <w:trPr>
          <w:tblHeader/>
        </w:trPr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6EC1E0" w14:textId="77777777" w:rsidR="009E4075" w:rsidRDefault="009E4075" w:rsidP="001730E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Ecotype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106108" w14:textId="77777777" w:rsidR="009E4075" w:rsidRDefault="009E4075" w:rsidP="001730E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Midline n (%)</w:t>
            </w:r>
          </w:p>
        </w:tc>
        <w:tc>
          <w:tcPr>
            <w:tcW w:w="2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671B4B" w14:textId="77777777" w:rsidR="009E4075" w:rsidRDefault="009E4075" w:rsidP="001730E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Hemispheric n (%)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8EC63E" w14:textId="77777777" w:rsidR="009E4075" w:rsidRDefault="009E4075" w:rsidP="001730E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5819A1" w14:textId="77777777" w:rsidR="009E4075" w:rsidRDefault="009E4075" w:rsidP="001730E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</w:tr>
      <w:tr w:rsidR="009E4075" w14:paraId="396466AB" w14:textId="77777777" w:rsidTr="001730E9"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9AC05D" w14:textId="77777777" w:rsidR="009E4075" w:rsidRDefault="009E4075" w:rsidP="001730E9">
            <w:r>
              <w:rPr>
                <w:b/>
                <w:bCs/>
                <w:color w:val="000000"/>
                <w:sz w:val="20"/>
                <w:szCs w:val="20"/>
              </w:rPr>
              <w:t>Inflamed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D282F6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58 / 140 (41.4%)</w:t>
            </w:r>
          </w:p>
        </w:tc>
        <w:tc>
          <w:tcPr>
            <w:tcW w:w="2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F6BC4F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26 / 104 (25.0%)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A2EB3B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2.12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27152F" w14:textId="77777777" w:rsidR="009E4075" w:rsidRDefault="009E4075" w:rsidP="001730E9">
            <w:pPr>
              <w:jc w:val="center"/>
            </w:pPr>
            <w:r>
              <w:rPr>
                <w:b/>
                <w:bCs/>
                <w:color w:val="0B7A0B"/>
                <w:sz w:val="20"/>
                <w:szCs w:val="20"/>
              </w:rPr>
              <w:t>0.010</w:t>
            </w:r>
          </w:p>
        </w:tc>
      </w:tr>
      <w:tr w:rsidR="009E4075" w14:paraId="6F808573" w14:textId="77777777" w:rsidTr="001730E9"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C3899B" w14:textId="77777777" w:rsidR="009E4075" w:rsidRDefault="009E4075" w:rsidP="001730E9">
            <w:r>
              <w:rPr>
                <w:color w:val="000000"/>
                <w:sz w:val="20"/>
                <w:szCs w:val="20"/>
              </w:rPr>
              <w:t>Intermediate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82F731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60 / 140 (42.9%)</w:t>
            </w:r>
          </w:p>
        </w:tc>
        <w:tc>
          <w:tcPr>
            <w:tcW w:w="2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52049D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44 / 104 (42.3%)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87F7F1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1.02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3FAA99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</w:tr>
      <w:tr w:rsidR="009E4075" w14:paraId="7F79431F" w14:textId="77777777" w:rsidTr="001730E9"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8C6CC3" w14:textId="77777777" w:rsidR="009E4075" w:rsidRDefault="009E4075" w:rsidP="001730E9">
            <w:r>
              <w:rPr>
                <w:b/>
                <w:bCs/>
                <w:color w:val="000000"/>
                <w:sz w:val="20"/>
                <w:szCs w:val="20"/>
              </w:rPr>
              <w:t>Immune-desert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35428B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22 / 140 (15.7%)</w:t>
            </w:r>
          </w:p>
        </w:tc>
        <w:tc>
          <w:tcPr>
            <w:tcW w:w="2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468FD6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34 / 104 (32.7%)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08C733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0.38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CEF426" w14:textId="77777777" w:rsidR="009E4075" w:rsidRDefault="009E4075" w:rsidP="001730E9">
            <w:pPr>
              <w:jc w:val="center"/>
            </w:pPr>
            <w:r>
              <w:rPr>
                <w:b/>
                <w:bCs/>
                <w:color w:val="0B7A0B"/>
                <w:sz w:val="20"/>
                <w:szCs w:val="20"/>
              </w:rPr>
              <w:t>0.002</w:t>
            </w:r>
          </w:p>
        </w:tc>
      </w:tr>
    </w:tbl>
    <w:p w14:paraId="6A10FCFC" w14:textId="77777777" w:rsidR="009E4075" w:rsidRDefault="009E4075" w:rsidP="009E4075">
      <w:pPr>
        <w:spacing w:after="100"/>
      </w:pPr>
      <w:r>
        <w:rPr>
          <w:b/>
          <w:bCs/>
        </w:rPr>
        <w:t xml:space="preserve">Aggregate midline vs hemispheric chi-square: </w:t>
      </w:r>
      <w:r>
        <w:t>chi-square = 11.5, df = 2, P = 3.2 x 10^-3.</w:t>
      </w:r>
    </w:p>
    <w:p w14:paraId="28C65226" w14:textId="77777777" w:rsidR="009E4075" w:rsidRDefault="009E4075" w:rsidP="009E4075">
      <w:pPr>
        <w:pStyle w:val="Heading3"/>
      </w:pPr>
      <w:r>
        <w:t>Interpretation</w:t>
      </w:r>
    </w:p>
    <w:p w14:paraId="5B4A4648" w14:textId="77777777" w:rsidR="009E4075" w:rsidRDefault="009E4075" w:rsidP="009E4075">
      <w:pPr>
        <w:pStyle w:val="ListParagraph"/>
        <w:numPr>
          <w:ilvl w:val="0"/>
          <w:numId w:val="2"/>
        </w:numPr>
        <w:spacing w:after="60"/>
      </w:pPr>
      <w:r>
        <w:t>Midline tumors are enriched for the Inflamed ecotype (OR = 2.12, P = 0.010).</w:t>
      </w:r>
    </w:p>
    <w:p w14:paraId="4B772720" w14:textId="77777777" w:rsidR="009E4075" w:rsidRDefault="009E4075" w:rsidP="009E4075">
      <w:pPr>
        <w:pStyle w:val="ListParagraph"/>
        <w:numPr>
          <w:ilvl w:val="0"/>
          <w:numId w:val="2"/>
        </w:numPr>
        <w:spacing w:after="60"/>
      </w:pPr>
      <w:r>
        <w:t>Hemispheric tumors are enriched for the Immune-desert ecotype (OR = 0.38 for midline having desert, P = 0.002).</w:t>
      </w:r>
    </w:p>
    <w:p w14:paraId="3524D0D7" w14:textId="77777777" w:rsidR="009E4075" w:rsidRDefault="009E4075" w:rsidP="009E4075">
      <w:pPr>
        <w:pStyle w:val="ListParagraph"/>
        <w:numPr>
          <w:ilvl w:val="0"/>
          <w:numId w:val="2"/>
        </w:numPr>
        <w:spacing w:after="60"/>
      </w:pPr>
      <w:r>
        <w:t>Intermediate ecotype distribution is location-independent (OR = 1.02, P = 1.00).</w:t>
      </w:r>
    </w:p>
    <w:p w14:paraId="606C9641" w14:textId="77777777" w:rsidR="009E4075" w:rsidRDefault="009E4075" w:rsidP="009E4075">
      <w:pPr>
        <w:pStyle w:val="ListParagraph"/>
        <w:numPr>
          <w:ilvl w:val="0"/>
          <w:numId w:val="2"/>
        </w:numPr>
        <w:spacing w:after="60"/>
      </w:pPr>
      <w:r>
        <w:t>Counter to adult-glioma intuition: pediatric midline tumors carry a hotter immune contexture than hemispheric.</w:t>
      </w:r>
    </w:p>
    <w:p w14:paraId="7C6A2734" w14:textId="40CD26C3" w:rsidR="00E25284" w:rsidRDefault="00E25284"/>
    <w:p w14:paraId="2D91B888" w14:textId="77777777" w:rsidR="00A448BB" w:rsidRDefault="00A448BB">
      <w:pPr>
        <w:rPr>
          <w:b/>
          <w:bCs/>
          <w:color w:val="1B3050"/>
          <w:sz w:val="30"/>
          <w:szCs w:val="30"/>
        </w:rPr>
      </w:pPr>
      <w:r>
        <w:br w:type="page"/>
      </w:r>
    </w:p>
    <w:p w14:paraId="0F6F011C" w14:textId="452EC03D" w:rsidR="00E25284" w:rsidRDefault="000D46E6">
      <w:pPr>
        <w:pStyle w:val="Heading1"/>
        <w:pBdr>
          <w:bottom w:val="single" w:sz="12" w:space="4" w:color="2C7BB6"/>
        </w:pBdr>
      </w:pPr>
      <w:r>
        <w:lastRenderedPageBreak/>
        <w:t>Figure 7  |  Location-stratified Kaplan-Meier by ecotype</w:t>
      </w:r>
    </w:p>
    <w:p w14:paraId="308A5588" w14:textId="77777777" w:rsidR="00E25284" w:rsidRDefault="000D46E6">
      <w:pPr>
        <w:spacing w:before="120" w:after="60"/>
        <w:jc w:val="center"/>
      </w:pPr>
      <w:r>
        <w:rPr>
          <w:noProof/>
        </w:rPr>
        <w:drawing>
          <wp:inline distT="0" distB="0" distL="0" distR="0" wp14:anchorId="4B83F3B5" wp14:editId="604ACCDE">
            <wp:extent cx="6192520" cy="2011680"/>
            <wp:effectExtent l="0" t="0" r="0" b="7620"/>
            <wp:docPr id="7" name="figure" descr="The ecotype prognostic effect is significant within the two dominant anatomical strata (midline and hemispheric).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463" cy="201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0B63" w14:textId="77777777" w:rsidR="00E25284" w:rsidRDefault="000D46E6">
      <w:pPr>
        <w:spacing w:after="240"/>
      </w:pPr>
      <w:r>
        <w:rPr>
          <w:b/>
          <w:bCs/>
          <w:sz w:val="20"/>
          <w:szCs w:val="20"/>
        </w:rPr>
        <w:t>Figure 7. The ecotype prognostic effect is significant within the two dominant anatomical strata (midline and hemispheric).</w:t>
      </w:r>
      <w:r>
        <w:rPr>
          <w:sz w:val="20"/>
          <w:szCs w:val="20"/>
        </w:rPr>
        <w:t xml:space="preserve">  Kaplan-Meier curves by ecotype within each anatomical location class, n = 251 with OS data. Midline (n = 104, events = 96): log-rank P = 0.033. </w:t>
      </w:r>
      <w:r>
        <w:rPr>
          <w:b/>
          <w:bCs/>
          <w:sz w:val="20"/>
          <w:szCs w:val="20"/>
        </w:rPr>
        <w:t xml:space="preserve">Hemispheric (n = 66, events = 42): log-rank P = 0.030. </w:t>
      </w:r>
      <w:r>
        <w:rPr>
          <w:sz w:val="20"/>
          <w:szCs w:val="20"/>
        </w:rPr>
        <w:t>Posterior fossa (n = 10, events = 8): under-powered. Ambiguous/Other (n = 71, events = 62): log-rank P = 0.796 — the mixed anatomical category dilutes the location signal, further supporting the biological interpretation that the ecotype-location interaction is genuine rather than a labelling artefact. Together with Figure 6, this figure demonstrates that the ecotype framework generalises across the two clinically dominant pediatric-HGG anatomical categories.</w:t>
      </w:r>
    </w:p>
    <w:p w14:paraId="66817080" w14:textId="77777777" w:rsidR="009E4075" w:rsidRDefault="009E4075" w:rsidP="009E4075">
      <w:pPr>
        <w:pStyle w:val="Heading2"/>
      </w:pPr>
    </w:p>
    <w:p w14:paraId="1E553B22" w14:textId="6769F24D" w:rsidR="009E4075" w:rsidRDefault="009E4075" w:rsidP="009E4075">
      <w:pPr>
        <w:pStyle w:val="Heading2"/>
      </w:pPr>
      <w:r>
        <w:t xml:space="preserve"> Location-stratified Kaplan-Meier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900"/>
        <w:gridCol w:w="1500"/>
        <w:gridCol w:w="3460"/>
      </w:tblGrid>
      <w:tr w:rsidR="009E4075" w14:paraId="3D23BA34" w14:textId="77777777" w:rsidTr="001730E9">
        <w:trPr>
          <w:tblHeader/>
        </w:trPr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CA3BBA" w14:textId="77777777" w:rsidR="009E4075" w:rsidRDefault="009E4075" w:rsidP="001730E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622722" w14:textId="77777777" w:rsidR="009E4075" w:rsidRDefault="009E4075" w:rsidP="001730E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 (survival)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843803" w14:textId="77777777" w:rsidR="009E4075" w:rsidRDefault="009E4075" w:rsidP="001730E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events</w:t>
            </w:r>
          </w:p>
        </w:tc>
        <w:tc>
          <w:tcPr>
            <w:tcW w:w="34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65C42C" w14:textId="77777777" w:rsidR="009E4075" w:rsidRDefault="009E4075" w:rsidP="001730E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log-rank P</w:t>
            </w:r>
          </w:p>
        </w:tc>
      </w:tr>
      <w:tr w:rsidR="009E4075" w14:paraId="5A3483F8" w14:textId="77777777" w:rsidTr="001730E9"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AB3E26" w14:textId="77777777" w:rsidR="009E4075" w:rsidRDefault="009E4075" w:rsidP="001730E9">
            <w:r>
              <w:rPr>
                <w:b/>
                <w:bCs/>
                <w:color w:val="000000"/>
                <w:sz w:val="20"/>
                <w:szCs w:val="20"/>
              </w:rPr>
              <w:t>Midline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7C08CE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104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6A87DF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96</w:t>
            </w:r>
          </w:p>
        </w:tc>
        <w:tc>
          <w:tcPr>
            <w:tcW w:w="34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EB6953" w14:textId="77777777" w:rsidR="009E4075" w:rsidRDefault="009E4075" w:rsidP="001730E9">
            <w:pPr>
              <w:jc w:val="center"/>
            </w:pPr>
            <w:r>
              <w:rPr>
                <w:b/>
                <w:bCs/>
                <w:color w:val="0B7A0B"/>
                <w:sz w:val="20"/>
                <w:szCs w:val="20"/>
              </w:rPr>
              <w:t>0.033</w:t>
            </w:r>
          </w:p>
        </w:tc>
      </w:tr>
      <w:tr w:rsidR="009E4075" w14:paraId="7FE66BF4" w14:textId="77777777" w:rsidTr="001730E9"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B7B3BC" w14:textId="77777777" w:rsidR="009E4075" w:rsidRDefault="009E4075" w:rsidP="001730E9">
            <w:r>
              <w:rPr>
                <w:b/>
                <w:bCs/>
                <w:color w:val="000000"/>
                <w:sz w:val="20"/>
                <w:szCs w:val="20"/>
              </w:rPr>
              <w:t>Hemispheric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7709B0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66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BB8F57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34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76AD62" w14:textId="77777777" w:rsidR="009E4075" w:rsidRDefault="009E4075" w:rsidP="001730E9">
            <w:pPr>
              <w:jc w:val="center"/>
            </w:pPr>
            <w:r>
              <w:rPr>
                <w:b/>
                <w:bCs/>
                <w:color w:val="0B7A0B"/>
                <w:sz w:val="20"/>
                <w:szCs w:val="20"/>
              </w:rPr>
              <w:t>0.030</w:t>
            </w:r>
          </w:p>
        </w:tc>
      </w:tr>
      <w:tr w:rsidR="009E4075" w14:paraId="7DC594EF" w14:textId="77777777" w:rsidTr="001730E9"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C86A4C" w14:textId="77777777" w:rsidR="009E4075" w:rsidRDefault="009E4075" w:rsidP="001730E9">
            <w:r>
              <w:rPr>
                <w:color w:val="000000"/>
                <w:sz w:val="20"/>
                <w:szCs w:val="20"/>
              </w:rPr>
              <w:t>Posterior fossa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A2CCC9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97196D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34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B765B5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underpowered</w:t>
            </w:r>
          </w:p>
        </w:tc>
      </w:tr>
      <w:tr w:rsidR="009E4075" w14:paraId="49CD4BF7" w14:textId="77777777" w:rsidTr="001730E9"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EFA045" w14:textId="77777777" w:rsidR="009E4075" w:rsidRDefault="009E4075" w:rsidP="001730E9">
            <w:r>
              <w:rPr>
                <w:color w:val="000000"/>
                <w:sz w:val="20"/>
                <w:szCs w:val="20"/>
              </w:rPr>
              <w:t>Ambiguous/Other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E42BE4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71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74A5D7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62</w:t>
            </w:r>
          </w:p>
        </w:tc>
        <w:tc>
          <w:tcPr>
            <w:tcW w:w="34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0B050B" w14:textId="77777777" w:rsidR="009E4075" w:rsidRDefault="009E4075" w:rsidP="001730E9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0.796</w:t>
            </w:r>
          </w:p>
        </w:tc>
      </w:tr>
    </w:tbl>
    <w:p w14:paraId="63E81BD1" w14:textId="77777777" w:rsidR="009E4075" w:rsidRDefault="009E4075" w:rsidP="009E4075">
      <w:pPr>
        <w:spacing w:after="100"/>
      </w:pPr>
      <w:r>
        <w:t>Ecotype effect is significant within the two dominant anatomical strata.</w:t>
      </w:r>
    </w:p>
    <w:p w14:paraId="5E22D71E" w14:textId="67E6D820" w:rsidR="00A2736B" w:rsidRPr="009E4075" w:rsidRDefault="00A2736B"/>
    <w:p w14:paraId="5756B890" w14:textId="77777777" w:rsidR="009E4075" w:rsidRDefault="009E4075">
      <w:pPr>
        <w:rPr>
          <w:b/>
          <w:bCs/>
          <w:color w:val="1B3050"/>
          <w:sz w:val="30"/>
          <w:szCs w:val="30"/>
        </w:rPr>
      </w:pPr>
      <w:r>
        <w:br w:type="page"/>
      </w:r>
    </w:p>
    <w:p w14:paraId="42E32BF1" w14:textId="0EC5DA5C" w:rsidR="00E25284" w:rsidRDefault="000D46E6">
      <w:pPr>
        <w:pStyle w:val="Heading1"/>
        <w:pBdr>
          <w:bottom w:val="single" w:sz="12" w:space="4" w:color="2C7BB6"/>
        </w:pBdr>
      </w:pPr>
      <w:r>
        <w:lastRenderedPageBreak/>
        <w:t>Location-aware Cox model</w:t>
      </w:r>
    </w:p>
    <w:p w14:paraId="20198336" w14:textId="77777777" w:rsidR="00E25284" w:rsidRDefault="000D46E6">
      <w:pPr>
        <w:spacing w:after="100"/>
      </w:pPr>
      <w:r>
        <w:t>As a location-adjusted sensitivity analysis, we added location_class dummies to the baseline multivariable Cox model (ecotype + cohort_group + age + sex; n = 251 with OS).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400"/>
        <w:gridCol w:w="900"/>
        <w:gridCol w:w="1300"/>
        <w:gridCol w:w="1360"/>
      </w:tblGrid>
      <w:tr w:rsidR="00E25284" w14:paraId="55B7D078" w14:textId="77777777">
        <w:trPr>
          <w:tblHeader/>
        </w:trPr>
        <w:tc>
          <w:tcPr>
            <w:tcW w:w="4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CB6D1C" w14:textId="77777777" w:rsidR="00E25284" w:rsidRDefault="000D46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259161" w14:textId="77777777" w:rsidR="00E25284" w:rsidRDefault="000D46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log-likelihood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4717A5" w14:textId="77777777" w:rsidR="00E25284" w:rsidRDefault="000D46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df added</w:t>
            </w:r>
          </w:p>
        </w:tc>
        <w:tc>
          <w:tcPr>
            <w:tcW w:w="1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62F3E0" w14:textId="77777777" w:rsidR="00E25284" w:rsidRDefault="000D46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LR chi-square</w:t>
            </w:r>
          </w:p>
        </w:tc>
        <w:tc>
          <w:tcPr>
            <w:tcW w:w="1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32B789" w14:textId="77777777" w:rsidR="00E25284" w:rsidRDefault="000D46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</w:tr>
      <w:tr w:rsidR="00E25284" w14:paraId="77F0BA74" w14:textId="77777777">
        <w:tc>
          <w:tcPr>
            <w:tcW w:w="4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C5734C" w14:textId="40A7C9A9" w:rsidR="00E25284" w:rsidRDefault="000D46E6">
            <w:r>
              <w:rPr>
                <w:color w:val="000000"/>
                <w:sz w:val="20"/>
                <w:szCs w:val="20"/>
              </w:rPr>
              <w:t xml:space="preserve">Baseline </w:t>
            </w:r>
            <w:r w:rsidR="00F039A0">
              <w:rPr>
                <w:color w:val="000000"/>
                <w:sz w:val="20"/>
                <w:szCs w:val="20"/>
              </w:rPr>
              <w:t>(ecotype + cohort_group + age + sex)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E4ED12" w14:textId="77777777" w:rsidR="00E25284" w:rsidRDefault="000D46E6">
            <w:pPr>
              <w:jc w:val="center"/>
            </w:pPr>
            <w:r>
              <w:rPr>
                <w:color w:val="000000"/>
                <w:sz w:val="20"/>
                <w:szCs w:val="20"/>
              </w:rPr>
              <w:t>-939.84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67A9CD" w14:textId="77777777" w:rsidR="00E25284" w:rsidRDefault="000D46E6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E9E447" w14:textId="77777777" w:rsidR="00E25284" w:rsidRDefault="000D46E6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E76A94" w14:textId="77777777" w:rsidR="00E25284" w:rsidRDefault="000D46E6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E25284" w14:paraId="1B85E75E" w14:textId="77777777">
        <w:tc>
          <w:tcPr>
            <w:tcW w:w="4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2DFCBC" w14:textId="77777777" w:rsidR="00E25284" w:rsidRDefault="000D46E6">
            <w:r>
              <w:rPr>
                <w:b/>
                <w:bCs/>
                <w:color w:val="000000"/>
                <w:sz w:val="20"/>
                <w:szCs w:val="20"/>
              </w:rPr>
              <w:t>+ location_class (Midline / PF / Ambiguous_Other dummies)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45973C" w14:textId="77777777" w:rsidR="00E25284" w:rsidRDefault="000D46E6">
            <w:pPr>
              <w:jc w:val="center"/>
            </w:pPr>
            <w:r>
              <w:rPr>
                <w:color w:val="000000"/>
                <w:sz w:val="20"/>
                <w:szCs w:val="20"/>
              </w:rPr>
              <w:t>-938.86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C79198" w14:textId="77777777" w:rsidR="00E25284" w:rsidRDefault="000D46E6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2941EC" w14:textId="77777777" w:rsidR="00E25284" w:rsidRDefault="000D46E6">
            <w:pPr>
              <w:jc w:val="center"/>
            </w:pPr>
            <w:r>
              <w:rPr>
                <w:color w:val="000000"/>
                <w:sz w:val="20"/>
                <w:szCs w:val="20"/>
              </w:rPr>
              <w:t>1.96</w:t>
            </w:r>
          </w:p>
        </w:tc>
        <w:tc>
          <w:tcPr>
            <w:tcW w:w="1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D2BC12" w14:textId="77777777" w:rsidR="00E25284" w:rsidRDefault="000D46E6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0.580</w:t>
            </w:r>
          </w:p>
        </w:tc>
      </w:tr>
    </w:tbl>
    <w:p w14:paraId="7B09B90B" w14:textId="77777777" w:rsidR="00E25284" w:rsidRDefault="000D46E6">
      <w:pPr>
        <w:spacing w:after="100"/>
      </w:pPr>
      <w:r>
        <w:rPr>
          <w:b/>
          <w:bCs/>
        </w:rPr>
        <w:t>Key robustness check on Immune-desert HR: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200"/>
        <w:gridCol w:w="2000"/>
        <w:gridCol w:w="1760"/>
      </w:tblGrid>
      <w:tr w:rsidR="00E25284" w14:paraId="7D9B68E2" w14:textId="77777777">
        <w:trPr>
          <w:tblHeader/>
        </w:trPr>
        <w:tc>
          <w:tcPr>
            <w:tcW w:w="4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0CC82B" w14:textId="77777777" w:rsidR="00E25284" w:rsidRDefault="000D46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67E61F" w14:textId="77777777" w:rsidR="00E25284" w:rsidRDefault="000D46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HR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F41E8E" w14:textId="77777777" w:rsidR="00E25284" w:rsidRDefault="000D46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95% CI</w:t>
            </w:r>
          </w:p>
        </w:tc>
        <w:tc>
          <w:tcPr>
            <w:tcW w:w="1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4531FC" w14:textId="77777777" w:rsidR="00E25284" w:rsidRDefault="000D46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</w:tr>
      <w:tr w:rsidR="00E25284" w14:paraId="19438CF0" w14:textId="77777777">
        <w:tc>
          <w:tcPr>
            <w:tcW w:w="4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13AC39" w14:textId="77777777" w:rsidR="00E25284" w:rsidRDefault="000D46E6">
            <w:r>
              <w:rPr>
                <w:color w:val="000000"/>
                <w:sz w:val="20"/>
                <w:szCs w:val="20"/>
              </w:rPr>
              <w:t>Baseline (no location)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C2E5F0" w14:textId="77777777" w:rsidR="00E25284" w:rsidRDefault="000D46E6">
            <w:pPr>
              <w:jc w:val="center"/>
            </w:pPr>
            <w:r>
              <w:rPr>
                <w:color w:val="000000"/>
                <w:sz w:val="20"/>
                <w:szCs w:val="20"/>
              </w:rPr>
              <w:t>1.75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FC2338" w14:textId="77777777" w:rsidR="00E25284" w:rsidRDefault="000D46E6">
            <w:pPr>
              <w:jc w:val="center"/>
            </w:pPr>
            <w:r>
              <w:rPr>
                <w:color w:val="000000"/>
                <w:sz w:val="20"/>
                <w:szCs w:val="20"/>
              </w:rPr>
              <w:t>1.19–2.57</w:t>
            </w:r>
          </w:p>
        </w:tc>
        <w:tc>
          <w:tcPr>
            <w:tcW w:w="1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DFFEEC" w14:textId="77777777" w:rsidR="00E25284" w:rsidRDefault="000D46E6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0.005</w:t>
            </w:r>
          </w:p>
        </w:tc>
      </w:tr>
      <w:tr w:rsidR="00E25284" w14:paraId="77DCBDE9" w14:textId="77777777">
        <w:tc>
          <w:tcPr>
            <w:tcW w:w="4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828790" w14:textId="77777777" w:rsidR="00E25284" w:rsidRDefault="000D46E6">
            <w:r>
              <w:rPr>
                <w:b/>
                <w:bCs/>
                <w:color w:val="000000"/>
                <w:sz w:val="20"/>
                <w:szCs w:val="20"/>
              </w:rPr>
              <w:t>+ location_class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9777E0" w14:textId="77777777" w:rsidR="00E25284" w:rsidRDefault="000D46E6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1.77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DEC10B" w14:textId="77777777" w:rsidR="00E25284" w:rsidRDefault="000D46E6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1.20–2.61</w:t>
            </w:r>
          </w:p>
        </w:tc>
        <w:tc>
          <w:tcPr>
            <w:tcW w:w="1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A06F5A" w14:textId="77777777" w:rsidR="00E25284" w:rsidRDefault="000D46E6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0.004</w:t>
            </w:r>
          </w:p>
        </w:tc>
      </w:tr>
    </w:tbl>
    <w:p w14:paraId="6A6E9B56" w14:textId="77777777" w:rsidR="00E25284" w:rsidRDefault="000D46E6">
      <w:pPr>
        <w:spacing w:after="100"/>
      </w:pPr>
      <w:r>
        <w:t>The LR test is non-significant (P = 0.58) and the Immune-desert HR is essentially unchanged (Δ HR ≈ 1%). Because tumor molecular subgroup and anatomical location are partially collinear (midline concentrates in DMG_K27; hemispheric in DHG_G34 and pHGG_WT), the model does not attempt to attribute independent hazard to location — the analysis is exploratory and is used only to demonstrate that the ecotype prognostic signal is not confounded by anatomy.</w:t>
      </w:r>
    </w:p>
    <w:p w14:paraId="304A30A6" w14:textId="77777777" w:rsidR="00E25284" w:rsidRDefault="000D46E6">
      <w:r>
        <w:br w:type="page"/>
      </w:r>
    </w:p>
    <w:p w14:paraId="29391431" w14:textId="77777777" w:rsidR="00E25284" w:rsidRDefault="000D46E6">
      <w:pPr>
        <w:pStyle w:val="Heading1"/>
        <w:pBdr>
          <w:bottom w:val="single" w:sz="12" w:space="4" w:color="2C7BB6"/>
        </w:pBdr>
      </w:pPr>
      <w:r>
        <w:lastRenderedPageBreak/>
        <w:t>Manuscript version tracker</w:t>
      </w:r>
    </w:p>
    <w:p w14:paraId="1AB3BF0A" w14:textId="1987E979" w:rsidR="00E25284" w:rsidRDefault="00A2736B">
      <w:pPr>
        <w:pStyle w:val="Heading2"/>
      </w:pPr>
      <w:r>
        <w:t>C</w:t>
      </w:r>
      <w:r w:rsidR="000D46E6">
        <w:t>overage</w:t>
      </w:r>
    </w:p>
    <w:tbl>
      <w:tblPr>
        <w:tblW w:w="9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8"/>
        <w:gridCol w:w="4948"/>
      </w:tblGrid>
      <w:tr w:rsidR="00A2736B" w14:paraId="403B9729" w14:textId="77777777" w:rsidTr="00A2736B">
        <w:trPr>
          <w:trHeight w:val="232"/>
          <w:tblHeader/>
        </w:trPr>
        <w:tc>
          <w:tcPr>
            <w:tcW w:w="4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B4A6BD" w14:textId="77777777" w:rsidR="00A2736B" w:rsidRDefault="00A2736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Reviewer point</w:t>
            </w:r>
          </w:p>
        </w:tc>
        <w:tc>
          <w:tcPr>
            <w:tcW w:w="4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C7BB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6DA522" w14:textId="77777777" w:rsidR="00A2736B" w:rsidRDefault="00A2736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2736B" w14:paraId="70AB16A1" w14:textId="77777777" w:rsidTr="00A2736B">
        <w:trPr>
          <w:trHeight w:val="246"/>
        </w:trPr>
        <w:tc>
          <w:tcPr>
            <w:tcW w:w="4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22E379" w14:textId="78263A64" w:rsidR="00A2736B" w:rsidRDefault="00A2736B">
            <w:r>
              <w:rPr>
                <w:color w:val="000000"/>
                <w:sz w:val="20"/>
                <w:szCs w:val="20"/>
              </w:rPr>
              <w:t>CIBERSORTx date typo</w:t>
            </w:r>
          </w:p>
        </w:tc>
        <w:tc>
          <w:tcPr>
            <w:tcW w:w="4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7D8228" w14:textId="77777777" w:rsidR="00A2736B" w:rsidRDefault="00A2736B">
            <w:pPr>
              <w:jc w:val="center"/>
            </w:pPr>
            <w:r>
              <w:rPr>
                <w:b/>
                <w:bCs/>
                <w:color w:val="0B7A0B"/>
                <w:sz w:val="20"/>
                <w:szCs w:val="20"/>
              </w:rPr>
              <w:t>Done</w:t>
            </w:r>
          </w:p>
        </w:tc>
      </w:tr>
      <w:tr w:rsidR="00A2736B" w14:paraId="213C2798" w14:textId="77777777" w:rsidTr="00A2736B">
        <w:trPr>
          <w:trHeight w:val="232"/>
        </w:trPr>
        <w:tc>
          <w:tcPr>
            <w:tcW w:w="4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901326" w14:textId="6D9B0456" w:rsidR="00A2736B" w:rsidRDefault="00A2736B">
            <w:r>
              <w:rPr>
                <w:color w:val="000000"/>
                <w:sz w:val="20"/>
                <w:szCs w:val="20"/>
              </w:rPr>
              <w:t>quanTIseq a-priori choice</w:t>
            </w:r>
          </w:p>
        </w:tc>
        <w:tc>
          <w:tcPr>
            <w:tcW w:w="4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3B91F7" w14:textId="77777777" w:rsidR="00A2736B" w:rsidRDefault="00A2736B">
            <w:pPr>
              <w:jc w:val="center"/>
            </w:pPr>
            <w:r>
              <w:rPr>
                <w:b/>
                <w:bCs/>
                <w:color w:val="0B7A0B"/>
                <w:sz w:val="20"/>
                <w:szCs w:val="20"/>
              </w:rPr>
              <w:t>Done</w:t>
            </w:r>
          </w:p>
        </w:tc>
      </w:tr>
      <w:tr w:rsidR="00A2736B" w14:paraId="32C84DD4" w14:textId="77777777" w:rsidTr="00A2736B">
        <w:trPr>
          <w:trHeight w:val="246"/>
        </w:trPr>
        <w:tc>
          <w:tcPr>
            <w:tcW w:w="4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C7BF79" w14:textId="6F025ABD" w:rsidR="00A2736B" w:rsidRDefault="00A2736B">
            <w:r>
              <w:rPr>
                <w:color w:val="000000"/>
                <w:sz w:val="20"/>
                <w:szCs w:val="20"/>
              </w:rPr>
              <w:t>LM22 CD8 failure mechanism</w:t>
            </w:r>
          </w:p>
        </w:tc>
        <w:tc>
          <w:tcPr>
            <w:tcW w:w="4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0942D9" w14:textId="77777777" w:rsidR="00A2736B" w:rsidRDefault="00A2736B">
            <w:pPr>
              <w:jc w:val="center"/>
            </w:pPr>
            <w:r>
              <w:rPr>
                <w:b/>
                <w:bCs/>
                <w:color w:val="0B7A0B"/>
                <w:sz w:val="20"/>
                <w:szCs w:val="20"/>
              </w:rPr>
              <w:t>Done</w:t>
            </w:r>
          </w:p>
        </w:tc>
      </w:tr>
      <w:tr w:rsidR="00A2736B" w14:paraId="7583108D" w14:textId="77777777" w:rsidTr="00A2736B">
        <w:trPr>
          <w:trHeight w:val="232"/>
        </w:trPr>
        <w:tc>
          <w:tcPr>
            <w:tcW w:w="4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5E99F4" w14:textId="485FFC78" w:rsidR="00A2736B" w:rsidRDefault="00A2736B">
            <w:r>
              <w:rPr>
                <w:color w:val="000000"/>
                <w:sz w:val="20"/>
                <w:szCs w:val="20"/>
              </w:rPr>
              <w:t>PROGENy actual model</w:t>
            </w:r>
          </w:p>
        </w:tc>
        <w:tc>
          <w:tcPr>
            <w:tcW w:w="4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44FA9C" w14:textId="77777777" w:rsidR="00A2736B" w:rsidRDefault="00A2736B">
            <w:pPr>
              <w:jc w:val="center"/>
            </w:pPr>
            <w:r>
              <w:rPr>
                <w:b/>
                <w:bCs/>
                <w:color w:val="0B7A0B"/>
                <w:sz w:val="20"/>
                <w:szCs w:val="20"/>
              </w:rPr>
              <w:t>Done</w:t>
            </w:r>
          </w:p>
        </w:tc>
      </w:tr>
      <w:tr w:rsidR="00A2736B" w14:paraId="340C8B42" w14:textId="77777777" w:rsidTr="00A2736B">
        <w:trPr>
          <w:trHeight w:val="246"/>
        </w:trPr>
        <w:tc>
          <w:tcPr>
            <w:tcW w:w="4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1EF3D3" w14:textId="25657285" w:rsidR="00A2736B" w:rsidRDefault="00A2736B">
            <w:r>
              <w:rPr>
                <w:color w:val="000000"/>
                <w:sz w:val="20"/>
                <w:szCs w:val="20"/>
              </w:rPr>
              <w:t>BioRender citation</w:t>
            </w:r>
          </w:p>
        </w:tc>
        <w:tc>
          <w:tcPr>
            <w:tcW w:w="4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7CB034" w14:textId="77777777" w:rsidR="00A2736B" w:rsidRDefault="00A2736B">
            <w:pPr>
              <w:jc w:val="center"/>
            </w:pPr>
            <w:r>
              <w:rPr>
                <w:b/>
                <w:bCs/>
                <w:color w:val="0B7A0B"/>
                <w:sz w:val="20"/>
                <w:szCs w:val="20"/>
              </w:rPr>
              <w:t>Done</w:t>
            </w:r>
          </w:p>
        </w:tc>
      </w:tr>
      <w:tr w:rsidR="00A2736B" w14:paraId="3EC6AAC8" w14:textId="77777777" w:rsidTr="00A2736B">
        <w:trPr>
          <w:trHeight w:val="232"/>
        </w:trPr>
        <w:tc>
          <w:tcPr>
            <w:tcW w:w="4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473F70" w14:textId="3FE71383" w:rsidR="00A2736B" w:rsidRDefault="00A2736B">
            <w:r>
              <w:rPr>
                <w:color w:val="000000"/>
                <w:sz w:val="20"/>
                <w:szCs w:val="20"/>
              </w:rPr>
              <w:t>B4GALNT1 in abstract</w:t>
            </w:r>
          </w:p>
        </w:tc>
        <w:tc>
          <w:tcPr>
            <w:tcW w:w="4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598B13" w14:textId="77777777" w:rsidR="00A2736B" w:rsidRDefault="00A2736B">
            <w:pPr>
              <w:jc w:val="center"/>
            </w:pPr>
            <w:r>
              <w:rPr>
                <w:b/>
                <w:bCs/>
                <w:color w:val="0B7A0B"/>
                <w:sz w:val="20"/>
                <w:szCs w:val="20"/>
              </w:rPr>
              <w:t>Done</w:t>
            </w:r>
          </w:p>
        </w:tc>
      </w:tr>
      <w:tr w:rsidR="00A2736B" w14:paraId="60314DDB" w14:textId="77777777" w:rsidTr="00A2736B">
        <w:trPr>
          <w:trHeight w:val="246"/>
        </w:trPr>
        <w:tc>
          <w:tcPr>
            <w:tcW w:w="4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927E3D" w14:textId="1EE44F1A" w:rsidR="00A2736B" w:rsidRDefault="00A2736B">
            <w:r>
              <w:rPr>
                <w:color w:val="000000"/>
                <w:sz w:val="20"/>
                <w:szCs w:val="20"/>
              </w:rPr>
              <w:t>PERMANOVA + Cox interaction</w:t>
            </w:r>
          </w:p>
        </w:tc>
        <w:tc>
          <w:tcPr>
            <w:tcW w:w="4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01E439" w14:textId="77777777" w:rsidR="00A2736B" w:rsidRDefault="00A2736B">
            <w:pPr>
              <w:jc w:val="center"/>
            </w:pPr>
            <w:r>
              <w:rPr>
                <w:b/>
                <w:bCs/>
                <w:color w:val="0B7A0B"/>
                <w:sz w:val="20"/>
                <w:szCs w:val="20"/>
              </w:rPr>
              <w:t>Done</w:t>
            </w:r>
          </w:p>
        </w:tc>
      </w:tr>
      <w:tr w:rsidR="00A2736B" w14:paraId="04663EDE" w14:textId="77777777" w:rsidTr="00A2736B">
        <w:trPr>
          <w:trHeight w:val="232"/>
        </w:trPr>
        <w:tc>
          <w:tcPr>
            <w:tcW w:w="4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84C6DD" w14:textId="37BB4900" w:rsidR="00A2736B" w:rsidRDefault="00A2736B">
            <w:r>
              <w:rPr>
                <w:color w:val="000000"/>
                <w:sz w:val="20"/>
                <w:szCs w:val="20"/>
              </w:rPr>
              <w:t>Analytical concordance terminology</w:t>
            </w:r>
          </w:p>
        </w:tc>
        <w:tc>
          <w:tcPr>
            <w:tcW w:w="4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CDF33D" w14:textId="2D7549C6" w:rsidR="00A2736B" w:rsidRDefault="00A2736B">
            <w:pPr>
              <w:jc w:val="center"/>
            </w:pPr>
            <w:r>
              <w:rPr>
                <w:b/>
                <w:bCs/>
                <w:color w:val="0B7A0B"/>
                <w:sz w:val="20"/>
                <w:szCs w:val="20"/>
              </w:rPr>
              <w:t xml:space="preserve">Done </w:t>
            </w:r>
          </w:p>
        </w:tc>
      </w:tr>
      <w:tr w:rsidR="00A2736B" w14:paraId="72B7DC66" w14:textId="77777777" w:rsidTr="00A2736B">
        <w:trPr>
          <w:trHeight w:val="246"/>
        </w:trPr>
        <w:tc>
          <w:tcPr>
            <w:tcW w:w="4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868DB5" w14:textId="77777777" w:rsidR="00A2736B" w:rsidRDefault="00A2736B">
            <w:r>
              <w:rPr>
                <w:color w:val="000000"/>
                <w:sz w:val="20"/>
                <w:szCs w:val="20"/>
              </w:rPr>
              <w:t>Major C  TPM harmonisation</w:t>
            </w:r>
          </w:p>
        </w:tc>
        <w:tc>
          <w:tcPr>
            <w:tcW w:w="4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F74867" w14:textId="77777777" w:rsidR="00A2736B" w:rsidRDefault="00A2736B">
            <w:pPr>
              <w:jc w:val="center"/>
            </w:pPr>
            <w:r>
              <w:rPr>
                <w:b/>
                <w:bCs/>
                <w:color w:val="0B7A0B"/>
                <w:sz w:val="20"/>
                <w:szCs w:val="20"/>
              </w:rPr>
              <w:t>Done</w:t>
            </w:r>
          </w:p>
        </w:tc>
      </w:tr>
      <w:tr w:rsidR="00A2736B" w14:paraId="5EEDF655" w14:textId="77777777" w:rsidTr="00A2736B">
        <w:trPr>
          <w:trHeight w:val="232"/>
        </w:trPr>
        <w:tc>
          <w:tcPr>
            <w:tcW w:w="4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8F3A92" w14:textId="77777777" w:rsidR="00A2736B" w:rsidRDefault="00A2736B">
            <w:r>
              <w:rPr>
                <w:color w:val="000000"/>
                <w:sz w:val="20"/>
                <w:szCs w:val="20"/>
              </w:rPr>
              <w:t>Major D  IPW sensitivity</w:t>
            </w:r>
          </w:p>
        </w:tc>
        <w:tc>
          <w:tcPr>
            <w:tcW w:w="49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C6B19B" w14:textId="77777777" w:rsidR="00A2736B" w:rsidRDefault="00A2736B">
            <w:pPr>
              <w:jc w:val="center"/>
            </w:pPr>
            <w:r>
              <w:rPr>
                <w:b/>
                <w:bCs/>
                <w:color w:val="0B7A0B"/>
                <w:sz w:val="20"/>
                <w:szCs w:val="20"/>
              </w:rPr>
              <w:t>Done</w:t>
            </w:r>
          </w:p>
        </w:tc>
      </w:tr>
    </w:tbl>
    <w:p w14:paraId="2032851D" w14:textId="77777777" w:rsidR="000D46E6" w:rsidRDefault="000D46E6" w:rsidP="00A2736B">
      <w:pPr>
        <w:pStyle w:val="Heading1"/>
        <w:pBdr>
          <w:bottom w:val="single" w:sz="12" w:space="4" w:color="2C7BB6"/>
        </w:pBdr>
      </w:pPr>
    </w:p>
    <w:sectPr w:rsidR="000D46E6">
      <w:headerReference w:type="default" r:id="rId17"/>
      <w:footerReference w:type="default" r:id="rId1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C4781" w14:textId="77777777" w:rsidR="009F260B" w:rsidRDefault="009F260B">
      <w:r>
        <w:separator/>
      </w:r>
    </w:p>
  </w:endnote>
  <w:endnote w:type="continuationSeparator" w:id="0">
    <w:p w14:paraId="6E85294C" w14:textId="77777777" w:rsidR="009F260B" w:rsidRDefault="009F26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7F6AC" w14:textId="77777777" w:rsidR="00E25284" w:rsidRDefault="000D46E6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D09B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FD09B8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0A42D" w14:textId="77777777" w:rsidR="009F260B" w:rsidRDefault="009F260B">
      <w:r>
        <w:separator/>
      </w:r>
    </w:p>
  </w:footnote>
  <w:footnote w:type="continuationSeparator" w:id="0">
    <w:p w14:paraId="4C4589F9" w14:textId="77777777" w:rsidR="009F260B" w:rsidRDefault="009F26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AD348" w14:textId="3C65412D" w:rsidR="00E25284" w:rsidRDefault="00040595">
    <w:pPr>
      <w:jc w:val="right"/>
    </w:pPr>
    <w:r>
      <w:rPr>
        <w:color w:val="888888"/>
        <w:sz w:val="18"/>
        <w:szCs w:val="18"/>
      </w:rPr>
      <w:t xml:space="preserve">2026/07/07 Additional Analysis Report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7242B"/>
    <w:multiLevelType w:val="hybridMultilevel"/>
    <w:tmpl w:val="72DE1B3A"/>
    <w:lvl w:ilvl="0" w:tplc="EA2E95D4">
      <w:start w:val="1"/>
      <w:numFmt w:val="bullet"/>
      <w:lvlText w:val="●"/>
      <w:lvlJc w:val="left"/>
      <w:pPr>
        <w:ind w:left="720" w:hanging="360"/>
      </w:pPr>
    </w:lvl>
    <w:lvl w:ilvl="1" w:tplc="6DCA7CB0">
      <w:start w:val="1"/>
      <w:numFmt w:val="bullet"/>
      <w:lvlText w:val="○"/>
      <w:lvlJc w:val="left"/>
      <w:pPr>
        <w:ind w:left="1440" w:hanging="360"/>
      </w:pPr>
    </w:lvl>
    <w:lvl w:ilvl="2" w:tplc="12546112">
      <w:start w:val="1"/>
      <w:numFmt w:val="bullet"/>
      <w:lvlText w:val="■"/>
      <w:lvlJc w:val="left"/>
      <w:pPr>
        <w:ind w:left="2160" w:hanging="360"/>
      </w:pPr>
    </w:lvl>
    <w:lvl w:ilvl="3" w:tplc="7DA002DA">
      <w:start w:val="1"/>
      <w:numFmt w:val="bullet"/>
      <w:lvlText w:val="●"/>
      <w:lvlJc w:val="left"/>
      <w:pPr>
        <w:ind w:left="2880" w:hanging="360"/>
      </w:pPr>
    </w:lvl>
    <w:lvl w:ilvl="4" w:tplc="B46AED14">
      <w:start w:val="1"/>
      <w:numFmt w:val="bullet"/>
      <w:lvlText w:val="○"/>
      <w:lvlJc w:val="left"/>
      <w:pPr>
        <w:ind w:left="3600" w:hanging="360"/>
      </w:pPr>
    </w:lvl>
    <w:lvl w:ilvl="5" w:tplc="9BAEEDD4">
      <w:start w:val="1"/>
      <w:numFmt w:val="bullet"/>
      <w:lvlText w:val="■"/>
      <w:lvlJc w:val="left"/>
      <w:pPr>
        <w:ind w:left="4320" w:hanging="360"/>
      </w:pPr>
    </w:lvl>
    <w:lvl w:ilvl="6" w:tplc="A330F6BA">
      <w:start w:val="1"/>
      <w:numFmt w:val="bullet"/>
      <w:lvlText w:val="●"/>
      <w:lvlJc w:val="left"/>
      <w:pPr>
        <w:ind w:left="5040" w:hanging="360"/>
      </w:pPr>
    </w:lvl>
    <w:lvl w:ilvl="7" w:tplc="EE96B1A6">
      <w:start w:val="1"/>
      <w:numFmt w:val="bullet"/>
      <w:lvlText w:val="●"/>
      <w:lvlJc w:val="left"/>
      <w:pPr>
        <w:ind w:left="5760" w:hanging="360"/>
      </w:pPr>
    </w:lvl>
    <w:lvl w:ilvl="8" w:tplc="B21C79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CF2626"/>
    <w:multiLevelType w:val="hybridMultilevel"/>
    <w:tmpl w:val="6938F0AC"/>
    <w:lvl w:ilvl="0" w:tplc="A10E4890">
      <w:start w:val="1"/>
      <w:numFmt w:val="bullet"/>
      <w:lvlText w:val="•"/>
      <w:lvlJc w:val="left"/>
      <w:pPr>
        <w:ind w:left="720" w:hanging="360"/>
      </w:pPr>
    </w:lvl>
    <w:lvl w:ilvl="1" w:tplc="398892E6">
      <w:numFmt w:val="decimal"/>
      <w:lvlText w:val=""/>
      <w:lvlJc w:val="left"/>
    </w:lvl>
    <w:lvl w:ilvl="2" w:tplc="EAF8E7BA">
      <w:numFmt w:val="decimal"/>
      <w:lvlText w:val=""/>
      <w:lvlJc w:val="left"/>
    </w:lvl>
    <w:lvl w:ilvl="3" w:tplc="6BD2C638">
      <w:numFmt w:val="decimal"/>
      <w:lvlText w:val=""/>
      <w:lvlJc w:val="left"/>
    </w:lvl>
    <w:lvl w:ilvl="4" w:tplc="D9AE7630">
      <w:numFmt w:val="decimal"/>
      <w:lvlText w:val=""/>
      <w:lvlJc w:val="left"/>
    </w:lvl>
    <w:lvl w:ilvl="5" w:tplc="747880D0">
      <w:numFmt w:val="decimal"/>
      <w:lvlText w:val=""/>
      <w:lvlJc w:val="left"/>
    </w:lvl>
    <w:lvl w:ilvl="6" w:tplc="353495A4">
      <w:numFmt w:val="decimal"/>
      <w:lvlText w:val=""/>
      <w:lvlJc w:val="left"/>
    </w:lvl>
    <w:lvl w:ilvl="7" w:tplc="30BC0692">
      <w:numFmt w:val="decimal"/>
      <w:lvlText w:val=""/>
      <w:lvlJc w:val="left"/>
    </w:lvl>
    <w:lvl w:ilvl="8" w:tplc="66D46B90">
      <w:numFmt w:val="decimal"/>
      <w:lvlText w:val=""/>
      <w:lvlJc w:val="left"/>
    </w:lvl>
  </w:abstractNum>
  <w:abstractNum w:abstractNumId="2" w15:restartNumberingAfterBreak="0">
    <w:nsid w:val="5F2C7112"/>
    <w:multiLevelType w:val="hybridMultilevel"/>
    <w:tmpl w:val="122A1916"/>
    <w:lvl w:ilvl="0" w:tplc="AAE463A6">
      <w:start w:val="1"/>
      <w:numFmt w:val="bullet"/>
      <w:lvlText w:val="●"/>
      <w:lvlJc w:val="left"/>
      <w:pPr>
        <w:ind w:left="720" w:hanging="360"/>
      </w:pPr>
    </w:lvl>
    <w:lvl w:ilvl="1" w:tplc="75B89FF2">
      <w:start w:val="1"/>
      <w:numFmt w:val="bullet"/>
      <w:lvlText w:val="○"/>
      <w:lvlJc w:val="left"/>
      <w:pPr>
        <w:ind w:left="1440" w:hanging="360"/>
      </w:pPr>
    </w:lvl>
    <w:lvl w:ilvl="2" w:tplc="7B700A04">
      <w:start w:val="1"/>
      <w:numFmt w:val="bullet"/>
      <w:lvlText w:val="■"/>
      <w:lvlJc w:val="left"/>
      <w:pPr>
        <w:ind w:left="2160" w:hanging="360"/>
      </w:pPr>
    </w:lvl>
    <w:lvl w:ilvl="3" w:tplc="81B475F6">
      <w:start w:val="1"/>
      <w:numFmt w:val="bullet"/>
      <w:lvlText w:val="●"/>
      <w:lvlJc w:val="left"/>
      <w:pPr>
        <w:ind w:left="2880" w:hanging="360"/>
      </w:pPr>
    </w:lvl>
    <w:lvl w:ilvl="4" w:tplc="CCB0317E">
      <w:start w:val="1"/>
      <w:numFmt w:val="bullet"/>
      <w:lvlText w:val="○"/>
      <w:lvlJc w:val="left"/>
      <w:pPr>
        <w:ind w:left="3600" w:hanging="360"/>
      </w:pPr>
    </w:lvl>
    <w:lvl w:ilvl="5" w:tplc="0060A126">
      <w:start w:val="1"/>
      <w:numFmt w:val="bullet"/>
      <w:lvlText w:val="■"/>
      <w:lvlJc w:val="left"/>
      <w:pPr>
        <w:ind w:left="4320" w:hanging="360"/>
      </w:pPr>
    </w:lvl>
    <w:lvl w:ilvl="6" w:tplc="DBD88700">
      <w:start w:val="1"/>
      <w:numFmt w:val="bullet"/>
      <w:lvlText w:val="●"/>
      <w:lvlJc w:val="left"/>
      <w:pPr>
        <w:ind w:left="5040" w:hanging="360"/>
      </w:pPr>
    </w:lvl>
    <w:lvl w:ilvl="7" w:tplc="A1583F90">
      <w:start w:val="1"/>
      <w:numFmt w:val="bullet"/>
      <w:lvlText w:val="●"/>
      <w:lvlJc w:val="left"/>
      <w:pPr>
        <w:ind w:left="5760" w:hanging="360"/>
      </w:pPr>
    </w:lvl>
    <w:lvl w:ilvl="8" w:tplc="F9CEFA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284"/>
    <w:rsid w:val="00040595"/>
    <w:rsid w:val="000D46E6"/>
    <w:rsid w:val="001E12DF"/>
    <w:rsid w:val="003C0A2C"/>
    <w:rsid w:val="0058694C"/>
    <w:rsid w:val="00993A7E"/>
    <w:rsid w:val="009E4075"/>
    <w:rsid w:val="009F260B"/>
    <w:rsid w:val="00A2736B"/>
    <w:rsid w:val="00A448BB"/>
    <w:rsid w:val="00BA4E17"/>
    <w:rsid w:val="00E25284"/>
    <w:rsid w:val="00F039A0"/>
    <w:rsid w:val="00FD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DE20A"/>
  <w15:docId w15:val="{5C222DC5-F25B-4FE3-A816-176DE5AF6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바탕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B3050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C7B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405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0595"/>
  </w:style>
  <w:style w:type="paragraph" w:styleId="Footer">
    <w:name w:val="footer"/>
    <w:basedOn w:val="Normal"/>
    <w:link w:val="FooterChar"/>
    <w:uiPriority w:val="99"/>
    <w:unhideWhenUsed/>
    <w:rsid w:val="000405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0595"/>
  </w:style>
  <w:style w:type="paragraph" w:styleId="NormalWeb">
    <w:name w:val="Normal (Web)"/>
    <w:basedOn w:val="Normal"/>
    <w:uiPriority w:val="99"/>
    <w:semiHidden/>
    <w:unhideWhenUsed/>
    <w:rsid w:val="001E12D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6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1796</Words>
  <Characters>10241</Characters>
  <Application>Microsoft Office Word</Application>
  <DocSecurity>0</DocSecurity>
  <Lines>85</Lines>
  <Paragraphs>24</Paragraphs>
  <ScaleCrop>false</ScaleCrop>
  <Company/>
  <LinksUpToDate>false</LinksUpToDate>
  <CharactersWithSpaces>12013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Figure &amp; Legend Report</dc:title>
  <dc:creator>Cancers Revision Team</dc:creator>
  <cp:lastModifiedBy>종휘</cp:lastModifiedBy>
  <cp:revision>12</cp:revision>
  <dcterms:created xsi:type="dcterms:W3CDTF">2026-07-07T08:04:00Z</dcterms:created>
  <dcterms:modified xsi:type="dcterms:W3CDTF">2026-07-07T08:35:00Z</dcterms:modified>
</cp:coreProperties>
</file>