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115FA3" w14:textId="77777777" w:rsidR="0013056D" w:rsidRDefault="003B1C8C">
      <w:pPr>
        <w:ind w:left="-180" w:firstLine="15"/>
        <w:rPr>
          <w:rFonts w:ascii="Helvetica Neue" w:eastAsia="Helvetica Neue" w:hAnsi="Helvetica Neue" w:cs="Helvetica Neue"/>
          <w:b/>
          <w:sz w:val="24"/>
          <w:szCs w:val="24"/>
        </w:rPr>
      </w:pPr>
      <w:r>
        <w:rPr>
          <w:rFonts w:ascii="Helvetica Neue" w:eastAsia="Helvetica Neue" w:hAnsi="Helvetica Neue" w:cs="Helvetica Neue"/>
          <w:b/>
          <w:sz w:val="24"/>
          <w:szCs w:val="24"/>
        </w:rPr>
        <w:t xml:space="preserve">Data </w:t>
      </w:r>
      <w:proofErr w:type="spellStart"/>
      <w:r>
        <w:rPr>
          <w:rFonts w:ascii="Helvetica Neue" w:eastAsia="Helvetica Neue" w:hAnsi="Helvetica Neue" w:cs="Helvetica Neue"/>
          <w:b/>
          <w:sz w:val="24"/>
          <w:szCs w:val="24"/>
        </w:rPr>
        <w:t>Visceralization</w:t>
      </w:r>
      <w:proofErr w:type="spellEnd"/>
      <w:r>
        <w:rPr>
          <w:rFonts w:ascii="Helvetica Neue" w:eastAsia="Helvetica Neue" w:hAnsi="Helvetica Neue" w:cs="Helvetica Neue"/>
          <w:b/>
          <w:sz w:val="24"/>
          <w:szCs w:val="24"/>
        </w:rPr>
        <w:t>: Enabling Deeper Understanding of Data Using Virtual Reality</w:t>
      </w:r>
    </w:p>
    <w:p w14:paraId="3B8EB753" w14:textId="76174A5D" w:rsidR="0013056D" w:rsidRDefault="003B1C8C">
      <w:pPr>
        <w:ind w:left="-180" w:firstLine="15"/>
        <w:rPr>
          <w:rFonts w:ascii="Helvetica Neue" w:eastAsia="Helvetica Neue" w:hAnsi="Helvetica Neue" w:cs="Helvetica Neue"/>
          <w:b/>
        </w:rPr>
      </w:pPr>
      <w:r>
        <w:rPr>
          <w:rFonts w:ascii="Helvetica Neue" w:eastAsia="Helvetica Neue" w:hAnsi="Helvetica Neue" w:cs="Helvetica Neue"/>
          <w:b/>
        </w:rPr>
        <w:t xml:space="preserve">Data Structures Fall 2020| S. Molloy reviewing </w:t>
      </w:r>
      <w:hyperlink r:id="rId5">
        <w:r>
          <w:rPr>
            <w:rFonts w:ascii="Helvetica Neue" w:eastAsia="Helvetica Neue" w:hAnsi="Helvetica Neue" w:cs="Helvetica Neue"/>
            <w:b/>
            <w:color w:val="1155CC"/>
            <w:u w:val="single"/>
          </w:rPr>
          <w:t xml:space="preserve">IEEE talk </w:t>
        </w:r>
        <w:proofErr w:type="spellStart"/>
        <w:r>
          <w:rPr>
            <w:rFonts w:ascii="Helvetica Neue" w:eastAsia="Helvetica Neue" w:hAnsi="Helvetica Neue" w:cs="Helvetica Neue"/>
            <w:b/>
            <w:color w:val="1155CC"/>
            <w:u w:val="single"/>
          </w:rPr>
          <w:t>froom</w:t>
        </w:r>
        <w:proofErr w:type="spellEnd"/>
        <w:r>
          <w:rPr>
            <w:rFonts w:ascii="Helvetica Neue" w:eastAsia="Helvetica Neue" w:hAnsi="Helvetica Neue" w:cs="Helvetica Neue"/>
            <w:b/>
            <w:color w:val="1155CC"/>
            <w:u w:val="single"/>
          </w:rPr>
          <w:t xml:space="preserve"> Benjamin Lee and paper from Benjamin Lee, David Brown, </w:t>
        </w:r>
        <w:proofErr w:type="spellStart"/>
        <w:r>
          <w:rPr>
            <w:rFonts w:ascii="Helvetica Neue" w:eastAsia="Helvetica Neue" w:hAnsi="Helvetica Neue" w:cs="Helvetica Neue"/>
            <w:b/>
            <w:color w:val="1155CC"/>
            <w:u w:val="single"/>
          </w:rPr>
          <w:t>Bongshin</w:t>
        </w:r>
        <w:proofErr w:type="spellEnd"/>
        <w:r>
          <w:rPr>
            <w:rFonts w:ascii="Helvetica Neue" w:eastAsia="Helvetica Neue" w:hAnsi="Helvetica Neue" w:cs="Helvetica Neue"/>
            <w:b/>
            <w:color w:val="1155CC"/>
            <w:u w:val="single"/>
          </w:rPr>
          <w:t xml:space="preserve"> Lee, Christophe Hurter, Steven Drucker, Tim Dwyer</w:t>
        </w:r>
      </w:hyperlink>
      <w:r>
        <w:rPr>
          <w:rFonts w:ascii="Helvetica Neue" w:eastAsia="Helvetica Neue" w:hAnsi="Helvetica Neue" w:cs="Helvetica Neue"/>
          <w:b/>
        </w:rPr>
        <w:t xml:space="preserve">  </w:t>
      </w:r>
    </w:p>
    <w:p w14:paraId="6D1BAD16" w14:textId="0AF06190" w:rsidR="0013056D" w:rsidRPr="003B1C8C" w:rsidRDefault="003B1C8C">
      <w:pPr>
        <w:ind w:left="-180" w:firstLine="15"/>
        <w:rPr>
          <w:rFonts w:ascii="Helvetica Neue" w:eastAsia="Helvetica Neue" w:hAnsi="Helvetica Neue" w:cs="Helvetica Neue"/>
          <w:bCs/>
          <w:i/>
          <w:iCs/>
        </w:rPr>
      </w:pPr>
      <w:r w:rsidRPr="003B1C8C">
        <w:rPr>
          <w:rFonts w:ascii="Helvetica Neue" w:eastAsia="Helvetica Neue" w:hAnsi="Helvetica Neue" w:cs="Helvetica Neue"/>
          <w:bCs/>
          <w:i/>
          <w:iCs/>
        </w:rPr>
        <w:t xml:space="preserve">Talk: </w:t>
      </w:r>
      <w:r w:rsidRPr="003B1C8C">
        <w:rPr>
          <w:rFonts w:ascii="Helvetica Neue" w:eastAsia="Helvetica Neue" w:hAnsi="Helvetica Neue" w:cs="Helvetica Neue"/>
          <w:bCs/>
          <w:i/>
          <w:iCs/>
        </w:rPr>
        <w:t>https://www.youtube.com/embed/5cWWPBE_DTQ?rel=0</w:t>
      </w:r>
    </w:p>
    <w:p w14:paraId="59CC1F33" w14:textId="77777777" w:rsidR="0013056D" w:rsidRDefault="003B1C8C">
      <w:pPr>
        <w:ind w:left="-180" w:firstLine="15"/>
      </w:pPr>
      <w:r>
        <w:t xml:space="preserve">This paper was executed as an exploratory study in the </w:t>
      </w:r>
      <w:r>
        <w:t>theory of data understanding data. Lee, Brown, Lee, Hurter, Drucker and Dwyer (researchers) conducted a mixed methodology study involving high-level metrics which analyzed data comprehension and user feedback to analyze VR prototypes of various narrative d</w:t>
      </w:r>
      <w:r>
        <w:t xml:space="preserve">ata. The study was designed to develop data </w:t>
      </w:r>
      <w:proofErr w:type="spellStart"/>
      <w:r>
        <w:t>visceralization</w:t>
      </w:r>
      <w:proofErr w:type="spellEnd"/>
      <w:r>
        <w:t xml:space="preserve"> as </w:t>
      </w:r>
      <w:proofErr w:type="gramStart"/>
      <w:r>
        <w:t>a  technique</w:t>
      </w:r>
      <w:proofErr w:type="gramEnd"/>
      <w:r>
        <w:t xml:space="preserve"> to enable a deeper understanding of scale and physicality. Narrative data models defined in 2010 helped frame the kinds of data that could be explored with data </w:t>
      </w:r>
      <w:proofErr w:type="spellStart"/>
      <w:r>
        <w:t>visceralization</w:t>
      </w:r>
      <w:proofErr w:type="spellEnd"/>
      <w:r>
        <w:t xml:space="preserve"> and</w:t>
      </w:r>
      <w:r>
        <w:t xml:space="preserve"> the idea of “Data-driven experiences which evoke visceral feelings within a user to facilitate intuitive understanding of physical measurements and qualities”. </w:t>
      </w:r>
      <w:r>
        <w:rPr>
          <w:noProof/>
        </w:rPr>
        <w:drawing>
          <wp:anchor distT="228600" distB="228600" distL="228600" distR="228600" simplePos="0" relativeHeight="251658240" behindDoc="0" locked="0" layoutInCell="1" hidden="0" allowOverlap="1" wp14:anchorId="2518907D" wp14:editId="3A6BE2B4">
            <wp:simplePos x="0" y="0"/>
            <wp:positionH relativeFrom="column">
              <wp:posOffset>3581400</wp:posOffset>
            </wp:positionH>
            <wp:positionV relativeFrom="paragraph">
              <wp:posOffset>800100</wp:posOffset>
            </wp:positionV>
            <wp:extent cx="3138488" cy="1643576"/>
            <wp:effectExtent l="0" t="0" r="0" b="0"/>
            <wp:wrapSquare wrapText="bothSides" distT="228600" distB="228600" distL="228600" distR="2286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3138488" cy="1643576"/>
                    </a:xfrm>
                    <a:prstGeom prst="rect">
                      <a:avLst/>
                    </a:prstGeom>
                    <a:ln/>
                  </pic:spPr>
                </pic:pic>
              </a:graphicData>
            </a:graphic>
          </wp:anchor>
        </w:drawing>
      </w:r>
    </w:p>
    <w:p w14:paraId="06D5CB43" w14:textId="77777777" w:rsidR="0013056D" w:rsidRDefault="003B1C8C">
      <w:pPr>
        <w:ind w:left="-180" w:firstLine="15"/>
      </w:pPr>
      <w:r>
        <w:t xml:space="preserve">The aims of this research included assessing and expediting data </w:t>
      </w:r>
      <w:proofErr w:type="spellStart"/>
      <w:r>
        <w:t>physicalization</w:t>
      </w:r>
      <w:proofErr w:type="spellEnd"/>
      <w:r>
        <w:t xml:space="preserve"> and concrete</w:t>
      </w:r>
      <w:r>
        <w:t xml:space="preserve"> scales (2013) that have been developed to “aid in comprehending unfamiliar units and extreme magnitudes by comparison to more familiar objects” as well as the methods of how to explore data in immersive spaces. In examining the ways in which AR and VR did</w:t>
      </w:r>
      <w:r>
        <w:t xml:space="preserve">n’t initially take full advantage of the application of scale as applications kept 2D imagery in 3D environments, Researchers looked at other examples of visceral storytelling to inspire the prototype construction, such as </w:t>
      </w:r>
      <w:hyperlink r:id="rId7">
        <w:r>
          <w:rPr>
            <w:color w:val="1155CC"/>
            <w:u w:val="single"/>
          </w:rPr>
          <w:t>WSJ’s NASDAQ Rollercoaster</w:t>
        </w:r>
      </w:hyperlink>
      <w:r>
        <w:t xml:space="preserve"> (2015).</w:t>
      </w:r>
    </w:p>
    <w:p w14:paraId="52E373C0" w14:textId="77777777" w:rsidR="0013056D" w:rsidRDefault="003B1C8C">
      <w:pPr>
        <w:ind w:left="-180" w:firstLine="15"/>
      </w:pPr>
      <w:r>
        <w:t>The study consisted of quantitative and qualitative feedback on a series of 6 VR prototypes built with the Unity game engine and explored by participants with the ASUS Windows Mixed Reality Headset (</w:t>
      </w:r>
      <w:r>
        <w:t xml:space="preserve">HC102). Insights collected on understanding, user experience and media consumption were limited by the non-randomized size (8 male participants, 4 female) and skew (computer science majors) of the </w:t>
      </w:r>
      <w:proofErr w:type="gramStart"/>
      <w:r>
        <w:t>sample, but</w:t>
      </w:r>
      <w:proofErr w:type="gramEnd"/>
      <w:r>
        <w:t xml:space="preserve"> described useful preferences for desktop/VR for</w:t>
      </w:r>
      <w:r>
        <w:t xml:space="preserve"> specific data kinds as well as overall UI direction. The study’s 6 prototypes explored distinct data types with real-life examples, including:</w:t>
      </w:r>
      <w:r>
        <w:rPr>
          <w:noProof/>
        </w:rPr>
        <w:drawing>
          <wp:anchor distT="114300" distB="114300" distL="114300" distR="114300" simplePos="0" relativeHeight="251659264" behindDoc="0" locked="0" layoutInCell="1" hidden="0" allowOverlap="1" wp14:anchorId="57E4DE51" wp14:editId="0231BBD8">
            <wp:simplePos x="0" y="0"/>
            <wp:positionH relativeFrom="column">
              <wp:posOffset>4019550</wp:posOffset>
            </wp:positionH>
            <wp:positionV relativeFrom="paragraph">
              <wp:posOffset>1181100</wp:posOffset>
            </wp:positionV>
            <wp:extent cx="2833688" cy="1708799"/>
            <wp:effectExtent l="0" t="0" r="0" b="0"/>
            <wp:wrapSquare wrapText="bothSides" distT="114300" distB="114300" distL="114300" distR="11430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833688" cy="1708799"/>
                    </a:xfrm>
                    <a:prstGeom prst="rect">
                      <a:avLst/>
                    </a:prstGeom>
                    <a:ln/>
                  </pic:spPr>
                </pic:pic>
              </a:graphicData>
            </a:graphic>
          </wp:anchor>
        </w:drawing>
      </w:r>
    </w:p>
    <w:p w14:paraId="7ADC5F3E" w14:textId="77777777" w:rsidR="0013056D" w:rsidRDefault="003B1C8C">
      <w:pPr>
        <w:numPr>
          <w:ilvl w:val="0"/>
          <w:numId w:val="1"/>
        </w:numPr>
        <w:spacing w:after="0"/>
        <w:ind w:left="1260" w:firstLine="15"/>
      </w:pPr>
      <w:r>
        <w:t xml:space="preserve">Speed: Men’s </w:t>
      </w:r>
      <w:proofErr w:type="spellStart"/>
      <w:r>
        <w:t>olympic</w:t>
      </w:r>
      <w:proofErr w:type="spellEnd"/>
      <w:r>
        <w:t xml:space="preserve"> 100m</w:t>
      </w:r>
    </w:p>
    <w:p w14:paraId="733ECD33" w14:textId="77777777" w:rsidR="0013056D" w:rsidRDefault="003B1C8C">
      <w:pPr>
        <w:numPr>
          <w:ilvl w:val="0"/>
          <w:numId w:val="1"/>
        </w:numPr>
        <w:spacing w:after="0"/>
        <w:ind w:left="1260" w:firstLine="15"/>
      </w:pPr>
      <w:r>
        <w:t xml:space="preserve">Distance: Men’s </w:t>
      </w:r>
      <w:proofErr w:type="spellStart"/>
      <w:r>
        <w:t>olympic</w:t>
      </w:r>
      <w:proofErr w:type="spellEnd"/>
      <w:r>
        <w:t xml:space="preserve"> long jump</w:t>
      </w:r>
    </w:p>
    <w:p w14:paraId="4B530B26" w14:textId="77777777" w:rsidR="0013056D" w:rsidRDefault="003B1C8C">
      <w:pPr>
        <w:numPr>
          <w:ilvl w:val="0"/>
          <w:numId w:val="1"/>
        </w:numPr>
        <w:spacing w:after="0"/>
        <w:ind w:left="1260" w:firstLine="15"/>
      </w:pPr>
      <w:r>
        <w:t>Scale: Comparisons of skyscrapers</w:t>
      </w:r>
    </w:p>
    <w:p w14:paraId="4BDF80C1" w14:textId="77777777" w:rsidR="0013056D" w:rsidRDefault="003B1C8C">
      <w:pPr>
        <w:numPr>
          <w:ilvl w:val="0"/>
          <w:numId w:val="1"/>
        </w:numPr>
        <w:spacing w:after="0"/>
        <w:ind w:left="1260" w:firstLine="15"/>
      </w:pPr>
      <w:r>
        <w:t>Discrete Quantiti</w:t>
      </w:r>
      <w:r>
        <w:t>es (of Humans): Hong Kong Protests</w:t>
      </w:r>
    </w:p>
    <w:p w14:paraId="585B3EAF" w14:textId="77777777" w:rsidR="0013056D" w:rsidRDefault="003B1C8C">
      <w:pPr>
        <w:numPr>
          <w:ilvl w:val="0"/>
          <w:numId w:val="1"/>
        </w:numPr>
        <w:spacing w:after="0"/>
        <w:ind w:left="1260" w:firstLine="15"/>
      </w:pPr>
      <w:r>
        <w:t>Abstract Measures: US Debt Visualized</w:t>
      </w:r>
    </w:p>
    <w:p w14:paraId="3F809FDC" w14:textId="77777777" w:rsidR="0013056D" w:rsidRDefault="003B1C8C">
      <w:pPr>
        <w:numPr>
          <w:ilvl w:val="0"/>
          <w:numId w:val="1"/>
        </w:numPr>
        <w:ind w:left="1260" w:firstLine="15"/>
      </w:pPr>
      <w:r>
        <w:t>Extreme Scale: Solar System</w:t>
      </w:r>
    </w:p>
    <w:p w14:paraId="44817E0F" w14:textId="77777777" w:rsidR="0013056D" w:rsidRDefault="003B1C8C">
      <w:pPr>
        <w:ind w:left="-180" w:firstLine="15"/>
      </w:pPr>
      <w:r>
        <w:lastRenderedPageBreak/>
        <w:t>The study found that the prototypes testing understanding of Speed (E1), Scale (E3), and Abstract Quantities (E5) were the most effective in facilitating t</w:t>
      </w:r>
      <w:r>
        <w:t xml:space="preserve">he comprehension of the data through emotional responses triggered by the </w:t>
      </w:r>
      <w:proofErr w:type="spellStart"/>
      <w:r>
        <w:t>viscerality</w:t>
      </w:r>
      <w:proofErr w:type="spellEnd"/>
      <w:r>
        <w:t xml:space="preserve"> of the data narrative. These tests, in addition to the analysis of the other data types, provided valuable insight into design approaches.</w:t>
      </w:r>
      <w:r>
        <w:rPr>
          <w:noProof/>
        </w:rPr>
        <w:drawing>
          <wp:anchor distT="57150" distB="57150" distL="57150" distR="57150" simplePos="0" relativeHeight="251660288" behindDoc="0" locked="0" layoutInCell="1" hidden="0" allowOverlap="1" wp14:anchorId="49000EF5" wp14:editId="224A9D68">
            <wp:simplePos x="0" y="0"/>
            <wp:positionH relativeFrom="column">
              <wp:posOffset>2209800</wp:posOffset>
            </wp:positionH>
            <wp:positionV relativeFrom="paragraph">
              <wp:posOffset>771525</wp:posOffset>
            </wp:positionV>
            <wp:extent cx="1573799" cy="2033561"/>
            <wp:effectExtent l="0" t="0" r="0" b="0"/>
            <wp:wrapTopAndBottom distT="57150" distB="5715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573799" cy="2033561"/>
                    </a:xfrm>
                    <a:prstGeom prst="rect">
                      <a:avLst/>
                    </a:prstGeom>
                    <a:ln/>
                  </pic:spPr>
                </pic:pic>
              </a:graphicData>
            </a:graphic>
          </wp:anchor>
        </w:drawing>
      </w:r>
      <w:r>
        <w:rPr>
          <w:noProof/>
        </w:rPr>
        <w:drawing>
          <wp:anchor distT="57150" distB="57150" distL="57150" distR="57150" simplePos="0" relativeHeight="251661312" behindDoc="0" locked="0" layoutInCell="1" hidden="0" allowOverlap="1" wp14:anchorId="23856571" wp14:editId="4F915E8A">
            <wp:simplePos x="0" y="0"/>
            <wp:positionH relativeFrom="column">
              <wp:posOffset>4305300</wp:posOffset>
            </wp:positionH>
            <wp:positionV relativeFrom="paragraph">
              <wp:posOffset>771525</wp:posOffset>
            </wp:positionV>
            <wp:extent cx="1844386" cy="2028825"/>
            <wp:effectExtent l="0" t="0" r="0" b="0"/>
            <wp:wrapTopAndBottom distT="57150" distB="5715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844386" cy="2028825"/>
                    </a:xfrm>
                    <a:prstGeom prst="rect">
                      <a:avLst/>
                    </a:prstGeom>
                    <a:ln/>
                  </pic:spPr>
                </pic:pic>
              </a:graphicData>
            </a:graphic>
          </wp:anchor>
        </w:drawing>
      </w:r>
      <w:r>
        <w:rPr>
          <w:noProof/>
        </w:rPr>
        <w:drawing>
          <wp:anchor distT="57150" distB="57150" distL="57150" distR="57150" simplePos="0" relativeHeight="251662336" behindDoc="0" locked="0" layoutInCell="1" hidden="0" allowOverlap="1" wp14:anchorId="16E4C0B5" wp14:editId="60C19ACC">
            <wp:simplePos x="0" y="0"/>
            <wp:positionH relativeFrom="column">
              <wp:posOffset>1</wp:posOffset>
            </wp:positionH>
            <wp:positionV relativeFrom="paragraph">
              <wp:posOffset>790575</wp:posOffset>
            </wp:positionV>
            <wp:extent cx="1695450" cy="1972258"/>
            <wp:effectExtent l="0" t="0" r="0" b="0"/>
            <wp:wrapTopAndBottom distT="57150" distB="5715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1695450" cy="1972258"/>
                    </a:xfrm>
                    <a:prstGeom prst="rect">
                      <a:avLst/>
                    </a:prstGeom>
                    <a:ln/>
                  </pic:spPr>
                </pic:pic>
              </a:graphicData>
            </a:graphic>
          </wp:anchor>
        </w:drawing>
      </w:r>
    </w:p>
    <w:p w14:paraId="36CDD5B3" w14:textId="77777777" w:rsidR="0013056D" w:rsidRDefault="0013056D">
      <w:pPr>
        <w:ind w:left="-180" w:firstLine="15"/>
      </w:pPr>
    </w:p>
    <w:p w14:paraId="118BFC1D" w14:textId="77777777" w:rsidR="0013056D" w:rsidRDefault="003B1C8C">
      <w:pPr>
        <w:ind w:left="-180" w:firstLine="15"/>
      </w:pPr>
      <w:r>
        <w:t>The main insights from this</w:t>
      </w:r>
      <w:r>
        <w:t xml:space="preserve"> paper were design approaches on perspective, virtuality, realism, annotations, and data transformations. The study showed that there is a “perceptual sweet spot” for accurate data scales and that human scale-objects were most effective at quick understand</w:t>
      </w:r>
      <w:r>
        <w:t>ing, though researchers note that “egocentric distance estimations” could potentially lead to warped interpretations. Virtuality and the ability to manipulate the scene proved that adjusting the viewpoint and scale can enable more thorough comprehension wh</w:t>
      </w:r>
      <w:r>
        <w:t xml:space="preserve">ile saving users’ time exploring. The study proved that some realism is necessary to provide context but that it doesn’t need to be high-fidelity and a lack of realism did not affect understanding. Additionally, </w:t>
      </w:r>
      <w:proofErr w:type="gramStart"/>
      <w:r>
        <w:t>annotation  in</w:t>
      </w:r>
      <w:proofErr w:type="gramEnd"/>
      <w:r>
        <w:t xml:space="preserve"> prototypes did not distract f</w:t>
      </w:r>
      <w:r>
        <w:t xml:space="preserve">rom understanding in primitive representations even though researchers found that </w:t>
      </w:r>
    </w:p>
    <w:p w14:paraId="42538DF8" w14:textId="77777777" w:rsidR="0013056D" w:rsidRDefault="003B1C8C">
      <w:pPr>
        <w:ind w:left="540" w:firstLine="15"/>
      </w:pPr>
      <w:r>
        <w:t xml:space="preserve">“This was moderately surprising since, as </w:t>
      </w:r>
      <w:proofErr w:type="spellStart"/>
      <w:r>
        <w:t>Bertin</w:t>
      </w:r>
      <w:proofErr w:type="spellEnd"/>
      <w:r>
        <w:t xml:space="preserve"> specifies [7], reading text can capture user attention and thus reduce the perception of other stimuli, negatively impacting</w:t>
      </w:r>
      <w:r>
        <w:t xml:space="preserve"> the visceral experience with the data.”</w:t>
      </w:r>
    </w:p>
    <w:p w14:paraId="1A7A4E18" w14:textId="77777777" w:rsidR="0013056D" w:rsidRDefault="003B1C8C">
      <w:pPr>
        <w:ind w:left="-180" w:firstLine="15"/>
      </w:pPr>
      <w:r>
        <w:t xml:space="preserve">Lastly, the transformation of data and </w:t>
      </w:r>
      <w:proofErr w:type="gramStart"/>
      <w:r>
        <w:t>it’s</w:t>
      </w:r>
      <w:proofErr w:type="gramEnd"/>
      <w:r>
        <w:t xml:space="preserve"> representation can aid in better understanding of data types such as scale extreme scale. 1:1 scale is the most initially effective, but not always possible, thus requirin</w:t>
      </w:r>
      <w:r>
        <w:t>g the need for relative scales in specific contexts.</w:t>
      </w:r>
      <w:r>
        <w:rPr>
          <w:noProof/>
        </w:rPr>
        <w:drawing>
          <wp:anchor distT="114300" distB="114300" distL="114300" distR="114300" simplePos="0" relativeHeight="251663360" behindDoc="0" locked="0" layoutInCell="1" hidden="0" allowOverlap="1" wp14:anchorId="7E5C630A" wp14:editId="39507C28">
            <wp:simplePos x="0" y="0"/>
            <wp:positionH relativeFrom="column">
              <wp:posOffset>4497965</wp:posOffset>
            </wp:positionH>
            <wp:positionV relativeFrom="paragraph">
              <wp:posOffset>752475</wp:posOffset>
            </wp:positionV>
            <wp:extent cx="2360035" cy="1971675"/>
            <wp:effectExtent l="0" t="0" r="0" b="0"/>
            <wp:wrapSquare wrapText="bothSides" distT="114300" distB="114300" distL="114300" distR="1143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2360035" cy="1971675"/>
                    </a:xfrm>
                    <a:prstGeom prst="rect">
                      <a:avLst/>
                    </a:prstGeom>
                    <a:ln/>
                  </pic:spPr>
                </pic:pic>
              </a:graphicData>
            </a:graphic>
          </wp:anchor>
        </w:drawing>
      </w:r>
    </w:p>
    <w:p w14:paraId="6112B0E1" w14:textId="77777777" w:rsidR="0013056D" w:rsidRDefault="003B1C8C">
      <w:pPr>
        <w:ind w:left="-180" w:firstLine="15"/>
      </w:pPr>
      <w:r>
        <w:t>In conclusion, this study finds that data visualizations have a great application to reality based on users’ mental, emotional and physical application to their own lives, and thus work well as a comple</w:t>
      </w:r>
      <w:r>
        <w:t xml:space="preserve">ment to data visualizations. While data visualizations can provide analysis and interpretation, data </w:t>
      </w:r>
      <w:proofErr w:type="spellStart"/>
      <w:r>
        <w:t>visceralization</w:t>
      </w:r>
      <w:proofErr w:type="spellEnd"/>
      <w:r>
        <w:t xml:space="preserve"> can provide a connection to real-world understanding and thus help build mental models for applying that comprehension of data narrative. F</w:t>
      </w:r>
      <w:r>
        <w:t xml:space="preserve">uture research is aimed at expanding media types studied in data </w:t>
      </w:r>
      <w:proofErr w:type="spellStart"/>
      <w:r>
        <w:t>visceralization</w:t>
      </w:r>
      <w:proofErr w:type="spellEnd"/>
      <w:r>
        <w:t xml:space="preserve"> including augmented reality, haptic stimulation and olfactory devices.</w:t>
      </w:r>
    </w:p>
    <w:sectPr w:rsidR="0013056D">
      <w:pgSz w:w="12240" w:h="15840"/>
      <w:pgMar w:top="1170" w:right="720" w:bottom="99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Helvetica Neue Light">
    <w:altName w:val="Helvetica Neue Light"/>
    <w:panose1 w:val="02000403000000020004"/>
    <w:charset w:val="00"/>
    <w:family w:val="auto"/>
    <w:pitch w:val="variable"/>
    <w:sig w:usb0="A00002FF" w:usb1="5000205B" w:usb2="00000002" w:usb3="00000000" w:csb0="00000007" w:csb1="00000000"/>
  </w:font>
  <w:font w:name="Helvetica Neue">
    <w:altName w:val="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BC0CC9"/>
    <w:multiLevelType w:val="multilevel"/>
    <w:tmpl w:val="601A4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56D"/>
    <w:rsid w:val="0013056D"/>
    <w:rsid w:val="003B1C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AF4F6E1"/>
  <w15:docId w15:val="{EA10CEED-575F-C846-9D76-DCDFAB7F3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Helvetica Neue Light" w:eastAsia="Helvetica Neue Light" w:hAnsi="Helvetica Neue Light" w:cs="Helvetica Neue Light"/>
        <w:lang w:val="en" w:eastAsia="en-US" w:bidi="ar-SA"/>
      </w:rPr>
    </w:rPrDefault>
    <w:pPrDefault>
      <w:pPr>
        <w:spacing w:after="200" w:line="360" w:lineRule="auto"/>
        <w:ind w:left="880" w:hanging="4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480" w:after="360"/>
      <w:ind w:left="0" w:firstLine="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ind w:left="0" w:firstLine="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raphics.wsj.com/3d-nasdaq/"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virtual.ieeevis.org/paper_f-info-1084.html"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737</Words>
  <Characters>4207</Characters>
  <Application>Microsoft Office Word</Application>
  <DocSecurity>0</DocSecurity>
  <Lines>35</Lines>
  <Paragraphs>9</Paragraphs>
  <ScaleCrop>false</ScaleCrop>
  <Company/>
  <LinksUpToDate>false</LinksUpToDate>
  <CharactersWithSpaces>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Shea Molloy</cp:lastModifiedBy>
  <cp:revision>2</cp:revision>
  <dcterms:created xsi:type="dcterms:W3CDTF">2020-11-04T01:28:00Z</dcterms:created>
  <dcterms:modified xsi:type="dcterms:W3CDTF">2020-11-04T01:28:00Z</dcterms:modified>
</cp:coreProperties>
</file>