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line="360" w:lineRule="auto"/>
        <w:rPr>
          <w:b w:val="1"/>
          <w:color w:val="000000"/>
        </w:rPr>
      </w:pPr>
      <w:bookmarkStart w:colFirst="0" w:colLast="0" w:name="_f2vfvzl8vbf1" w:id="0"/>
      <w:bookmarkEnd w:id="0"/>
      <w:r w:rsidDel="00000000" w:rsidR="00000000" w:rsidRPr="00000000">
        <w:rPr>
          <w:rtl w:val="0"/>
        </w:rPr>
        <w:t xml:space="preserve">Методология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480" w:line="360" w:lineRule="auto"/>
        <w:ind w:left="566.9291338582675" w:hanging="566.9291338582675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Вы точно знаете, что вы изобрели (иными словами, что является объектом научной новизны)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0" w:beforeAutospacing="0" w:line="360" w:lineRule="auto"/>
        <w:ind w:left="566.9291338582675" w:hanging="566.9291338582675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После чтения обзора литературы у неопытного читателя может сложиться впечатление, что то, что вы предлагаете – это лучшее, что случалось с наукой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beforeAutospacing="0" w:line="360" w:lineRule="auto"/>
        <w:ind w:left="566.9291338582675" w:right="0" w:hanging="566.9291338582675"/>
        <w:jc w:val="both"/>
      </w:pPr>
      <w:r w:rsidDel="00000000" w:rsidR="00000000" w:rsidRPr="00000000">
        <w:rPr>
          <w:sz w:val="24"/>
          <w:szCs w:val="24"/>
          <w:rtl w:val="0"/>
        </w:rPr>
        <w:t xml:space="preserve">Каждый полученный вами эмпирически результат а) прокомментирован, б) подкрепляет выдвинутые вами исследовательские гипотезы и в) не противоречит позиционированию работы</w:t>
      </w:r>
    </w:p>
    <w:p w:rsidR="00000000" w:rsidDel="00000000" w:rsidP="00000000" w:rsidRDefault="00000000" w:rsidRPr="00000000" w14:paraId="00000005">
      <w:pPr>
        <w:pStyle w:val="Heading3"/>
        <w:spacing w:after="260" w:before="520" w:line="360" w:lineRule="auto"/>
        <w:jc w:val="both"/>
        <w:rPr/>
      </w:pPr>
      <w:bookmarkStart w:colFirst="0" w:colLast="0" w:name="_gqm8eea1cqj9" w:id="1"/>
      <w:bookmarkEnd w:id="1"/>
      <w:r w:rsidDel="00000000" w:rsidR="00000000" w:rsidRPr="00000000">
        <w:rPr>
          <w:rtl w:val="0"/>
        </w:rPr>
        <w:t xml:space="preserve">Структура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80" w:line="360" w:lineRule="auto"/>
        <w:ind w:left="566.9291338582675" w:right="0" w:hanging="566.9291338582675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Ваши коллеги после прочтения абстракта не задают вопросов, которые кажутся вам идиотскими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566.9291338582675" w:right="0" w:hanging="566.9291338582675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Заявленное в абстракте примерно совпадает с тем, что вы пишете а заключении (а не открывает совершенно новые стороны и уже тем более не вступает в противоречие)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566.9291338582675" w:right="0" w:hanging="566.9291338582675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Текст разделен на параграфы: именованные – там, где это уместно и допускается шаблоном статьи, неименованные – во всех остальных случаях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566.9291338582675" w:right="0" w:hanging="566.9291338582675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Структурно одинаковые части текста – подсекции, параграфы – примерно одинаковы и по размеру (не отличаются на порядок)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beforeAutospacing="0" w:line="360" w:lineRule="auto"/>
        <w:ind w:left="566.9291338582675" w:right="0" w:hanging="566.9291338582675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Заключение написано в прошедшем времени, Обзор литературы – в настоящем и прошедшем, все остальное – в настоящем</w:t>
      </w:r>
    </w:p>
    <w:p w:rsidR="00000000" w:rsidDel="00000000" w:rsidP="00000000" w:rsidRDefault="00000000" w:rsidRPr="00000000" w14:paraId="0000000B">
      <w:pPr>
        <w:pStyle w:val="Heading3"/>
        <w:spacing w:after="260" w:before="520" w:line="360" w:lineRule="auto"/>
        <w:jc w:val="both"/>
        <w:rPr/>
      </w:pPr>
      <w:bookmarkStart w:colFirst="0" w:colLast="0" w:name="_anlog7scivrw" w:id="2"/>
      <w:bookmarkEnd w:id="2"/>
      <w:r w:rsidDel="00000000" w:rsidR="00000000" w:rsidRPr="00000000">
        <w:rPr>
          <w:rtl w:val="0"/>
        </w:rPr>
        <w:t xml:space="preserve">Эксперименты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480" w:line="360" w:lineRule="auto"/>
        <w:ind w:left="566.9291338582675" w:hanging="566.9291338582675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Выбор бенчмарков логически проистекает из позиционирования работы: метрики понятным образом соотносятся с теми аспектами вашего подхода, которые вы хотели бы продемонстрировать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360" w:lineRule="auto"/>
        <w:ind w:left="566.9291338582675" w:hanging="566.9291338582675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Кроме метрик качества, вы также приводите показатели производительности вашего подхода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360" w:lineRule="auto"/>
        <w:ind w:left="566.9291338582675" w:hanging="566.9291338582675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Значение метрик, их связь с наблюдаемыми характеристиками метода объяснена в тексте (а в идеале – еще и наглядно показана на примерах)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360" w:lineRule="auto"/>
        <w:ind w:left="566.9291338582675" w:hanging="566.9291338582675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Выбор метрик логически проистекает из позиционирования работы: метрики понятным образом соотносятся с теми аспектами вашего подхода, которые вы хотели бы продемонстрировать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480" w:before="0" w:beforeAutospacing="0" w:line="360" w:lineRule="auto"/>
        <w:ind w:left="566.9291338582675" w:hanging="566.9291338582675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Все утверждения относительно вашего подхода, которые вы делаете, подкреплены эмпирическими свидетельствами</w:t>
      </w:r>
    </w:p>
    <w:p w:rsidR="00000000" w:rsidDel="00000000" w:rsidP="00000000" w:rsidRDefault="00000000" w:rsidRPr="00000000" w14:paraId="00000011">
      <w:pPr>
        <w:pStyle w:val="Heading3"/>
        <w:spacing w:after="260" w:before="520" w:line="360" w:lineRule="auto"/>
        <w:jc w:val="both"/>
        <w:rPr/>
      </w:pPr>
      <w:bookmarkStart w:colFirst="0" w:colLast="0" w:name="_abxu2opqmb5q" w:id="3"/>
      <w:bookmarkEnd w:id="3"/>
      <w:r w:rsidDel="00000000" w:rsidR="00000000" w:rsidRPr="00000000">
        <w:rPr>
          <w:rtl w:val="0"/>
        </w:rPr>
        <w:t xml:space="preserve">Текст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480" w:line="360" w:lineRule="auto"/>
        <w:ind w:left="566.9291338582675" w:hanging="566.9291338582675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Ваш случайный знакомый может произнести название вашей статьи с первого раза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="360" w:lineRule="auto"/>
        <w:ind w:left="566.9291338582675" w:hanging="566.9291338582675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Название статьи умещается в три строчки (лучше в две)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="360" w:lineRule="auto"/>
        <w:ind w:left="566.9291338582675" w:hanging="566.9291338582675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Вы используете устоявшуюся терминологию / вводите термин при первом упоминании, а далее по тексту используете только его – а не упражняетесь в изобретении синонимов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="360" w:lineRule="auto"/>
        <w:ind w:left="566.9291338582675" w:hanging="566.9291338582675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В тексте статьи в среднем меньше трех запятых на предложение (а больше четырех вообще не бывает)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="360" w:lineRule="auto"/>
        <w:ind w:left="566.9291338582675" w:hanging="566.9291338582675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Вы чередуете предложения в активном и пассивном залоге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="360" w:lineRule="auto"/>
        <w:ind w:left="566.9291338582675" w:hanging="566.9291338582675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Во всех предложениях подлежащее согласуется со сказуемым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="360" w:lineRule="auto"/>
        <w:ind w:left="566.9291338582675" w:hanging="566.9291338582675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Вы не боитесь использовать вводные слова и используете их уместно (как минимум – понимаете, как они переводятся)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480" w:before="0" w:beforeAutospacing="0" w:line="360" w:lineRule="auto"/>
        <w:ind w:left="566.9291338582675" w:hanging="566.9291338582675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Вы не огорчаете читателя тем, что в вашей статье чего-то не хватает</w:t>
      </w:r>
    </w:p>
    <w:p w:rsidR="00000000" w:rsidDel="00000000" w:rsidP="00000000" w:rsidRDefault="00000000" w:rsidRPr="00000000" w14:paraId="0000001A">
      <w:pPr>
        <w:pStyle w:val="Heading3"/>
        <w:spacing w:after="260" w:before="520" w:line="360" w:lineRule="auto"/>
        <w:jc w:val="both"/>
        <w:rPr/>
      </w:pPr>
      <w:bookmarkStart w:colFirst="0" w:colLast="0" w:name="_nuxu8w62q9sj" w:id="4"/>
      <w:bookmarkEnd w:id="4"/>
      <w:r w:rsidDel="00000000" w:rsidR="00000000" w:rsidRPr="00000000">
        <w:rPr>
          <w:rtl w:val="0"/>
        </w:rPr>
        <w:t xml:space="preserve">Дизайн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480" w:line="360" w:lineRule="auto"/>
        <w:ind w:left="566.9291338582675" w:hanging="585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Везде, где это возможно, вы показываете, а не объясняете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360" w:lineRule="auto"/>
        <w:ind w:left="566.9291338582675" w:hanging="585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Иллюстрации в целом вызывают смутное узнавание, будто вы видели нечто похожее много раз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360" w:lineRule="auto"/>
        <w:ind w:left="566.9291338582675" w:hanging="585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Вы выбираете средства визуализации исходя из их читаемости, а не личных эстетических предпочтений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360" w:lineRule="auto"/>
        <w:ind w:left="566.9291338582675" w:hanging="585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Иллюстрации выполнены в близкой цветовой гамме (или хотя бы не вызывают зрительный спазм)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360" w:lineRule="auto"/>
        <w:ind w:left="566.9291338582675" w:hanging="585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В иллюстрациях одни и тех же сущности обозначены одинаковыми цветами, символами и сокращениями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480" w:before="0" w:beforeAutospacing="0" w:line="360" w:lineRule="auto"/>
        <w:ind w:left="566.9291338582675" w:hanging="585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В иллюстрациях используется одинаковый или очень похожий шрифт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520" w:lineRule="auto"/>
      <w:jc w:val="both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