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sz w:val="24"/>
          <w:szCs w:val="24"/>
        </w:rPr>
        <w:t xml:space="preserve">Subject: </w:t>
      </w:r>
      <w:r>
        <w:rPr>
          <w:rFonts w:ascii="Calibri" w:cs="Calibri" w:eastAsia="Calibri" w:hAnsi="Calibri"/>
          <w:sz w:val="24"/>
          <w:szCs w:val="24"/>
        </w:rPr>
        <w:t xml:space="preserve">Re: Security Compliance Mapping — ESEMS responses</w:t>
      </w:r>
    </w:p>
    <w:p>
      <w:pPr>
        <w:spacing w:after="120"/>
      </w:pPr>
      <w:r>
        <w:rPr>
          <w:rFonts w:ascii="Calibri" w:cs="Calibri" w:eastAsia="Calibri" w:hAnsi="Calibri"/>
          <w:sz w:val="22"/>
          <w:szCs w:val="22"/>
        </w:rPr>
        <w:t xml:space="preserve">Dear Colleagues,</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Thank you for the detailed review and for sharing the compliance gaps. Below is our point-by-point response. We have grouped items into (A) already implemented in ESEMS, (B) configured at deployment, and (C) joint actions that require coordination with the MBRHE infrastructure / IT Security team. Evidence is available on request and we welcome a working session to walk through any item.</w:t>
      </w:r>
    </w:p>
    <w:p>
      <w:pPr>
        <w:pBdr>
          <w:bottom w:val="single" w:color="005B99" w:sz="6" w:space="1"/>
        </w:pBdr>
        <w:spacing w:after="240" w:before="240"/>
      </w:pPr>
      <w:r>
        <w:t xml:space="preserve"/>
      </w:r>
    </w:p>
    <w:p>
      <w:pPr>
        <w:spacing w:after="120" w:before="280"/>
      </w:pPr>
      <w:r>
        <w:rPr>
          <w:rFonts w:ascii="Calibri" w:cs="Calibri" w:eastAsia="Calibri" w:hAnsi="Calibri"/>
          <w:b/>
          <w:bCs/>
          <w:color w:val="005B99"/>
          <w:sz w:val="24"/>
          <w:szCs w:val="24"/>
        </w:rPr>
        <w:t xml:space="preserve">1. Full auditability, traceability, and policy enforcement — </w:t>
      </w:r>
      <w:r>
        <w:rPr>
          <w:rFonts w:ascii="Calibri" w:cs="Calibri" w:eastAsia="Calibri" w:hAnsi="Calibri"/>
          <w:b/>
          <w:bCs/>
          <w:i/>
          <w:iCs/>
          <w:color w:val="005B99"/>
          <w:sz w:val="24"/>
          <w:szCs w:val="24"/>
        </w:rPr>
        <w:t xml:space="preserve">(A) Implemented</w:t>
      </w:r>
    </w:p>
    <w:p>
      <w:pPr>
        <w:spacing w:after="120"/>
      </w:pPr>
      <w:r>
        <w:rPr>
          <w:rFonts w:ascii="Calibri" w:cs="Calibri" w:eastAsia="Calibri" w:hAnsi="Calibri"/>
          <w:sz w:val="22"/>
          <w:szCs w:val="22"/>
        </w:rPr>
        <w:t xml:space="preserve">ESEMS includes a built-in audit subsystem. Every Create / Read / Update / Delete on the core entities (Processes, Services, Improvements, Risks, Strategic Objectives, KPIs, Users, Roles, Approval Configurations, Workflow Instances, etc.) writes a row to the AuditLogs table with: timestamp (Dubai time, immutable), user ID, IP address, action verb, entity type, entity ID, before/after JSON snapshot, and an integrity sequence number. Read-auditing is also captured (configurable). The audit log is read-only from the UI and tamper-evident.</w:t>
      </w:r>
    </w:p>
    <w:p>
      <w:pPr>
        <w:spacing w:after="120" w:before="280"/>
      </w:pPr>
      <w:r>
        <w:rPr>
          <w:rFonts w:ascii="Calibri" w:cs="Calibri" w:eastAsia="Calibri" w:hAnsi="Calibri"/>
          <w:b/>
          <w:bCs/>
          <w:color w:val="005B99"/>
          <w:sz w:val="24"/>
          <w:szCs w:val="24"/>
        </w:rPr>
        <w:t xml:space="preserve">2. Comprehensive audit logs (user activities, system changes, data modifications) — </w:t>
      </w:r>
      <w:r>
        <w:rPr>
          <w:rFonts w:ascii="Calibri" w:cs="Calibri" w:eastAsia="Calibri" w:hAnsi="Calibri"/>
          <w:b/>
          <w:bCs/>
          <w:i/>
          <w:iCs/>
          <w:color w:val="005B99"/>
          <w:sz w:val="24"/>
          <w:szCs w:val="24"/>
        </w:rPr>
        <w:t xml:space="preserve">(A) Implemented</w:t>
      </w:r>
    </w:p>
    <w:p>
      <w:pPr>
        <w:spacing w:after="120"/>
      </w:pPr>
      <w:r>
        <w:rPr>
          <w:rFonts w:ascii="Calibri" w:cs="Calibri" w:eastAsia="Calibri" w:hAnsi="Calibri"/>
          <w:sz w:val="22"/>
          <w:szCs w:val="22"/>
        </w:rPr>
        <w:t xml:space="preserve">The Settings Hub → Activity Logs tab surfaces the latest 50 events, and the full /AuditLogs route exposes paginated history with filters (user, entity, date range, action). Exports are available in CSV and Excel for offline analysis.</w:t>
      </w:r>
    </w:p>
    <w:p>
      <w:pPr>
        <w:spacing w:after="120" w:before="280"/>
      </w:pPr>
      <w:r>
        <w:rPr>
          <w:rFonts w:ascii="Calibri" w:cs="Calibri" w:eastAsia="Calibri" w:hAnsi="Calibri"/>
          <w:b/>
          <w:bCs/>
          <w:color w:val="005B99"/>
          <w:sz w:val="24"/>
          <w:szCs w:val="24"/>
        </w:rPr>
        <w:t xml:space="preserve">3. Integration with MBRHE's SIEM for real-time monitoring and alerting — </w:t>
      </w:r>
      <w:r>
        <w:rPr>
          <w:rFonts w:ascii="Calibri" w:cs="Calibri" w:eastAsia="Calibri" w:hAnsi="Calibri"/>
          <w:b/>
          <w:bCs/>
          <w:i/>
          <w:iCs/>
          <w:color w:val="005B99"/>
          <w:sz w:val="24"/>
          <w:szCs w:val="24"/>
        </w:rPr>
        <w:t xml:space="preserve">(C) Joint action</w:t>
      </w:r>
    </w:p>
    <w:p>
      <w:pPr>
        <w:spacing w:after="120"/>
      </w:pPr>
      <w:r>
        <w:rPr>
          <w:rFonts w:ascii="Calibri" w:cs="Calibri" w:eastAsia="Calibri" w:hAnsi="Calibri"/>
          <w:sz w:val="22"/>
          <w:szCs w:val="22"/>
        </w:rPr>
        <w:t xml:space="preserve">ESEMS emits structured logs via the standard ASP.NET Core logging pipeline (Serilog-compatible). We will deliver a SIEM forwarding adapter on request — typical configurations:</w:t>
      </w:r>
    </w:p>
    <w:p>
      <w:pPr>
        <w:pStyle w:val="ListParagraph"/>
        <w:numPr>
          <w:ilvl w:val="0"/>
          <w:numId w:val="2"/>
        </w:numPr>
        <w:spacing w:after="80"/>
      </w:pPr>
      <w:r>
        <w:rPr>
          <w:rFonts w:ascii="Calibri" w:cs="Calibri" w:eastAsia="Calibri" w:hAnsi="Calibri"/>
          <w:b/>
          <w:bCs/>
          <w:sz w:val="22"/>
          <w:szCs w:val="22"/>
        </w:rPr>
        <w:t xml:space="preserve">Splunk —</w:t>
      </w:r>
      <w:r>
        <w:rPr>
          <w:rFonts w:ascii="Calibri" w:cs="Calibri" w:eastAsia="Calibri" w:hAnsi="Calibri"/>
          <w:sz w:val="22"/>
          <w:szCs w:val="22"/>
        </w:rPr>
        <w:t xml:space="preserve"> </w:t>
      </w:r>
      <w:r>
        <w:rPr>
          <w:rFonts w:ascii="Calibri" w:cs="Calibri" w:eastAsia="Calibri" w:hAnsi="Calibri"/>
          <w:sz w:val="22"/>
          <w:szCs w:val="22"/>
        </w:rPr>
        <w:t xml:space="preserve">HTTP Event Collector (HEC) sink</w:t>
      </w:r>
    </w:p>
    <w:p>
      <w:pPr>
        <w:pStyle w:val="ListParagraph"/>
        <w:numPr>
          <w:ilvl w:val="0"/>
          <w:numId w:val="2"/>
        </w:numPr>
        <w:spacing w:after="80"/>
      </w:pPr>
      <w:r>
        <w:rPr>
          <w:rFonts w:ascii="Calibri" w:cs="Calibri" w:eastAsia="Calibri" w:hAnsi="Calibri"/>
          <w:b/>
          <w:bCs/>
          <w:sz w:val="22"/>
          <w:szCs w:val="22"/>
        </w:rPr>
        <w:t xml:space="preserve">Microsoft Sentinel —</w:t>
      </w:r>
      <w:r>
        <w:rPr>
          <w:rFonts w:ascii="Calibri" w:cs="Calibri" w:eastAsia="Calibri" w:hAnsi="Calibri"/>
          <w:sz w:val="22"/>
          <w:szCs w:val="22"/>
        </w:rPr>
        <w:t xml:space="preserve"> </w:t>
      </w:r>
      <w:r>
        <w:rPr>
          <w:rFonts w:ascii="Calibri" w:cs="Calibri" w:eastAsia="Calibri" w:hAnsi="Calibri"/>
          <w:sz w:val="22"/>
          <w:szCs w:val="22"/>
        </w:rPr>
        <w:t xml:space="preserve">Log Analytics workspace via the Azure Monitor sink</w:t>
      </w:r>
    </w:p>
    <w:p>
      <w:pPr>
        <w:pStyle w:val="ListParagraph"/>
        <w:numPr>
          <w:ilvl w:val="0"/>
          <w:numId w:val="2"/>
        </w:numPr>
        <w:spacing w:after="80"/>
      </w:pPr>
      <w:r>
        <w:rPr>
          <w:rFonts w:ascii="Calibri" w:cs="Calibri" w:eastAsia="Calibri" w:hAnsi="Calibri"/>
          <w:b/>
          <w:bCs/>
          <w:sz w:val="22"/>
          <w:szCs w:val="22"/>
        </w:rPr>
        <w:t xml:space="preserve">Syslog (RFC 5424) —</w:t>
      </w:r>
      <w:r>
        <w:rPr>
          <w:rFonts w:ascii="Calibri" w:cs="Calibri" w:eastAsia="Calibri" w:hAnsi="Calibri"/>
          <w:sz w:val="22"/>
          <w:szCs w:val="22"/>
        </w:rPr>
        <w:t xml:space="preserve"> </w:t>
      </w:r>
      <w:r>
        <w:rPr>
          <w:rFonts w:ascii="Calibri" w:cs="Calibri" w:eastAsia="Calibri" w:hAnsi="Calibri"/>
          <w:sz w:val="22"/>
          <w:szCs w:val="22"/>
        </w:rPr>
        <w:t xml:space="preserve">for QRadar / ArcSight on-prem</w:t>
      </w:r>
    </w:p>
    <w:p>
      <w:pPr>
        <w:spacing w:after="120"/>
      </w:pPr>
      <w:r>
        <w:rPr>
          <w:rFonts w:ascii="Calibri" w:cs="Calibri" w:eastAsia="Calibri" w:hAnsi="Calibri"/>
          <w:sz w:val="22"/>
          <w:szCs w:val="22"/>
        </w:rPr>
        <w:t xml:space="preserve">We need the MBRHE security team to confirm the target SIEM, ingestion endpoint, and credentialing model. Implementation: 2–3 days once those parameters are confirmed.</w:t>
      </w:r>
    </w:p>
    <w:p>
      <w:pPr>
        <w:spacing w:after="120" w:before="280"/>
      </w:pPr>
      <w:r>
        <w:rPr>
          <w:rFonts w:ascii="Calibri" w:cs="Calibri" w:eastAsia="Calibri" w:hAnsi="Calibri"/>
          <w:b/>
          <w:bCs/>
          <w:color w:val="005B99"/>
          <w:sz w:val="24"/>
          <w:szCs w:val="24"/>
        </w:rPr>
        <w:t xml:space="preserve">4. Integration with SSO and enterprise identity management — </w:t>
      </w:r>
      <w:r>
        <w:rPr>
          <w:rFonts w:ascii="Calibri" w:cs="Calibri" w:eastAsia="Calibri" w:hAnsi="Calibri"/>
          <w:b/>
          <w:bCs/>
          <w:i/>
          <w:iCs/>
          <w:color w:val="005B99"/>
          <w:sz w:val="24"/>
          <w:szCs w:val="24"/>
        </w:rPr>
        <w:t xml:space="preserve">(C) Joint action</w:t>
      </w:r>
    </w:p>
    <w:p>
      <w:pPr>
        <w:spacing w:after="120"/>
      </w:pPr>
      <w:r>
        <w:rPr>
          <w:rFonts w:ascii="Calibri" w:cs="Calibri" w:eastAsia="Calibri" w:hAnsi="Calibri"/>
          <w:sz w:val="22"/>
          <w:szCs w:val="22"/>
        </w:rPr>
        <w:t xml:space="preserve">ESEMS supports Windows Authentication (Kerberos / NTLM via IIS), enabled by default in production configuration. For Azure AD / Microsoft Entra ID via OIDC or SAML 2.0, we can add the required middleware once MBRHE provides:</w:t>
      </w:r>
    </w:p>
    <w:p>
      <w:pPr>
        <w:pStyle w:val="ListParagraph"/>
        <w:numPr>
          <w:ilvl w:val="0"/>
          <w:numId w:val="2"/>
        </w:numPr>
        <w:spacing w:after="80"/>
      </w:pPr>
      <w:r>
        <w:rPr>
          <w:rFonts w:ascii="Calibri" w:cs="Calibri" w:eastAsia="Calibri" w:hAnsi="Calibri"/>
          <w:sz w:val="22"/>
          <w:szCs w:val="22"/>
        </w:rPr>
        <w:t xml:space="preserve">Tenant ID, Client ID, redirect URIs</w:t>
      </w:r>
    </w:p>
    <w:p>
      <w:pPr>
        <w:pStyle w:val="ListParagraph"/>
        <w:numPr>
          <w:ilvl w:val="0"/>
          <w:numId w:val="2"/>
        </w:numPr>
        <w:spacing w:after="80"/>
      </w:pPr>
      <w:r>
        <w:rPr>
          <w:rFonts w:ascii="Calibri" w:cs="Calibri" w:eastAsia="Calibri" w:hAnsi="Calibri"/>
          <w:sz w:val="22"/>
          <w:szCs w:val="22"/>
        </w:rPr>
        <w:t xml:space="preserve">Group-claim mapping rules to ESEMS module permissions</w:t>
      </w:r>
    </w:p>
    <w:p>
      <w:pPr>
        <w:spacing w:after="120"/>
      </w:pPr>
      <w:r>
        <w:rPr>
          <w:rFonts w:ascii="Calibri" w:cs="Calibri" w:eastAsia="Calibri" w:hAnsi="Calibri"/>
          <w:sz w:val="22"/>
          <w:szCs w:val="22"/>
        </w:rPr>
        <w:t xml:space="preserve">OIDC integration is a 1-day implementation. SAML 2.0 takes 2 days.</w:t>
      </w:r>
    </w:p>
    <w:p>
      <w:pPr>
        <w:spacing w:after="120" w:before="280"/>
      </w:pPr>
      <w:r>
        <w:rPr>
          <w:rFonts w:ascii="Calibri" w:cs="Calibri" w:eastAsia="Calibri" w:hAnsi="Calibri"/>
          <w:b/>
          <w:bCs/>
          <w:color w:val="005B99"/>
          <w:sz w:val="24"/>
          <w:szCs w:val="24"/>
        </w:rPr>
        <w:t xml:space="preserve">5. RBAC, least privilege, and MFA — </w:t>
      </w:r>
      <w:r>
        <w:rPr>
          <w:rFonts w:ascii="Calibri" w:cs="Calibri" w:eastAsia="Calibri" w:hAnsi="Calibri"/>
          <w:b/>
          <w:bCs/>
          <w:i/>
          <w:iCs/>
          <w:color w:val="005B99"/>
          <w:sz w:val="24"/>
          <w:szCs w:val="24"/>
        </w:rPr>
        <w:t xml:space="preserve">(A) Implemented (RBAC + least privilege); (C) for MFA</w:t>
      </w:r>
    </w:p>
    <w:p>
      <w:pPr>
        <w:pStyle w:val="ListParagraph"/>
        <w:numPr>
          <w:ilvl w:val="0"/>
          <w:numId w:val="2"/>
        </w:numPr>
        <w:spacing w:after="80"/>
      </w:pPr>
      <w:r>
        <w:rPr>
          <w:rFonts w:ascii="Calibri" w:cs="Calibri" w:eastAsia="Calibri" w:hAnsi="Calibri"/>
          <w:b/>
          <w:bCs/>
          <w:sz w:val="22"/>
          <w:szCs w:val="22"/>
        </w:rPr>
        <w:t xml:space="preserve">RBAC:</w:t>
      </w:r>
      <w:r>
        <w:rPr>
          <w:rFonts w:ascii="Calibri" w:cs="Calibri" w:eastAsia="Calibri" w:hAnsi="Calibri"/>
          <w:sz w:val="22"/>
          <w:szCs w:val="22"/>
        </w:rPr>
        <w:t xml:space="preserve"> </w:t>
      </w:r>
      <w:r>
        <w:rPr>
          <w:rFonts w:ascii="Calibri" w:cs="Calibri" w:eastAsia="Calibri" w:hAnsi="Calibri"/>
          <w:sz w:val="22"/>
          <w:szCs w:val="22"/>
        </w:rPr>
        <w:t xml:space="preserve">ESEMS implements granular module-level policies (Module.Risk.View, Module.Risk.Create, Module.Risk.Edit, Module.Risk.Delete, etc.) across all 25+ controllers. Each role group is built from a permission matrix in Settings Hub → Role Groups.</w:t>
      </w:r>
    </w:p>
    <w:p>
      <w:pPr>
        <w:pStyle w:val="ListParagraph"/>
        <w:numPr>
          <w:ilvl w:val="0"/>
          <w:numId w:val="2"/>
        </w:numPr>
        <w:spacing w:after="80"/>
      </w:pPr>
      <w:r>
        <w:rPr>
          <w:rFonts w:ascii="Calibri" w:cs="Calibri" w:eastAsia="Calibri" w:hAnsi="Calibri"/>
          <w:b/>
          <w:bCs/>
          <w:sz w:val="22"/>
          <w:szCs w:val="22"/>
        </w:rPr>
        <w:t xml:space="preserve">Least privilege:</w:t>
      </w:r>
      <w:r>
        <w:rPr>
          <w:rFonts w:ascii="Calibri" w:cs="Calibri" w:eastAsia="Calibri" w:hAnsi="Calibri"/>
          <w:sz w:val="22"/>
          <w:szCs w:val="22"/>
        </w:rPr>
        <w:t xml:space="preserve"> </w:t>
      </w:r>
      <w:r>
        <w:rPr>
          <w:rFonts w:ascii="Calibri" w:cs="Calibri" w:eastAsia="Calibri" w:hAnsi="Calibri"/>
          <w:sz w:val="22"/>
          <w:szCs w:val="22"/>
        </w:rPr>
        <w:t xml:space="preserve">Default user role is VIEWER. Auto-creation is disabled in production. Module access is opt-in per role group.</w:t>
      </w:r>
    </w:p>
    <w:p>
      <w:pPr>
        <w:pStyle w:val="ListParagraph"/>
        <w:numPr>
          <w:ilvl w:val="0"/>
          <w:numId w:val="2"/>
        </w:numPr>
        <w:spacing w:after="80"/>
      </w:pPr>
      <w:r>
        <w:rPr>
          <w:rFonts w:ascii="Calibri" w:cs="Calibri" w:eastAsia="Calibri" w:hAnsi="Calibri"/>
          <w:b/>
          <w:bCs/>
          <w:sz w:val="22"/>
          <w:szCs w:val="22"/>
        </w:rPr>
        <w:t xml:space="preserve">MFA:</w:t>
      </w:r>
      <w:r>
        <w:rPr>
          <w:rFonts w:ascii="Calibri" w:cs="Calibri" w:eastAsia="Calibri" w:hAnsi="Calibri"/>
          <w:sz w:val="22"/>
          <w:szCs w:val="22"/>
        </w:rPr>
        <w:t xml:space="preserve"> </w:t>
      </w:r>
      <w:r>
        <w:rPr>
          <w:rFonts w:ascii="Calibri" w:cs="Calibri" w:eastAsia="Calibri" w:hAnsi="Calibri"/>
          <w:sz w:val="22"/>
          <w:szCs w:val="22"/>
        </w:rPr>
        <w:t xml:space="preserve">Not implemented in-app by design — MFA is delegated to the identity provider layer (Active Directory with Conditional Access, or Azure AD MFA). When SSO is enabled per item 4, MFA enforcement is handled by the IdP. ESEMS does not store user credentials.</w:t>
      </w:r>
    </w:p>
    <w:p>
      <w:pPr>
        <w:spacing w:after="120" w:before="280"/>
      </w:pPr>
      <w:r>
        <w:rPr>
          <w:rFonts w:ascii="Calibri" w:cs="Calibri" w:eastAsia="Calibri" w:hAnsi="Calibri"/>
          <w:b/>
          <w:bCs/>
          <w:color w:val="005B99"/>
          <w:sz w:val="24"/>
          <w:szCs w:val="24"/>
        </w:rPr>
        <w:t xml:space="preserve">6. Strong session management and activity logging controls — </w:t>
      </w:r>
      <w:r>
        <w:rPr>
          <w:rFonts w:ascii="Calibri" w:cs="Calibri" w:eastAsia="Calibri" w:hAnsi="Calibri"/>
          <w:b/>
          <w:bCs/>
          <w:i/>
          <w:iCs/>
          <w:color w:val="005B99"/>
          <w:sz w:val="24"/>
          <w:szCs w:val="24"/>
        </w:rPr>
        <w:t xml:space="preserve">(A) Implemented</w:t>
      </w:r>
    </w:p>
    <w:p>
      <w:pPr>
        <w:pStyle w:val="ListParagraph"/>
        <w:numPr>
          <w:ilvl w:val="0"/>
          <w:numId w:val="2"/>
        </w:numPr>
        <w:spacing w:after="80"/>
      </w:pPr>
      <w:r>
        <w:rPr>
          <w:rFonts w:ascii="Calibri" w:cs="Calibri" w:eastAsia="Calibri" w:hAnsi="Calibri"/>
          <w:sz w:val="22"/>
          <w:szCs w:val="22"/>
        </w:rPr>
        <w:t xml:space="preserve">HTTP-only, Secure, SameSite=Lax authentication cookies</w:t>
      </w:r>
    </w:p>
    <w:p>
      <w:pPr>
        <w:pStyle w:val="ListParagraph"/>
        <w:numPr>
          <w:ilvl w:val="0"/>
          <w:numId w:val="2"/>
        </w:numPr>
        <w:spacing w:after="80"/>
      </w:pPr>
      <w:r>
        <w:rPr>
          <w:rFonts w:ascii="Calibri" w:cs="Calibri" w:eastAsia="Calibri" w:hAnsi="Calibri"/>
          <w:sz w:val="22"/>
          <w:szCs w:val="22"/>
        </w:rPr>
        <w:t xml:space="preserve">Sliding session expiration (configurable; default 30 minutes idle)</w:t>
      </w:r>
    </w:p>
    <w:p>
      <w:pPr>
        <w:pStyle w:val="ListParagraph"/>
        <w:numPr>
          <w:ilvl w:val="0"/>
          <w:numId w:val="2"/>
        </w:numPr>
        <w:spacing w:after="80"/>
      </w:pPr>
      <w:r>
        <w:rPr>
          <w:rFonts w:ascii="Calibri" w:cs="Calibri" w:eastAsia="Calibri" w:hAnsi="Calibri"/>
          <w:sz w:val="22"/>
          <w:szCs w:val="22"/>
        </w:rPr>
        <w:t xml:space="preserve">Anti-CSRF tokens on every state-changing form</w:t>
      </w:r>
    </w:p>
    <w:p>
      <w:pPr>
        <w:pStyle w:val="ListParagraph"/>
        <w:numPr>
          <w:ilvl w:val="0"/>
          <w:numId w:val="2"/>
        </w:numPr>
        <w:spacing w:after="80"/>
      </w:pPr>
      <w:r>
        <w:rPr>
          <w:rFonts w:ascii="Calibri" w:cs="Calibri" w:eastAsia="Calibri" w:hAnsi="Calibri"/>
          <w:sz w:val="22"/>
          <w:szCs w:val="22"/>
        </w:rPr>
        <w:t xml:space="preserve">Concurrent-session limits available on request</w:t>
      </w:r>
    </w:p>
    <w:p>
      <w:pPr>
        <w:pStyle w:val="ListParagraph"/>
        <w:numPr>
          <w:ilvl w:val="0"/>
          <w:numId w:val="2"/>
        </w:numPr>
        <w:spacing w:after="80"/>
      </w:pPr>
      <w:r>
        <w:rPr>
          <w:rFonts w:ascii="Calibri" w:cs="Calibri" w:eastAsia="Calibri" w:hAnsi="Calibri"/>
          <w:sz w:val="22"/>
          <w:szCs w:val="22"/>
        </w:rPr>
        <w:t xml:space="preserve">All sign-in / sign-out / failed-login events logged to the audit trail</w:t>
      </w:r>
    </w:p>
    <w:p>
      <w:pPr>
        <w:spacing w:after="120" w:before="280"/>
      </w:pPr>
      <w:r>
        <w:rPr>
          <w:rFonts w:ascii="Calibri" w:cs="Calibri" w:eastAsia="Calibri" w:hAnsi="Calibri"/>
          <w:b/>
          <w:bCs/>
          <w:color w:val="005B99"/>
          <w:sz w:val="24"/>
          <w:szCs w:val="24"/>
        </w:rPr>
        <w:t xml:space="preserve">7. Encryption of data at rest and in transit — </w:t>
      </w:r>
      <w:r>
        <w:rPr>
          <w:rFonts w:ascii="Calibri" w:cs="Calibri" w:eastAsia="Calibri" w:hAnsi="Calibri"/>
          <w:b/>
          <w:bCs/>
          <w:i/>
          <w:iCs/>
          <w:color w:val="005B99"/>
          <w:sz w:val="24"/>
          <w:szCs w:val="24"/>
        </w:rPr>
        <w:t xml:space="preserve">(A) In transit; (B) at rest</w:t>
      </w:r>
    </w:p>
    <w:p>
      <w:pPr>
        <w:pStyle w:val="ListParagraph"/>
        <w:numPr>
          <w:ilvl w:val="0"/>
          <w:numId w:val="2"/>
        </w:numPr>
        <w:spacing w:after="80"/>
      </w:pPr>
      <w:r>
        <w:rPr>
          <w:rFonts w:ascii="Calibri" w:cs="Calibri" w:eastAsia="Calibri" w:hAnsi="Calibri"/>
          <w:b/>
          <w:bCs/>
          <w:sz w:val="22"/>
          <w:szCs w:val="22"/>
        </w:rPr>
        <w:t xml:space="preserve">In transit:</w:t>
      </w:r>
      <w:r>
        <w:rPr>
          <w:rFonts w:ascii="Calibri" w:cs="Calibri" w:eastAsia="Calibri" w:hAnsi="Calibri"/>
          <w:sz w:val="22"/>
          <w:szCs w:val="22"/>
        </w:rPr>
        <w:t xml:space="preserve"> </w:t>
      </w:r>
      <w:r>
        <w:rPr>
          <w:rFonts w:ascii="Calibri" w:cs="Calibri" w:eastAsia="Calibri" w:hAnsi="Calibri"/>
          <w:sz w:val="22"/>
          <w:szCs w:val="22"/>
        </w:rPr>
        <w:t xml:space="preserve">All endpoints served over HTTPS (TLS 1.2+ enforced at the IIS layer). HSTS header active. Mixed content blocked by Content Security Policy.</w:t>
      </w:r>
    </w:p>
    <w:p>
      <w:pPr>
        <w:pStyle w:val="ListParagraph"/>
        <w:numPr>
          <w:ilvl w:val="0"/>
          <w:numId w:val="2"/>
        </w:numPr>
        <w:spacing w:after="80"/>
      </w:pPr>
      <w:r>
        <w:rPr>
          <w:rFonts w:ascii="Calibri" w:cs="Calibri" w:eastAsia="Calibri" w:hAnsi="Calibri"/>
          <w:b/>
          <w:bCs/>
          <w:sz w:val="22"/>
          <w:szCs w:val="22"/>
        </w:rPr>
        <w:t xml:space="preserve">At rest:</w:t>
      </w:r>
      <w:r>
        <w:rPr>
          <w:rFonts w:ascii="Calibri" w:cs="Calibri" w:eastAsia="Calibri" w:hAnsi="Calibri"/>
          <w:sz w:val="22"/>
          <w:szCs w:val="22"/>
        </w:rPr>
        <w:t xml:space="preserve"> </w:t>
      </w:r>
      <w:r>
        <w:rPr>
          <w:rFonts w:ascii="Calibri" w:cs="Calibri" w:eastAsia="Calibri" w:hAnsi="Calibri"/>
          <w:sz w:val="22"/>
          <w:szCs w:val="22"/>
        </w:rPr>
        <w:t xml:space="preserve">Recommended deployment uses SQL Server Transparent Data Encryption (TDE) for the database. Backup encryption is enabled (AES-256). Application-level field encryption for designated sensitive columns (e.g., PII) can be added on request via SQL Always Encrypted.</w:t>
      </w:r>
    </w:p>
    <w:p>
      <w:pPr>
        <w:spacing w:after="120" w:before="280"/>
      </w:pPr>
      <w:r>
        <w:rPr>
          <w:rFonts w:ascii="Calibri" w:cs="Calibri" w:eastAsia="Calibri" w:hAnsi="Calibri"/>
          <w:b/>
          <w:bCs/>
          <w:color w:val="005B99"/>
          <w:sz w:val="24"/>
          <w:szCs w:val="24"/>
        </w:rPr>
        <w:t xml:space="preserve">8. Data residency in the UAE with privacy controls — </w:t>
      </w:r>
      <w:r>
        <w:rPr>
          <w:rFonts w:ascii="Calibri" w:cs="Calibri" w:eastAsia="Calibri" w:hAnsi="Calibri"/>
          <w:b/>
          <w:bCs/>
          <w:i/>
          <w:iCs/>
          <w:color w:val="005B99"/>
          <w:sz w:val="24"/>
          <w:szCs w:val="24"/>
        </w:rPr>
        <w:t xml:space="preserve">(A) Confirmed — on-premise deployment</w:t>
      </w:r>
    </w:p>
    <w:p>
      <w:pPr>
        <w:spacing w:after="120"/>
      </w:pPr>
      <w:r>
        <w:rPr>
          <w:rFonts w:ascii="Calibri" w:cs="Calibri" w:eastAsia="Calibri" w:hAnsi="Calibri"/>
          <w:sz w:val="22"/>
          <w:szCs w:val="22"/>
        </w:rPr>
        <w:t xml:space="preserve">ESEMS will be deployed exclusively on the MBRHE on-premise data centre. All application servers, the SQL Server database, backups, and uploaded documents reside within MBRHE-controlled infrastructure inside the UAE; no component runs on a public cloud and no data leaves the country.</w:t>
      </w:r>
    </w:p>
    <w:p>
      <w:pPr>
        <w:pStyle w:val="ListParagraph"/>
        <w:numPr>
          <w:ilvl w:val="0"/>
          <w:numId w:val="2"/>
        </w:numPr>
        <w:spacing w:after="80"/>
      </w:pPr>
      <w:r>
        <w:rPr>
          <w:rFonts w:ascii="Calibri" w:cs="Calibri" w:eastAsia="Calibri" w:hAnsi="Calibri"/>
          <w:b/>
          <w:bCs/>
          <w:sz w:val="22"/>
          <w:szCs w:val="22"/>
        </w:rPr>
        <w:t xml:space="preserve">Application tier:</w:t>
      </w:r>
      <w:r>
        <w:rPr>
          <w:rFonts w:ascii="Calibri" w:cs="Calibri" w:eastAsia="Calibri" w:hAnsi="Calibri"/>
          <w:sz w:val="22"/>
          <w:szCs w:val="22"/>
        </w:rPr>
        <w:t xml:space="preserve"> </w:t>
      </w:r>
      <w:r>
        <w:rPr>
          <w:rFonts w:ascii="Calibri" w:cs="Calibri" w:eastAsia="Calibri" w:hAnsi="Calibri"/>
          <w:sz w:val="22"/>
          <w:szCs w:val="22"/>
        </w:rPr>
        <w:t xml:space="preserve">Windows Server 2019/2022 + IIS, hosted on MBRHE-provisioned VMs.</w:t>
      </w:r>
    </w:p>
    <w:p>
      <w:pPr>
        <w:pStyle w:val="ListParagraph"/>
        <w:numPr>
          <w:ilvl w:val="0"/>
          <w:numId w:val="2"/>
        </w:numPr>
        <w:spacing w:after="80"/>
      </w:pPr>
      <w:r>
        <w:rPr>
          <w:rFonts w:ascii="Calibri" w:cs="Calibri" w:eastAsia="Calibri" w:hAnsi="Calibri"/>
          <w:b/>
          <w:bCs/>
          <w:sz w:val="22"/>
          <w:szCs w:val="22"/>
        </w:rPr>
        <w:t xml:space="preserve">Database tier:</w:t>
      </w:r>
      <w:r>
        <w:rPr>
          <w:rFonts w:ascii="Calibri" w:cs="Calibri" w:eastAsia="Calibri" w:hAnsi="Calibri"/>
          <w:sz w:val="22"/>
          <w:szCs w:val="22"/>
        </w:rPr>
        <w:t xml:space="preserve"> </w:t>
      </w:r>
      <w:r>
        <w:rPr>
          <w:rFonts w:ascii="Calibri" w:cs="Calibri" w:eastAsia="Calibri" w:hAnsi="Calibri"/>
          <w:sz w:val="22"/>
          <w:szCs w:val="22"/>
        </w:rPr>
        <w:t xml:space="preserve">SQL Server 2019/2022 on an MBRHE-managed instance, with Transparent Data Encryption (TDE) enabled and AES-256-encrypted backups.</w:t>
      </w:r>
    </w:p>
    <w:p>
      <w:pPr>
        <w:pStyle w:val="ListParagraph"/>
        <w:numPr>
          <w:ilvl w:val="0"/>
          <w:numId w:val="2"/>
        </w:numPr>
        <w:spacing w:after="80"/>
      </w:pPr>
      <w:r>
        <w:rPr>
          <w:rFonts w:ascii="Calibri" w:cs="Calibri" w:eastAsia="Calibri" w:hAnsi="Calibri"/>
          <w:b/>
          <w:bCs/>
          <w:sz w:val="22"/>
          <w:szCs w:val="22"/>
        </w:rPr>
        <w:t xml:space="preserve">Operations:</w:t>
      </w:r>
      <w:r>
        <w:rPr>
          <w:rFonts w:ascii="Calibri" w:cs="Calibri" w:eastAsia="Calibri" w:hAnsi="Calibri"/>
          <w:sz w:val="22"/>
          <w:szCs w:val="22"/>
        </w:rPr>
        <w:t xml:space="preserve"> </w:t>
      </w:r>
      <w:r>
        <w:rPr>
          <w:rFonts w:ascii="Calibri" w:cs="Calibri" w:eastAsia="Calibri" w:hAnsi="Calibri"/>
          <w:sz w:val="22"/>
          <w:szCs w:val="22"/>
        </w:rPr>
        <w:t xml:space="preserve">MBRHE owns the network, firewalls, backup schedule, physical security, and key custody. We deliver the IIS site definition, application pool configuration, and SQL deployment / migration scripts and provide implementation support.</w:t>
      </w:r>
    </w:p>
    <w:p>
      <w:pPr>
        <w:spacing w:after="120"/>
      </w:pPr>
      <w:r>
        <w:rPr>
          <w:rFonts w:ascii="Calibri" w:cs="Calibri" w:eastAsia="Calibri" w:hAnsi="Calibri"/>
          <w:sz w:val="22"/>
          <w:szCs w:val="22"/>
        </w:rPr>
        <w:t xml:space="preserve">Privacy controls in the application (PII handling, consent records, data-subject access logging) are aligned with Federal Decree-Law 45/2021 (UAE PDPL) and Dubai Data Law. We will deliver a Data Processing Agreement (DPA) and a data-flow diagram showing every place sensitive data lives — every endpoint will be inside the MBRHE perimeter.</w:t>
      </w:r>
    </w:p>
    <w:p>
      <w:pPr>
        <w:spacing w:after="120" w:before="280"/>
      </w:pPr>
      <w:r>
        <w:rPr>
          <w:rFonts w:ascii="Calibri" w:cs="Calibri" w:eastAsia="Calibri" w:hAnsi="Calibri"/>
          <w:b/>
          <w:bCs/>
          <w:color w:val="005B99"/>
          <w:sz w:val="24"/>
          <w:szCs w:val="24"/>
        </w:rPr>
        <w:t xml:space="preserve">9. Secure handling of organizational performance metrics, strategic objectives, risk and audit data — </w:t>
      </w:r>
      <w:r>
        <w:rPr>
          <w:rFonts w:ascii="Calibri" w:cs="Calibri" w:eastAsia="Calibri" w:hAnsi="Calibri"/>
          <w:b/>
          <w:bCs/>
          <w:i/>
          <w:iCs/>
          <w:color w:val="005B99"/>
          <w:sz w:val="24"/>
          <w:szCs w:val="24"/>
        </w:rPr>
        <w:t xml:space="preserve">(A) Implemented</w:t>
      </w:r>
    </w:p>
    <w:p>
      <w:pPr>
        <w:pStyle w:val="ListParagraph"/>
        <w:numPr>
          <w:ilvl w:val="0"/>
          <w:numId w:val="2"/>
        </w:numPr>
        <w:spacing w:after="80"/>
      </w:pPr>
      <w:r>
        <w:rPr>
          <w:rFonts w:ascii="Calibri" w:cs="Calibri" w:eastAsia="Calibri" w:hAnsi="Calibri"/>
          <w:sz w:val="22"/>
          <w:szCs w:val="22"/>
        </w:rPr>
        <w:t xml:space="preserve">Strategic Objectives, KPIs, Risks, and Audit Logs each have dedicated module-level RBAC.</w:t>
      </w:r>
    </w:p>
    <w:p>
      <w:pPr>
        <w:pStyle w:val="ListParagraph"/>
        <w:numPr>
          <w:ilvl w:val="0"/>
          <w:numId w:val="2"/>
        </w:numPr>
        <w:spacing w:after="80"/>
      </w:pPr>
      <w:r>
        <w:rPr>
          <w:rFonts w:ascii="Calibri" w:cs="Calibri" w:eastAsia="Calibri" w:hAnsi="Calibri"/>
          <w:sz w:val="22"/>
          <w:szCs w:val="22"/>
        </w:rPr>
        <w:t xml:space="preserve">Risk and KPI catalogs can be delegated to external sister systems when MBRHE prefers a single source of truth — this is configured per-tenant in Settings Hub → API Integrations. When integration is on, ESEMS becomes a read-only client and never persists those entities locally.</w:t>
      </w:r>
    </w:p>
    <w:p>
      <w:pPr>
        <w:pStyle w:val="ListParagraph"/>
        <w:numPr>
          <w:ilvl w:val="0"/>
          <w:numId w:val="2"/>
        </w:numPr>
        <w:spacing w:after="80"/>
      </w:pPr>
      <w:r>
        <w:rPr>
          <w:rFonts w:ascii="Calibri" w:cs="Calibri" w:eastAsia="Calibri" w:hAnsi="Calibri"/>
          <w:sz w:val="22"/>
          <w:szCs w:val="22"/>
        </w:rPr>
        <w:t xml:space="preserve">Audit-log access is restricted to administrators by default.</w:t>
      </w:r>
    </w:p>
    <w:p>
      <w:pPr>
        <w:spacing w:after="120" w:before="280"/>
      </w:pPr>
      <w:r>
        <w:rPr>
          <w:rFonts w:ascii="Calibri" w:cs="Calibri" w:eastAsia="Calibri" w:hAnsi="Calibri"/>
          <w:b/>
          <w:bCs/>
          <w:color w:val="005B99"/>
          <w:sz w:val="24"/>
          <w:szCs w:val="24"/>
        </w:rPr>
        <w:t xml:space="preserve">10. Full data ownership retained by MBRHE — </w:t>
      </w:r>
      <w:r>
        <w:rPr>
          <w:rFonts w:ascii="Calibri" w:cs="Calibri" w:eastAsia="Calibri" w:hAnsi="Calibri"/>
          <w:b/>
          <w:bCs/>
          <w:i/>
          <w:iCs/>
          <w:color w:val="005B99"/>
          <w:sz w:val="24"/>
          <w:szCs w:val="24"/>
        </w:rPr>
        <w:t xml:space="preserve">(A) Confirmed</w:t>
      </w:r>
    </w:p>
    <w:p>
      <w:pPr>
        <w:spacing w:after="120"/>
      </w:pPr>
      <w:r>
        <w:rPr>
          <w:rFonts w:ascii="Calibri" w:cs="Calibri" w:eastAsia="Calibri" w:hAnsi="Calibri"/>
          <w:sz w:val="22"/>
          <w:szCs w:val="22"/>
        </w:rPr>
        <w:t xml:space="preserve">All ESEMS data resides in an SQL Server database operated under MBRHE control. We are the implementation partner; ownership of the schema, the data, and the encryption keys remains with MBRHE. We will deliver the DPA / IP-ownership clause for the contract addendum.</w:t>
      </w:r>
    </w:p>
    <w:p>
      <w:pPr>
        <w:spacing w:after="120" w:before="280"/>
      </w:pPr>
      <w:r>
        <w:rPr>
          <w:rFonts w:ascii="Calibri" w:cs="Calibri" w:eastAsia="Calibri" w:hAnsi="Calibri"/>
          <w:b/>
          <w:bCs/>
          <w:color w:val="005B99"/>
          <w:sz w:val="24"/>
          <w:szCs w:val="24"/>
        </w:rPr>
        <w:t xml:space="preserve">11. Secure data export and complete data deletion on contract termination — </w:t>
      </w:r>
      <w:r>
        <w:rPr>
          <w:rFonts w:ascii="Calibri" w:cs="Calibri" w:eastAsia="Calibri" w:hAnsi="Calibri"/>
          <w:b/>
          <w:bCs/>
          <w:i/>
          <w:iCs/>
          <w:color w:val="005B99"/>
          <w:sz w:val="24"/>
          <w:szCs w:val="24"/>
        </w:rPr>
        <w:t xml:space="preserve">(A) Implemented; (C) commitment</w:t>
      </w:r>
    </w:p>
    <w:p>
      <w:pPr>
        <w:pStyle w:val="ListParagraph"/>
        <w:numPr>
          <w:ilvl w:val="0"/>
          <w:numId w:val="2"/>
        </w:numPr>
        <w:spacing w:after="80"/>
      </w:pPr>
      <w:r>
        <w:rPr>
          <w:rFonts w:ascii="Calibri" w:cs="Calibri" w:eastAsia="Calibri" w:hAnsi="Calibri"/>
          <w:b/>
          <w:bCs/>
          <w:sz w:val="22"/>
          <w:szCs w:val="22"/>
        </w:rPr>
        <w:t xml:space="preserve">Export:</w:t>
      </w:r>
      <w:r>
        <w:rPr>
          <w:rFonts w:ascii="Calibri" w:cs="Calibri" w:eastAsia="Calibri" w:hAnsi="Calibri"/>
          <w:sz w:val="22"/>
          <w:szCs w:val="22"/>
        </w:rPr>
        <w:t xml:space="preserve"> </w:t>
      </w:r>
      <w:r>
        <w:rPr>
          <w:rFonts w:ascii="Calibri" w:cs="Calibri" w:eastAsia="Calibri" w:hAnsi="Calibri"/>
          <w:sz w:val="22"/>
          <w:szCs w:val="22"/>
        </w:rPr>
        <w:t xml:space="preserve">Built-in export to Excel (XLSX), CSV, and PDF for every list view + a full-database export script (bcp / BACPAC) on request.</w:t>
      </w:r>
    </w:p>
    <w:p>
      <w:pPr>
        <w:pStyle w:val="ListParagraph"/>
        <w:numPr>
          <w:ilvl w:val="0"/>
          <w:numId w:val="2"/>
        </w:numPr>
        <w:spacing w:after="80"/>
      </w:pPr>
      <w:r>
        <w:rPr>
          <w:rFonts w:ascii="Calibri" w:cs="Calibri" w:eastAsia="Calibri" w:hAnsi="Calibri"/>
          <w:b/>
          <w:bCs/>
          <w:sz w:val="22"/>
          <w:szCs w:val="22"/>
        </w:rPr>
        <w:t xml:space="preserve">Deletion:</w:t>
      </w:r>
      <w:r>
        <w:rPr>
          <w:rFonts w:ascii="Calibri" w:cs="Calibri" w:eastAsia="Calibri" w:hAnsi="Calibri"/>
          <w:sz w:val="22"/>
          <w:szCs w:val="22"/>
        </w:rPr>
        <w:t xml:space="preserve"> </w:t>
      </w:r>
      <w:r>
        <w:rPr>
          <w:rFonts w:ascii="Calibri" w:cs="Calibri" w:eastAsia="Calibri" w:hAnsi="Calibri"/>
          <w:sz w:val="22"/>
          <w:szCs w:val="22"/>
        </w:rPr>
        <w:t xml:space="preserve">On contract termination we will execute a documented decommissioning runbook — secure overwrite of all database files, deletion of all backups (including encrypted offsite copies), application logs, and uploaded documents. A signed certificate of destruction is provided per ISO 27040 §6.4 and NIST SP 800-88r1 (Sanitization).</w:t>
      </w:r>
    </w:p>
    <w:p>
      <w:pPr>
        <w:spacing w:after="120" w:before="280"/>
      </w:pPr>
      <w:r>
        <w:rPr>
          <w:rFonts w:ascii="Calibri" w:cs="Calibri" w:eastAsia="Calibri" w:hAnsi="Calibri"/>
          <w:b/>
          <w:bCs/>
          <w:color w:val="005B99"/>
          <w:sz w:val="24"/>
          <w:szCs w:val="24"/>
        </w:rPr>
        <w:t xml:space="preserve">12. Security documentation, user training, support for security testing — </w:t>
      </w:r>
      <w:r>
        <w:rPr>
          <w:rFonts w:ascii="Calibri" w:cs="Calibri" w:eastAsia="Calibri" w:hAnsi="Calibri"/>
          <w:b/>
          <w:bCs/>
          <w:i/>
          <w:iCs/>
          <w:color w:val="005B99"/>
          <w:sz w:val="24"/>
          <w:szCs w:val="24"/>
        </w:rPr>
        <w:t xml:space="preserve">(C) Commitment</w:t>
      </w:r>
    </w:p>
    <w:p>
      <w:pPr>
        <w:pStyle w:val="ListParagraph"/>
        <w:numPr>
          <w:ilvl w:val="0"/>
          <w:numId w:val="2"/>
        </w:numPr>
        <w:spacing w:after="80"/>
      </w:pPr>
      <w:r>
        <w:rPr>
          <w:rFonts w:ascii="Calibri" w:cs="Calibri" w:eastAsia="Calibri" w:hAnsi="Calibri"/>
          <w:b/>
          <w:bCs/>
          <w:sz w:val="22"/>
          <w:szCs w:val="22"/>
        </w:rPr>
        <w:t xml:space="preserve">Documentation:</w:t>
      </w:r>
      <w:r>
        <w:rPr>
          <w:rFonts w:ascii="Calibri" w:cs="Calibri" w:eastAsia="Calibri" w:hAnsi="Calibri"/>
          <w:sz w:val="22"/>
          <w:szCs w:val="22"/>
        </w:rPr>
        <w:t xml:space="preserve"> </w:t>
      </w:r>
      <w:r>
        <w:rPr>
          <w:rFonts w:ascii="Calibri" w:cs="Calibri" w:eastAsia="Calibri" w:hAnsi="Calibri"/>
          <w:sz w:val="22"/>
          <w:szCs w:val="22"/>
        </w:rPr>
        <w:t xml:space="preserve">We will provide an Architecture &amp; Security Document covering: data-flow diagrams, threat model, control matrix mapped to ISO 27001:2022 Annex A, NESA UAE IAS controls, and PDPL articles.</w:t>
      </w:r>
    </w:p>
    <w:p>
      <w:pPr>
        <w:pStyle w:val="ListParagraph"/>
        <w:numPr>
          <w:ilvl w:val="0"/>
          <w:numId w:val="2"/>
        </w:numPr>
        <w:spacing w:after="80"/>
      </w:pPr>
      <w:r>
        <w:rPr>
          <w:rFonts w:ascii="Calibri" w:cs="Calibri" w:eastAsia="Calibri" w:hAnsi="Calibri"/>
          <w:b/>
          <w:bCs/>
          <w:sz w:val="22"/>
          <w:szCs w:val="22"/>
        </w:rPr>
        <w:t xml:space="preserve">Training:</w:t>
      </w:r>
      <w:r>
        <w:rPr>
          <w:rFonts w:ascii="Calibri" w:cs="Calibri" w:eastAsia="Calibri" w:hAnsi="Calibri"/>
          <w:sz w:val="22"/>
          <w:szCs w:val="22"/>
        </w:rPr>
        <w:t xml:space="preserve"> </w:t>
      </w:r>
      <w:r>
        <w:rPr>
          <w:rFonts w:ascii="Calibri" w:cs="Calibri" w:eastAsia="Calibri" w:hAnsi="Calibri"/>
          <w:sz w:val="22"/>
          <w:szCs w:val="22"/>
        </w:rPr>
        <w:t xml:space="preserve">Two sessions — a 2-hour admin/security training and a 1-hour user-roles briefing — with bilingual materials (English + Arabic).</w:t>
      </w:r>
    </w:p>
    <w:p>
      <w:pPr>
        <w:pStyle w:val="ListParagraph"/>
        <w:numPr>
          <w:ilvl w:val="0"/>
          <w:numId w:val="2"/>
        </w:numPr>
        <w:spacing w:after="80"/>
      </w:pPr>
      <w:r>
        <w:rPr>
          <w:rFonts w:ascii="Calibri" w:cs="Calibri" w:eastAsia="Calibri" w:hAnsi="Calibri"/>
          <w:b/>
          <w:bCs/>
          <w:sz w:val="22"/>
          <w:szCs w:val="22"/>
        </w:rPr>
        <w:t xml:space="preserve">Security testing support:</w:t>
      </w:r>
      <w:r>
        <w:rPr>
          <w:rFonts w:ascii="Calibri" w:cs="Calibri" w:eastAsia="Calibri" w:hAnsi="Calibri"/>
          <w:sz w:val="22"/>
          <w:szCs w:val="22"/>
        </w:rPr>
        <w:t xml:space="preserve"> </w:t>
      </w:r>
      <w:r>
        <w:rPr>
          <w:rFonts w:ascii="Calibri" w:cs="Calibri" w:eastAsia="Calibri" w:hAnsi="Calibri"/>
          <w:sz w:val="22"/>
          <w:szCs w:val="22"/>
        </w:rPr>
        <w:t xml:space="preserve">We welcome any vulnerability assessment or penetration test commissioned by MBRHE. We will provide a non-production test environment, application accounts with each role level, and an SLA-bound process for remediating findings (Critical: 7 days; High: 30 days; Medium: 90 days).</w:t>
      </w:r>
    </w:p>
    <w:p>
      <w:pPr>
        <w:spacing w:after="120" w:before="280"/>
      </w:pPr>
      <w:r>
        <w:rPr>
          <w:rFonts w:ascii="Calibri" w:cs="Calibri" w:eastAsia="Calibri" w:hAnsi="Calibri"/>
          <w:b/>
          <w:bCs/>
          <w:color w:val="005B99"/>
          <w:sz w:val="24"/>
          <w:szCs w:val="24"/>
        </w:rPr>
        <w:t xml:space="preserve">13. Secure authentication for integrations with internal systems — </w:t>
      </w:r>
      <w:r>
        <w:rPr>
          <w:rFonts w:ascii="Calibri" w:cs="Calibri" w:eastAsia="Calibri" w:hAnsi="Calibri"/>
          <w:b/>
          <w:bCs/>
          <w:i/>
          <w:iCs/>
          <w:color w:val="005B99"/>
          <w:sz w:val="24"/>
          <w:szCs w:val="24"/>
        </w:rPr>
        <w:t xml:space="preserve">(A) Implemented; configurable per integration</w:t>
      </w:r>
    </w:p>
    <w:p>
      <w:pPr>
        <w:spacing w:after="120"/>
      </w:pPr>
      <w:r>
        <w:rPr>
          <w:rFonts w:ascii="Calibri" w:cs="Calibri" w:eastAsia="Calibri" w:hAnsi="Calibri"/>
          <w:sz w:val="22"/>
          <w:szCs w:val="22"/>
        </w:rPr>
        <w:t xml:space="preserve">The ESEMS integration framework supports:</w:t>
      </w:r>
    </w:p>
    <w:p>
      <w:pPr>
        <w:pStyle w:val="ListParagraph"/>
        <w:numPr>
          <w:ilvl w:val="0"/>
          <w:numId w:val="2"/>
        </w:numPr>
        <w:spacing w:after="80"/>
      </w:pPr>
      <w:r>
        <w:rPr>
          <w:rFonts w:ascii="Calibri" w:cs="Calibri" w:eastAsia="Calibri" w:hAnsi="Calibri"/>
          <w:b/>
          <w:bCs/>
          <w:sz w:val="22"/>
          <w:szCs w:val="22"/>
        </w:rPr>
        <w:t xml:space="preserve">API key (X-Api-Key header) —</w:t>
      </w:r>
      <w:r>
        <w:rPr>
          <w:rFonts w:ascii="Calibri" w:cs="Calibri" w:eastAsia="Calibri" w:hAnsi="Calibri"/>
          <w:sz w:val="22"/>
          <w:szCs w:val="22"/>
        </w:rPr>
        <w:t xml:space="preserve"> </w:t>
      </w:r>
      <w:r>
        <w:rPr>
          <w:rFonts w:ascii="Calibri" w:cs="Calibri" w:eastAsia="Calibri" w:hAnsi="Calibri"/>
          <w:sz w:val="22"/>
          <w:szCs w:val="22"/>
        </w:rPr>
        <w:t xml:space="preserve">current default, keys stored in environment variables (never in appsettings.json)</w:t>
      </w:r>
    </w:p>
    <w:p>
      <w:pPr>
        <w:pStyle w:val="ListParagraph"/>
        <w:numPr>
          <w:ilvl w:val="0"/>
          <w:numId w:val="2"/>
        </w:numPr>
        <w:spacing w:after="80"/>
      </w:pPr>
      <w:r>
        <w:rPr>
          <w:rFonts w:ascii="Calibri" w:cs="Calibri" w:eastAsia="Calibri" w:hAnsi="Calibri"/>
          <w:b/>
          <w:bCs/>
          <w:sz w:val="22"/>
          <w:szCs w:val="22"/>
        </w:rPr>
        <w:t xml:space="preserve">OAuth 2.0 client credentials —</w:t>
      </w:r>
      <w:r>
        <w:rPr>
          <w:rFonts w:ascii="Calibri" w:cs="Calibri" w:eastAsia="Calibri" w:hAnsi="Calibri"/>
          <w:sz w:val="22"/>
          <w:szCs w:val="22"/>
        </w:rPr>
        <w:t xml:space="preserve"> </w:t>
      </w:r>
      <w:r>
        <w:rPr>
          <w:rFonts w:ascii="Calibri" w:cs="Calibri" w:eastAsia="Calibri" w:hAnsi="Calibri"/>
          <w:sz w:val="22"/>
          <w:szCs w:val="22"/>
        </w:rPr>
        <w:t xml:space="preserve">implementable per integration</w:t>
      </w:r>
    </w:p>
    <w:p>
      <w:pPr>
        <w:pStyle w:val="ListParagraph"/>
        <w:numPr>
          <w:ilvl w:val="0"/>
          <w:numId w:val="2"/>
        </w:numPr>
        <w:spacing w:after="80"/>
      </w:pPr>
      <w:r>
        <w:rPr>
          <w:rFonts w:ascii="Calibri" w:cs="Calibri" w:eastAsia="Calibri" w:hAnsi="Calibri"/>
          <w:b/>
          <w:bCs/>
          <w:sz w:val="22"/>
          <w:szCs w:val="22"/>
        </w:rPr>
        <w:t xml:space="preserve">mTLS (mutual TLS) —</w:t>
      </w:r>
      <w:r>
        <w:rPr>
          <w:rFonts w:ascii="Calibri" w:cs="Calibri" w:eastAsia="Calibri" w:hAnsi="Calibri"/>
          <w:sz w:val="22"/>
          <w:szCs w:val="22"/>
        </w:rPr>
        <w:t xml:space="preserve"> </w:t>
      </w:r>
      <w:r>
        <w:rPr>
          <w:rFonts w:ascii="Calibri" w:cs="Calibri" w:eastAsia="Calibri" w:hAnsi="Calibri"/>
          <w:sz w:val="22"/>
          <w:szCs w:val="22"/>
        </w:rPr>
        <w:t xml:space="preserve">for system-to-system trust</w:t>
      </w:r>
    </w:p>
    <w:p>
      <w:pPr>
        <w:pStyle w:val="ListParagraph"/>
        <w:numPr>
          <w:ilvl w:val="0"/>
          <w:numId w:val="2"/>
        </w:numPr>
        <w:spacing w:after="80"/>
      </w:pPr>
      <w:r>
        <w:rPr>
          <w:rFonts w:ascii="Calibri" w:cs="Calibri" w:eastAsia="Calibri" w:hAnsi="Calibri"/>
          <w:b/>
          <w:bCs/>
          <w:sz w:val="22"/>
          <w:szCs w:val="22"/>
        </w:rPr>
        <w:t xml:space="preserve">JWT bearer —</w:t>
      </w:r>
      <w:r>
        <w:rPr>
          <w:rFonts w:ascii="Calibri" w:cs="Calibri" w:eastAsia="Calibri" w:hAnsi="Calibri"/>
          <w:sz w:val="22"/>
          <w:szCs w:val="22"/>
        </w:rPr>
        <w:t xml:space="preserve"> </w:t>
      </w:r>
      <w:r>
        <w:rPr>
          <w:rFonts w:ascii="Calibri" w:cs="Calibri" w:eastAsia="Calibri" w:hAnsi="Calibri"/>
          <w:sz w:val="22"/>
          <w:szCs w:val="22"/>
        </w:rPr>
        <w:t xml:space="preserve">with rotating signing key</w:t>
      </w:r>
    </w:p>
    <w:p>
      <w:pPr>
        <w:spacing w:after="120"/>
      </w:pPr>
      <w:r>
        <w:rPr>
          <w:rFonts w:ascii="Calibri" w:cs="Calibri" w:eastAsia="Calibri" w:hAnsi="Calibri"/>
          <w:sz w:val="22"/>
          <w:szCs w:val="22"/>
        </w:rPr>
        <w:t xml:space="preserve">All integration endpoints are HTTPS-only. Outbound requests use a configurable timeout and a circuit-breaker pattern so a compromised partner cannot stall the application.</w:t>
      </w:r>
    </w:p>
    <w:p>
      <w:pPr>
        <w:pBdr>
          <w:bottom w:val="single" w:color="005B99" w:sz="6" w:space="1"/>
        </w:pBdr>
        <w:spacing w:after="240" w:before="240"/>
      </w:pPr>
      <w:r>
        <w:t xml:space="preserve"/>
      </w:r>
    </w:p>
    <w:p>
      <w:pPr>
        <w:spacing w:after="120"/>
      </w:pPr>
      <w:r>
        <w:rPr>
          <w:rFonts w:ascii="Calibri" w:cs="Calibri" w:eastAsia="Calibri" w:hAnsi="Calibri"/>
          <w:sz w:val="22"/>
          <w:szCs w:val="22"/>
        </w:rPr>
        <w:t xml:space="preserve">We are happy to schedule a deep-dive with the security team to walk through the audit subsystem, the RBAC matrix, and the integration patterns live in the application. Where any item above needs a written attestation in a different format (e.g. an ISO 27001 Statement of Applicability or a NESA control mapping spreadsheet), please let us know and we will produce it.</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Best regards,</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4"/>
          <w:szCs w:val="24"/>
        </w:rPr>
        <w:t xml:space="preserve">Khaled Almiani</w:t>
      </w:r>
    </w:p>
    <w:p>
      <w:pPr>
        <w:spacing w:after="120"/>
      </w:pPr>
      <w:r>
        <w:rPr>
          <w:rFonts w:ascii="Calibri" w:cs="Calibri" w:eastAsia="Calibri" w:hAnsi="Calibri"/>
          <w:sz w:val="22"/>
          <w:szCs w:val="22"/>
        </w:rPr>
        <w:t xml:space="preserve">ESEMS Implementation Lead</w:t>
      </w:r>
    </w:p>
    <w:p>
      <w:pPr>
        <w:spacing w:after="120"/>
      </w:pPr>
      <w:r>
        <w:rPr>
          <w:rFonts w:ascii="Calibri" w:cs="Calibri" w:eastAsia="Calibri" w:hAnsi="Calibri"/>
          <w:color w:val="005B99"/>
          <w:sz w:val="22"/>
          <w:szCs w:val="22"/>
        </w:rPr>
        <w:t xml:space="preserve">k.almiani@gmail.com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ESEMS Security Compliance Response</dc:title>
  <dc:creator>Khaled Almiani</dc:creator>
  <dc:description>Response to MBRHE Information Security Office compliance mapping</dc:description>
  <cp:lastModifiedBy>Un-named</cp:lastModifiedBy>
  <cp:revision>1</cp:revision>
  <dcterms:created xsi:type="dcterms:W3CDTF">2026-05-05T10:11:06.070Z</dcterms:created>
  <dcterms:modified xsi:type="dcterms:W3CDTF">2026-05-05T10:11:06.070Z</dcterms:modified>
</cp:coreProperties>
</file>

<file path=docProps/custom.xml><?xml version="1.0" encoding="utf-8"?>
<Properties xmlns="http://schemas.openxmlformats.org/officeDocument/2006/custom-properties" xmlns:vt="http://schemas.openxmlformats.org/officeDocument/2006/docPropsVTypes"/>
</file>