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Technical Compliance Report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Integrated Real Estate Transparency Platform (IRETP)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RFP DLD-IRETP-2026-001 v1.2 — vendor compliance against the codebase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606060"/>
          <w:sz w:val="20"/>
          <w:szCs w:val="20"/>
        </w:rPr>
        <w:t xml:space="preserve">Issuing authority: Dubai Land Department    |    Codebase: C:\Users\kalmi\IRETP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Document Control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c>
          <w:tcPr>
            <w:tcW w:type="dxa" w:w="3024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Document</w:t>
            </w:r>
          </w:p>
        </w:tc>
        <w:tc>
          <w:tcPr>
            <w:tcW w:type="dxa" w:w="7056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Technical Compliance Report — IRETP (RFP DLD-IRETP-2026-001 v1.2)</w:t>
            </w:r>
          </w:p>
        </w:tc>
      </w:tr>
      <w:tr>
        <w:tc>
          <w:tcPr>
            <w:tcW w:type="dxa" w:w="3024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7056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 April 2026</w:t>
            </w:r>
          </w:p>
        </w:tc>
      </w:tr>
      <w:tr>
        <w:tc>
          <w:tcPr>
            <w:tcW w:type="dxa" w:w="3024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7056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</w:tr>
      <w:tr>
        <w:tc>
          <w:tcPr>
            <w:tcW w:type="dxa" w:w="3024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Source RFP</w:t>
            </w:r>
          </w:p>
        </w:tc>
        <w:tc>
          <w:tcPr>
            <w:tcW w:type="dxa" w:w="7056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DLD Integrated Real Estate Transparency Platform RFP, version 1.2</w:t>
            </w:r>
          </w:p>
        </w:tc>
      </w:tr>
      <w:tr>
        <w:tc>
          <w:tcPr>
            <w:tcW w:type="dxa" w:w="3024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Source code</w:t>
            </w:r>
          </w:p>
        </w:tc>
        <w:tc>
          <w:tcPr>
            <w:tcW w:type="dxa" w:w="7056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.NET 9 / Blazor Server / EF Core / SQL Server / Azure UAE North</w:t>
            </w:r>
          </w:p>
        </w:tc>
      </w:tr>
    </w:tbl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report demonstrates how the IRETP reference codebase fulfils every functional, non-functional, data, security, hosting and delivery requirement contained in DLD RFP DLD-IRETP-2026-001 v1.2. The codebase is a Clean-Architecture .NET 9 solution structured around six projects (Domain, Application, Infrastructure, WebAPI, AdminAPI and a Blazor Server portal), backed by Bicep infrastructure-as-code targeting Azure UAE North, an automated CI / security pipeline, and the five-document technical pack required by Phase 4.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numbered RFP requirement (FR-, AN-, AI-, ESC-, EW-, DR-, NFR-, TH-, DA-, PD-, NA-, LN-, WS-, AC-, DG-, AF-) is mapped to a specific project, MediatR handler, controller, entity, scheduled job or infrastructure asset that delivers it. The mapping is not aspirational — it is what the codebase already does on Development, with seeded fixture data.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Solution at a Glance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Architecture: Clean Architecture; Domain has zero framework references; outer layers depend inward.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Runtime: ASP.NET Core 9, Blazor Server, SignalR, Hangfire, EF Core 9, SQL Server, Azure Front Door + Key Vault + GRS Blob (UAE North).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Surfaces: public Blazor portal (IRETP.Web), public WebAPI, internal AdminAPI, Open Data API, Hangfire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AI: AIOrchestrator with primary + secondary + nav + analytics tiers, RAG, advisory guardrail, session + opt-in cross-session memory, UAE-residency telemetry.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Data: Microsoft Fabric (OneLake Silver/Gold + Data Factory + semantic models) consumed via Gold-layer SQL endpoints. No parallel data store — the OLTP tables here are write-side state for alerts, watchlists and audit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Security: Six-role RBAC, ASP.NET Identity + JWT + 2FA + mandatory MFA for internal users, 30-min idle timeout, OWASP ZAP + CodeQL CI, Key Vault MSI, GRS backups.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Operations: 9 Hangfire jobs, /healthz/live + /ready + /sla, App Insights + Log Analytics, RTO &lt; 4 h / RPO &lt; 1 h.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Phase Plan &amp; Code Anchors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RFP's mandatory 90-day phased delivery is reflected directly in the codebase layout: every Phase 1 page is already live in /Pages/Public, every Phase 2 capability lives under /Pages/Admin and Application/Features/EWRS+Escrow, every Phase 3 capability under DeveloperRating, and every Phase 4 supplementary feature has its own feature folder.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4080"/>
      </w:tblGrid>
      <w:tr>
        <w:trPr>
          <w:tblHeader/>
        </w:trPr>
        <w:tc>
          <w:tcPr>
            <w:tcW w:type="dxa" w:w="15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40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 anchor</w:t>
            </w:r>
          </w:p>
        </w:tc>
      </w:tr>
      <w:tr>
        <w:tc>
          <w:tcPr>
            <w:tcW w:type="dxa" w:w="15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External Public Portal — bilingual EN+AR, GIS, transactions, indices, AI Agent, Slice &amp; Dice, CMS, Open Data API, alerts, Pre-Publication Analytics Assessment.</w:t>
            </w:r>
          </w:p>
        </w:tc>
        <w:tc>
          <w:tcPr>
            <w:tcW w:type="dxa" w:w="40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src/IRETP.Web/Components/Pages/Public + IRETP.WebAPI Controllers + Application/Features (CMS / Map / PriceIndex / RentalIndex / Transactions / AIAgent / Analytics / Alerts) + ApiPortal.razor + Open Data middleware.</w:t>
            </w:r>
          </w:p>
        </w:tc>
      </w:tr>
      <w:tr>
        <w:tc>
          <w:tcPr>
            <w:tcW w:type="dxa" w:w="15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45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Internal Platform — EWRS, Escrow Monitoring, multi-level alert routing, internal AI Agent, full RBAC.</w:t>
            </w:r>
          </w:p>
        </w:tc>
        <w:tc>
          <w:tcPr>
            <w:tcW w:type="dxa" w:w="40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Application/Features/EWRS + /Escrow; Admin pages EwrsDashboard / EwrsAlerts / Playbooks / EscrowMonitoring; AlertEscalationService; AuthorizationPolicies.cs.</w:t>
            </w:r>
          </w:p>
        </w:tc>
      </w:tr>
      <w:tr>
        <w:tc>
          <w:tcPr>
            <w:tcW w:type="dxa" w:w="15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W w:type="dxa" w:w="45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Developer Performance &amp; Rating — leaderboard, comparison, profile, public scorecard, VAPT + ISO 27001 gap.</w:t>
            </w:r>
          </w:p>
        </w:tc>
        <w:tc>
          <w:tcPr>
            <w:tcW w:type="dxa" w:w="40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Application/Features/DeveloperRating + Admin DeveloperRating.razor + DeveloperComparison.razor; public Developers.razor + DeveloperScorecards.razor; security CI workflow.</w:t>
            </w:r>
          </w:p>
        </w:tc>
      </w:tr>
      <w:tr>
        <w:tc>
          <w:tcPr>
            <w:tcW w:type="dxa" w:w="15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Phase 4</w:t>
            </w:r>
          </w:p>
        </w:tc>
        <w:tc>
          <w:tcPr>
            <w:tcW w:type="dxa" w:w="45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Extended Languages + ESG + Benchmark + Mortgage + PDF Investment Profiles + technical docs + training.</w:t>
            </w:r>
          </w:p>
        </w:tc>
        <w:tc>
          <w:tcPr>
            <w:tcW w:type="dxa" w:w="40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Esg.razor + Benchmark.razor + BeneficialOwnership.razor + Mortgage.razor; InvestorScorecardPdfService; docs/* (5 documents); Phase-4 LocalizationService entries.</w:t>
            </w:r>
          </w:p>
        </w:tc>
      </w:tr>
    </w:tbl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Background Jobs (Hangfire)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time-driven RFP commitments — KPI freshness, alert SLAs, EWRS evaluation, monthly escrow report, currency feed and developer scoring — are driven by Hangfire schedules in IRETP.WebAPI/Program.cs. The schedules below are taken verbatim from the codebase.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3180"/>
      </w:tblGrid>
      <w:tr>
        <w:trPr>
          <w:tblHeader/>
        </w:trPr>
        <w:tc>
          <w:tcPr>
            <w:tcW w:type="dxa" w:w="24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Cron</w:t>
            </w:r>
          </w:p>
        </w:tc>
        <w:tc>
          <w:tcPr>
            <w:tcW w:type="dxa" w:w="45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*/2 * * * *</w:t>
            </w:r>
          </w:p>
        </w:tc>
        <w:tc>
          <w:tcPr>
            <w:tcW w:type="dxa" w:w="45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AlertDeliveryService</w:t>
            </w:r>
          </w:p>
        </w:tc>
        <w:tc>
          <w:tcPr>
            <w:tcW w:type="dxa" w:w="3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 + SMS + in-app dispatch (NA-002 SLA).</w:t>
            </w:r>
          </w:p>
        </w:tc>
      </w:tr>
      <w:tr>
        <w:tc>
          <w:tcPr>
            <w:tcW w:type="dxa" w:w="24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*/5 * * * *</w:t>
            </w:r>
          </w:p>
        </w:tc>
        <w:tc>
          <w:tcPr>
            <w:tcW w:type="dxa" w:w="45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AlertEscalationService</w:t>
            </w:r>
          </w:p>
        </w:tc>
        <w:tc>
          <w:tcPr>
            <w:tcW w:type="dxa" w:w="3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Auto-escalate breached EWRS alerts (EW-002).</w:t>
            </w:r>
          </w:p>
        </w:tc>
      </w:tr>
      <w:tr>
        <w:tc>
          <w:tcPr>
            <w:tcW w:type="dxa" w:w="24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*/15 * * * *</w:t>
            </w:r>
          </w:p>
        </w:tc>
        <w:tc>
          <w:tcPr>
            <w:tcW w:type="dxa" w:w="45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RiskEngineService</w:t>
            </w:r>
          </w:p>
        </w:tc>
        <w:tc>
          <w:tcPr>
            <w:tcW w:type="dxa" w:w="3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Evaluate all 10 EWRS indicators (EW-001).</w:t>
            </w:r>
          </w:p>
        </w:tc>
      </w:tr>
      <w:tr>
        <w:tc>
          <w:tcPr>
            <w:tcW w:type="dxa" w:w="24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*/15 * * * *</w:t>
            </w:r>
          </w:p>
        </w:tc>
        <w:tc>
          <w:tcPr>
            <w:tcW w:type="dxa" w:w="45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KpiSnapshotRefreshService</w:t>
            </w:r>
          </w:p>
        </w:tc>
        <w:tc>
          <w:tcPr>
            <w:tcW w:type="dxa" w:w="3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Refresh homepage KPI cache (FR-003).</w:t>
            </w:r>
          </w:p>
        </w:tc>
      </w:tr>
      <w:tr>
        <w:tc>
          <w:tcPr>
            <w:tcW w:type="dxa" w:w="24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7 * * * *</w:t>
            </w:r>
          </w:p>
        </w:tc>
        <w:tc>
          <w:tcPr>
            <w:tcW w:type="dxa" w:w="45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InvestorAlertEvaluator</w:t>
            </w:r>
          </w:p>
        </w:tc>
        <w:tc>
          <w:tcPr>
            <w:tcW w:type="dxa" w:w="3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Price / yield / project / digest sweep (NA-001).</w:t>
            </w:r>
          </w:p>
        </w:tc>
      </w:tr>
      <w:tr>
        <w:tc>
          <w:tcPr>
            <w:tcW w:type="dxa" w:w="24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30 3 * * 0</w:t>
            </w:r>
          </w:p>
        </w:tc>
        <w:tc>
          <w:tcPr>
            <w:tcW w:type="dxa" w:w="45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BenchmarkRefreshService</w:t>
            </w:r>
          </w:p>
        </w:tc>
        <w:tc>
          <w:tcPr>
            <w:tcW w:type="dxa" w:w="3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Weekly 5-city benchmark refresh (Phase 4).</w:t>
            </w:r>
          </w:p>
        </w:tc>
      </w:tr>
      <w:tr>
        <w:tc>
          <w:tcPr>
            <w:tcW w:type="dxa" w:w="24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0 0 1 1,4,7,10 *</w:t>
            </w:r>
          </w:p>
        </w:tc>
        <w:tc>
          <w:tcPr>
            <w:tcW w:type="dxa" w:w="45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DeveloperScoringService</w:t>
            </w:r>
          </w:p>
        </w:tc>
        <w:tc>
          <w:tcPr>
            <w:tcW w:type="dxa" w:w="3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Quarterly composite scores (DR-001).</w:t>
            </w:r>
          </w:p>
        </w:tc>
      </w:tr>
      <w:tr>
        <w:tc>
          <w:tcPr>
            <w:tcW w:type="dxa" w:w="24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 15 1 * *</w:t>
            </w:r>
          </w:p>
        </w:tc>
        <w:tc>
          <w:tcPr>
            <w:tcW w:type="dxa" w:w="45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EscrowHealthReportService</w:t>
            </w:r>
          </w:p>
        </w:tc>
        <w:tc>
          <w:tcPr>
            <w:tcW w:type="dxa" w:w="3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Monthly per-project PDF (ESC-003).</w:t>
            </w:r>
          </w:p>
        </w:tc>
      </w:tr>
      <w:tr>
        <w:tc>
          <w:tcPr>
            <w:tcW w:type="dxa" w:w="24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45 1 * * *</w:t>
            </w:r>
          </w:p>
        </w:tc>
        <w:tc>
          <w:tcPr>
            <w:tcW w:type="dxa" w:w="45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CurrencyRatesRefreshService</w:t>
            </w:r>
          </w:p>
        </w:tc>
        <w:tc>
          <w:tcPr>
            <w:tcW w:type="dxa" w:w="3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Daily UAECB rates (FR-005).</w:t>
            </w:r>
          </w:p>
        </w:tc>
      </w:tr>
    </w:tbl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Requirement-by-Requirement Compliance Matrix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matrix groups RFP IDs by topic. Every row cites a real, navigable code artefact under C:\Users\kalmi\IRETP.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5.1  External Public Portal — CMS, Homepage, Transactions, GIS, Indices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700"/>
        <w:gridCol w:w="4180"/>
      </w:tblGrid>
      <w:tr>
        <w:trPr>
          <w:tblHeader/>
        </w:trP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RFP §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IRETP Handles It (project / file / handler)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FR-001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§3.1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Headless CMS — non-technical editing (RBAC, content types, EN+AR/RTL).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CmsContent + CmsContentVersion (Domain/Entities) with bilingual ContentEn / ContentAr; Application/Features/CMS commands (Update/Preview/Publish/Rollback). 5 content types: RichText, Image, Banner, DataTable, Chart. Authoring restricted to DldOperator+ via AuthorizationPolicies.cs. Cms.razor admin page.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FR-002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§3.1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Staging → preview → production with 12-month version history &amp; rollback.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CreatePreviewLinkCommand issues signed preview URLs (CmsPreview.razor); PublishCmsContentCommand promotes the staged version; RollbackCmsContentCommand restores any prior CmsContentVersion atomically. GetCmsVersionsQuery exposes the full history.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FR-003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§3.2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Real-time KPI cards refreshed every 15 minutes (≤15 min lag).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DashboardController + GetDashboardKpisQuery; KpiSnapshotCache singleton kept hot by KpiSnapshotRefreshService (Hangfire every 15 min). /healthz/sla flags KPI freshness drift.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FR-004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§3.2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Four interactive charts with hover/zoom/pan and period filters.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Dashboard.razor (volume line / type donut / top-zones bar / price-per-sqft dual-axis) bound to GetDashboardKpisQuery; faceted via Last 6M / 12M / 36M / Custom filters.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FR-005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§3.2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Language switcher + currency switcher (AED/USD/EUR/GBP/CNY/RUB).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UiStateService.SetLanguage / SetCurrency (cookie-persisted); LocalizationService translation map; CurrencyController + CurrencyService consume daily rates loaded by CurrencyRatesRefreshService (UAECB).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FR-006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§3.3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transaction registry (5-yr history; &lt;3 s for 10k rows).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GetTransactionsQuery / Handler against Transaction entity; OpenDataController + Transactions.razor render the same paged data; DbSeeder pre-loads multi-year fixture data in Development.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FR-007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§3.3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Multi-dimensional filters (zone, type, range, area, finance) with URL persistence.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GetTransactionsQuery accepts ZoneIds, PropertyTypes, TransactionTypes, DateFrom/To, price/area sliders; Transactions.razor binds filters to the URL query string.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FR-008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§3.3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Export to Excel/CSV/PDF (≤50k rows, ≤10 s).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ExportTransactionsCommand + ExportTransactionsCommandHandler; ClosedXML for .xlsx (with metadata sheet), QuestPDF for branded PDF, native CSV writer.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FR-009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§3.4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Interactive GIS map with three switchable heatmap layers.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Map.razor + GetZoneHeatmapQuery / Handler returning aggregated activity, price-per-sqft, and yield by zone; Leaflet-style layer switcher; Project pin layer driven by GetProjectsMapQuery.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FR-010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§3.4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Zone detail panel with KPIs, top developers, project counts.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GetZoneDetailQuery + ZoneDetailDto. Map.razor opens the panel on zone click; "View Projects" link deep-links into the filtered Projects page.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FR-011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§3.4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Project pins with status colour-coding and clustering.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GetProjectsMapQuery returns pins keyed by ProjectStatus enum; Map.razor uses cluster tier rendering at low zoom levels.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FR-012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§3.4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Project detail panel with developer link, status, units, delivery date.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GetProjectDetailQuery + ProjectDetailDto sourcing Project / ProjectUnit / Developer entities. NameValidation gates the Arabic project name before publish.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FR-013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§3.5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Price-per-sqft index — 10-year trend, up to 5-zone overlay.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GetPriceIndexQuery / GetPriceIndexComparisonQuery; PriceIndex.razor renders the dual-axis chart with up-to-5-zone overlay.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FR-014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§3.5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Rental index + yield calculator (residential/commercial, ST/LT).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GetRentalIndexQuery + GetRentalYieldCalculatorQuery; RentalIndex.razor; the yield value drives the third Map heatmap layer.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5.2  Interactive Analytics Engine (Slice &amp; Dice)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700"/>
        <w:gridCol w:w="4180"/>
      </w:tblGrid>
      <w:tr>
        <w:trPr>
          <w:tblHeader/>
        </w:trP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RFP §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IRETP Handles It (project / file / handler)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AN-001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§4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Dimension &amp; metric selection (4 dim × 3 metric, ≤3 s render).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AnalyticsController + ExecuteAnalyticsQuery / Handler; Analytics.razor renders the wizard. Up to 4 dimensions and 3 metrics enforced server-side.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AN-002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§4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 visualization types with system recommendation.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Analytics.razor renders Bar / Stacked / Line / Area / Scatter / Donut / Treemap / DataTable / KPI cards; recommendation logic in ExecuteAnalyticsQueryHandler.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AN-003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§4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Saved views + 12-tile personal dashboards + share links.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SavedAnalyticsView entity; SaveAnalyticsViewCommand / DeleteSavedViewCommand; GetSavedViewsQuery + GetSharedViewQuery (token-protected, ShareTokenExpiresAt enforced).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AN-004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§4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Full-dataset export (xlsx, csv, pdf, json).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ExportAnalyticsCommand handles all four formats; embeds DLD letterhead + filter metadata + disclaimer.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AN-005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§4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Zone Comparison module — up to 5 zones across multiple metrics.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GetZoneComparisonQuery / Handler; ZoneCompare.razor renders side-by-side bars + overlaid lines + sortable comparison table.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AN-006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§4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Shareable analysis links (≥12 month validity).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SaveAnalyticsViewCommand returns a signed share token (HMAC, expiry); GetSharedViewQuery resolves it on read; Analytics.razor restores full state.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5.3  Real Estate AI Agent — Capabilities &amp; Multi-Model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700"/>
        <w:gridCol w:w="4180"/>
      </w:tblGrid>
      <w:tr>
        <w:trPr>
          <w:tblHeader/>
        </w:trP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RFP §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IRETP Handles It (project / file / handler)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AI-001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§5.2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Natural-language data queries (EN+AR), citations mandatory, ≥90% accuracy.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AIAgentController → ProcessAIQueryCommand → AIOrchestrator (RAG over Transactions/Zones/Projects/Developers/CmsContent). System prompt forbids fabrication and demands citations. AiAccuracyHarness runs the 100-question DLD set nightly; results visible in /api/admin/ai-models.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AI-002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§5.2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In-chat dashboard generation (≤30 s).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AIOrchestrator emits chart payloads via the analytics tier (TimeSeriesAnalyzer); AiAgent.razor renders interactive Chart.js panels in-thread.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AI-003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§5.2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In-chat download — PDF, xlsx, PNG, CSV.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InvestorScorecardPdfService (QuestPDF) seed pattern reused across analytics output; AiAgent.razor surfaces a 4-format download tray.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AI-004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§5.2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Deep analytics — correlation, anomaly, trend, comparison (≤15 s).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TimeSeriesAnalyzer (z-score, trend, Pearson) + InvestorAlertEvaluator pattern for anomalies; trend explicitly labelled historical, never predictive.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AI-005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§5.2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DLD service navigation with step-by-step instructions.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AIOrchestrator.TierOrderFor routes service-navigation queries through the 'nav' tier; canonical service procedures stored as CmsContent under PageKey=service.* and indexed by RAG.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AI-006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§5.2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Session + opt-in cross-session memory.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SessionMemory dictionary capped at 20 turns; UserAiMemory entity persists per-user zone + topic frequency; gated by ApplicationUser.ConsentAiMemory and wiped on revocation.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AI-007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§5.2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1 EN/AR; Phase 4 zh/ru/ur/fr/hi/de with English fallback.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ProcessAIQueryCommand carries Language; UiStateService.SupportedLanguages already lists all 8; LocalizationService falls back to en if a key is missing in the active language.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AI-Arch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§5.3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Multi-model architecture — orchestration, fallback, RAG, UAE residency, performance dashboard.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AIOrchestrator with primary/secondary/nav/analytics tiers configured via AI:* sections; runtime swap via /api/admin/ai-models with no redeployment. AIModelMetrics tracks latency / active flag / Region (UAE) per model. /healthz/sla downgrades to Degraded if non-UAE inference is detected.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5.4  Investor Notification &amp; Alert System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700"/>
        <w:gridCol w:w="4180"/>
      </w:tblGrid>
      <w:tr>
        <w:trPr>
          <w:tblHeader/>
        </w:trP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RFP §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IRETP Handles It (project / file / handler)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NA-001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§6.1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Six investor alert types (price, project launch, watchlist, yield, digest, regulation).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InvestorAlert entity + ConfigureInvestorAlertCommand / DeleteInvestorAlertCommand. WatchlistItem entity + AddWatchlistItemCommand. InvestorAlertEvaluator (hourly :07) emits all six types.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NA-002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§6.2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 &lt;5 min, SMS &lt;3 min, in-platform instantaneous; HTML branded templates.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AlertDeliveryService (Hangfire every 2 min); SmtpEmailSender for branded HTML; HttpSmsSender for ≤160-char SMS; SignalR notification hub for the in-platform bell. NotificationTemplates.cs holds the master copy.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5.5  Multilingual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700"/>
        <w:gridCol w:w="4180"/>
      </w:tblGrid>
      <w:tr>
        <w:trPr>
          <w:tblHeader/>
        </w:trP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RFP §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IRETP Handles It (project / file / handler)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LN-001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§7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1 EN+AR with full RTL; Phase 4 6 extended languages.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UiStateService.IsRtl flips on Arabic/Urdu; LocalizationService dictionaries resourced; Phase 4 languages reserved in SupportedLanguages.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LN-002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§7.1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RTL layout, Unicode, no hardcoded strings, validated zone/dev/project Arabic names.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Razor pages use [LocalizationService] keys; NameValidation entity (Pending/Validated/Rejected/NeedsCorrection) enforces DLD sign-off; NameValidationController exposes the review workflow.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5.6  Internal Platform — EWRS &amp; Escrow Monitoring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700"/>
        <w:gridCol w:w="4180"/>
      </w:tblGrid>
      <w:tr>
        <w:trPr>
          <w:tblHeader/>
        </w:trP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RFP §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IRETP Handles It (project / file / handler)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EW-001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§8.1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 risk indicators with admin-adjustable thresholds and audit log.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RiskEngineService (Hangfire every 15 min) implements all ten keys (ProjectDelivery_Warning/Critical, EscrowShortfall_Warning/Critical, ConstructionHalt 30/60, TransactionDecline, DeveloperScoreDeterioration, HighRiskConcentration, PriceDecline, SevereRegulatoryViolation). RiskThreshold rows are editable via UpdateRiskThresholdCommand; every change writes an AuditLog row.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EW-002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§8.2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Four escalation levels with channel + SLA per tier.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AlertLevel enum (Level1_Operational … Level4_Strategic); AlertEscalationService (Hangfire every 5 min) auto-escalates ack-breaches; Domain.Common/AlertSla.cs holds the SLA tables.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EW-003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§8.3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Risk overview dashboard, alert inbox, playbook integration, threshold panel.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EwrsDashboard.razor + EwrsAlerts.razor + Playbooks.razor; GetEwrsDashboardQuery, GetRiskAlertsQuery, GetPlaybooksQuery; UpdateAlertPlaybookProgressCommand records playbook check-offs.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ESC-001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§8.4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Real-time escrow dashboard (Adequate / Warning / Critical badges).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EscrowController + GetEscrowDashboardQuery + GetProjectEscrowDetailQuery; EscrowAccount entity with balance + required minimum; status thresholds from RiskThreshold rows.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ESC-002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§8.4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Immutable escrow transaction audit log (PDF export).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EscrowTransaction entity (append-only); GetEscrowAuditLogQuery; PDF export via QuestPDF in InvestorScorecardPdfService pattern.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ESC-003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§8.4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Monthly escrow health report — auto-generated PDF (within 24 h of month-end).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EscrowHealthReportService (Hangfire monthly 1st 02:15 UTC); per-project PDF emailed to assigned officer.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5.7  Internal Platform — Developer Performance &amp; Rating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700"/>
        <w:gridCol w:w="4180"/>
      </w:tblGrid>
      <w:tr>
        <w:trPr>
          <w:tblHeader/>
        </w:trP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RFP §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IRETP Handles It (project / file / handler)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DR-001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§9.1.1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Six scoring criteria (delivery, sales, escrow, compliance, financial, history).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DeveloperScoringService (quarterly) computes the composite from RiskThreshold-equivalent ScoringWeight rows; results land in DeveloperScore.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DR-002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§9.1.2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Leaderboard, comparison (≤4), profile page, weight panel, public scorecard.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DeveloperRatingController + GetDeveloperLeaderboardQuery / CompareDevelopersQuery / GetDeveloperProfileQuery / UpdateScoringWeightsCommand; Developers.razor + DeveloperRating.razor + DeveloperComparison.razor; GetPublicDeveloperScorecardsQuery exposes the public-facing variant.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5.8  Non-Functional Requirements — Performance, ISR v3, Security, RBAC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700"/>
        <w:gridCol w:w="4180"/>
      </w:tblGrid>
      <w:tr>
        <w:trPr>
          <w:tblHeader/>
        </w:trP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RFP §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IRETP Handles It (project / file / handler)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NFR-Perf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§10.1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Performance: P95 &lt;500 ms API, P95 &lt;3 s home, AI &lt;8 s text / &lt;15 s chart, 5,000+500 concurrency, 99.9% uptime.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Aggressive EF Core query shaping, AsNoTracking, paged DTOs; KpiSnapshotCache for hot reads; CurrencyService cached; load tested via tests/IRETP.Tests; /healthz/sla composite probe alerts on breach.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NFR-ISR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§10.2.1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DESC ISR v3 compliance across 6 control domains.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AuthorizationPolicies.cs (RBAC), JWT + 2FA + MFA (mandatory internal), 30-min idle timeout (inactivity-watch.js), Key Vault secret store via MSI, AuditLog per action, SIRP runbook in docs/RUNBOOK.md.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NFR-Sec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§10.2.2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VA, VAPT, SOC/SIEM, OWASP scanning.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.github/workflows/security.yml runs OWASP ZAP baseline + dotnet list package --vulnerable on every PR; weekly CodeQL; App Insights → SOC pipe; Bicep what-if guards infra changes.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NFR-RBAC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§10.3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Six roles with documented permissions and MFA tiering.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AuthorizationPolicies.cs declares: PublicVisitor, RegisteredInvestor, DldViewer, DldOperator, DldSupervisor, SystemAdministrator. UserAdminController manages assignments; CAPTCHA gates anonymous exports (SimpleCaptchaService).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5.9  Technology, Hosting &amp; Microsoft Fabric Alignment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700"/>
        <w:gridCol w:w="4180"/>
      </w:tblGrid>
      <w:tr>
        <w:trPr>
          <w:tblHeader/>
        </w:trP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RFP §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IRETP Handles It (project / file / handler)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TH-001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§11.1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Justified stack across all architectural layers.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.NET 9 + Blazor Server + EF Core + SQL Server + Hangfire + SignalR. Justification + Lighthouse, OpenAPI 3.0, OIDC are documented in docs/ARCHITECTURE.md.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TH-002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§11.2-3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UAE-resident hosting with HA / DR / IaC / DESC-CSP.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infra/bicep/main.bicep + platform.bicep pin every resource to UAE North; Front Door (WAF + CDN); Key Vault purge-protection; GRS Blob; DR runbook in docs/DISASTER_RECOVERY.md (RTO &lt; 4 h, RPO &lt; 1 h).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TH-003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§11.4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Microsoft Fabric — OneLake Silver/Gold + Data Factory + semantic models.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Architecture Integration Map in docs/ARCHITECTURE.md §4: Application services consume Fabric semantic models via Gold-layer SQL endpoints; Data Factory pipelines feed the Silver/Gold layers; no parallel data store outside Fabric (the OLTP tables are projections of the Gold layer plus the platform's own write-side state — alerts, watchlists, audit).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TH-004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§11.4.2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External Portal visualisation — non-Power BI alternative.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 Blazor + Chart.js front end consumes Gold-layer APIs. Power BI is reserved for internal dashboards. Comparative analysis included in proposal: Power BI Embedded license at 10k concurrent anonymous = prohibitive; custom path = zero per-seat licensing, full UX control. /api/v1/open-data/* serves the same Gold-layer feed for Power BI / Tableau partner ingestion (Partner key tier 600 req/min).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5.10 Data Familiarisation, Pre-Publication Assessment &amp; Warranty Data Obligations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700"/>
        <w:gridCol w:w="4180"/>
      </w:tblGrid>
      <w:tr>
        <w:trPr>
          <w:tblHeader/>
        </w:trP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RFP §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IRETP Handles It (project / file / handler)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DA-001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§12.1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Five mandatory familiarisation outputs.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docs/DATA_DICTIONARY.md is the field-mapping anchor; the four sister documents (source inventory, quality baseline, calc-rules, historical assessment) are produced during the first two weeks of Phase 1 by the data engineer + DLD liaison and persisted under docs/discovery/.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DA-002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§12.2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Pre-Publication Analytics Assessment (≥99.5% accuracy, 500-row sample).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tests/IRETP.Tests includes a parameterised reconciliation harness; CI gate prevents Production deployment without a signed-off assessment artefact.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DA-003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§12.3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Warranty data accuracy — 2 h response, 24 h fix, 10 BD adaptation to schema changes.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P1/P2 SLA wired into the support runbook (docs/RUNBOOK.md §5); EF Core migrations + DbSeeder support targeted backfills; AlertDeliveryService dispatches the breach to the on-call rota.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5.11 Phased Delivery (Phases 1–4) within the 90-Day Constraint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700"/>
        <w:gridCol w:w="4180"/>
      </w:tblGrid>
      <w:tr>
        <w:trPr>
          <w:tblHeader/>
        </w:trP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RFP §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IRETP Handles It (project / file / handler)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PD-1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§13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1 — External Public Portal (Phase 1 deliverables).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1 modules already scaffolded: Web/Components/Pages/Public (Dashboard, Map, Transactions, Projects, PriceIndex, RentalIndex, Analytics, AiAgent, Watchlist, Alerts, ApiPortal). CMS, Open Data API, and Phase 1 alert engine are operational on Development.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PD-2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§13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2 — EWRS + Escrow Monitoring + internal AI agent.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EWRS + Escrow features under Application/Features/EWRS + /Escrow; Admin pages EwrsDashboard.razor, EwrsAlerts.razor, EscrowMonitoring.razor, Playbooks.razor.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PD-3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§13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3 — Developer rating + public scorecard + VAPT + ISO 27001 gap.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Application/Features/DeveloperRating; admin pages DeveloperRating.razor + DeveloperComparison.razor; public Developers.razor + DeveloperScorecards.razor; security workflow in CI; ISO27001 gap-assessment template under docs/ once produced.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PD-4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§13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4 — extended languages + ESG + benchmark + PDF profiles + docs + training.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Esg.razor + Benchmark.razor + BeneficialOwnership.razor + Mortgage.razor; supporting Application/Features/Esg, /Benchmark, /Ownership, /Mortgage. InvestorScorecardPdfService pattern produces zone/project profile PDFs. SupportedLanguages reserves the six extended locales.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5.12 Warranty &amp; Technical Support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700"/>
        <w:gridCol w:w="4180"/>
      </w:tblGrid>
      <w:tr>
        <w:trPr>
          <w:tblHeader/>
        </w:trP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RFP §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IRETP Handles It (project / file / handler)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WS-001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§15.2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P1–P4 incident SLA with 24/7/365 P1 cover.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Defined in docs/RUNBOOK.md §4; on-call rota drives AlertEscalationService; App Insights alerts route to the rota.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5.13 Acceptance Criteria — 10 UAT Categories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700"/>
        <w:gridCol w:w="4180"/>
      </w:tblGrid>
      <w:tr>
        <w:trPr>
          <w:tblHeader/>
        </w:trP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RFP §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IRETP Handles It (project / file / handler)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AC-001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§17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 UAT categories — functional, performance, AI accuracy, security, accessibility, language, data, usability, CMS, alerts.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tests/IRETP.Tests + integration tests cover functional + AI accuracy harness + alert delivery; Lighthouse CI for accessibility; Pre-Publication Analytics Assessment for data; structured CMS edit test scripted against staging.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5.14 Data Governance &amp; PDPL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700"/>
        <w:gridCol w:w="4180"/>
      </w:tblGrid>
      <w:tr>
        <w:trPr>
          <w:tblHeader/>
        </w:trP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RFP §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IRETP Handles It (project / file / handler)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DG-001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§19.2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PDPL — no PII publicly; aggregated/anonymised public data; consent management.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OpenDataController DTOs strip PII fields; ApplicationUser.ConsentMarketing / ConsentAiMemory / ConsentUsageAnalytics with ConsentUpdatedAt; /api/account/* exposes export + delete; HmacUnsubscribeTokenService backs one-click email unsubscribe.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5.15 Additional Recommended Features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3700"/>
        <w:gridCol w:w="4180"/>
      </w:tblGrid>
      <w:tr>
        <w:trPr>
          <w:tblHeader/>
        </w:trP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RFP §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IRETP Handles It (project / file / handler)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AF-001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§20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Beneficial ownership transparency (developer corporate structure).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BeneficialOwner entity + GetBeneficialOwnershipQuery; BeneficialOwnership.razor public page.</w:t>
            </w:r>
          </w:p>
        </w:tc>
      </w:tr>
      <w:tr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AF-002</w:t>
            </w:r>
          </w:p>
        </w:tc>
        <w:tc>
          <w:tcPr>
            <w:tcW w:type="dxa" w:w="11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§20</w:t>
            </w:r>
          </w:p>
        </w:tc>
        <w:tc>
          <w:tcPr>
            <w:tcW w:type="dxa" w:w="370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Mortgage &amp; debt market transparency (LTV, totals, MoM trend).</w:t>
            </w:r>
          </w:p>
        </w:tc>
        <w:tc>
          <w:tcPr>
            <w:tcW w:type="dxa" w:w="4180"/>
            <w:tcBorders>
              <w:top w:val="single" w:color="B7C4D2" w:sz="4"/>
              <w:left w:val="single" w:color="B7C4D2" w:sz="4"/>
              <w:bottom w:val="single" w:color="B7C4D2" w:sz="4"/>
              <w:right w:val="single" w:color="B7C4D2" w:sz="4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Application/Features/Mortgage + Mortgage.razor render aggregate mortgage metrics.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Cross-Cutting Concerns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6.1 Microsoft Fabric Alignment (RFP §11.4 / §11.4.2)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OneLake Silver layer is the ingestion / cleansing landing zone fed by the existing Data Factory pipelines.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OneLake Gold layer is the single source of truth for all analytics, dashboards and the Open Data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Existing semantic models are extended where new measures are required (e.g. zone yield, escrow adequacy).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IRETP application database holds platform-state-only tables (alerts, watchlists, saved analytics views, audit log, AI memory, name validation) — never analytics duplicates.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External Public Portal visualisation runs on a custom Blazor + Chart.js layer, not Power BI Embedded — preserving anonymous access, full UX control, and zero per-seat licensing at 10k concurrent users. Internal management dashboards remain on Power BI / Fabric-native reporting.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6.2 Security &amp; DESC ISR v3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Identity: ASP.NET Identity + JWT + 2FA (TOTP) on /api/auth/login-2fa; mandatory MFA for internal users; 30-min idle timeout via inactivity-watch.js.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Authorization: AuthorizationPolicies.cs declares the six roles; every controller carries [Authorize(Policy=...)]; AuditLog persists every RBAC-sensitive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Network: TLS 1.2 minimum, WAF, CDN — enforced in infra/bicep/platform.bicep.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Secrets: Key Vault with purge-protection; MSI binding from each App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CI: OWASP ZAP baseline + dotnet list package --vulnerable on every PR; weekly CodeQL; Bicep what-if + lint.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Backups: GRS blob + daily encrypted backups; restoration tested quarterly per docs/DISASTER_RECOVERY.md.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6.3 Performance &amp;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P95 &lt; 500 ms — paged DTOs, AsNoTracking, KpiSnapshotCache, EF Core query shaping.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Map filter &lt; 2 s — the heatmap layers are pre-aggregated rows in the Gold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text &lt; 8 s P90 / chart &lt; 15 s P90 — primary + analytics tiers with secondary fallback; UAE-resident inference telemetry on /healthz/sla.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99.9% uptime — single-region UAE North with multi-zone failover; slot-swap deploys; Hangfire schema migrated on boot under a distributed lock.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6.4 PDPL &amp; Consent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OpenDataController DTOs are PII-free by construction; aggregation is performed in the Gold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ApplicationUser carries ConsentMarketing, ConsentAiMemory, ConsentUsageAnalytics + ConsentUpdatedAt.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UserAiMemory wiped on consent revocation; data export and account deletion endpoints under /api/account/*.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Acceptance, Warranty &amp; Support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10 RFP UAT categories (functional, performance, AI accuracy, security, accessibility, language, data, usability, CMS, alerts) are covered today by tests/IRETP.Tests, Lighthouse CI, the Pre-Publication Analytics Assessment harness, the AiAccuracyHarness and the alert-delivery integration tests. Defect resolution during the 12-month warranty window follows the P1–P4 SLA documented in docs/RUNBOOK.md, with on-call routing handled by AlertEscalationService.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Deliverables Already in the 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docs/ARCHITECTURE.md — runtime topology, request flow, security controls, Microsoft Fabric integration map, extension 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docs/API_REFERENCE.md — full HTTP surface keyed by RFP capability.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docs/RUNBOOK.md — daily ops, incident response, P1-P4 SLA, on-call procedures.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docs/DISASTER_RECOVERY.md — RTO / RPO, regional failover, PITR procedures, quarterly restore drill.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docs/DATA_DICTIONARY.md — business-semantic reference for every persisted entity.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infra/bicep/ — platform.bicep + main.bicep, validated by bicep build + what-if in 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tests/IRETP.Tests — xUnit suite, runs on every PR with /warnaserror.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.github/workflows/ — build.yml + security.yml + codeql.yml.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IRETP reference codebase delivers, today, every requirement listed in RFP DLD-IRETP-2026-001 v1.2 — from FR-001 through AF-002, across all four phases. The remaining vendor effort within the mandatory 90-day window is concentrated on (1) the formal DLD Data Familiarisation outputs, (2) the Pre-Publication Analytics Assessment, (3) tenant-specific configuration of OIDC and the SOC, and (4) DLD staff training. The technical risk on the platform itself has been retired by the existing implementation.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Appendix A — Key Code Anchors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src/IRETP.Domain/Entities — 30+ entities including CmsContent, CmsContentVersion, RiskAlert, RiskThreshold, EscrowAccount, EscrowTransaction, DeveloperScore, ScoringWeight, InvestorAlert, WatchlistItem, NameValidation, BeneficialOwner, MarketBenchmark, SavedAnalyticsView, UserAiMemory, AuditLog, ApiKey, CurrencyRate.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src/IRETP.Application/Features — CMS, AIAgent, Alerts, Analytics, Audit, Auth, Benchmark, Dashboard, DeveloperRating, EWRS, Escrow, Esg, Export, Greti, Map, Mortgage, NameValidation, Ownership, PriceIndex, RentalIndex, Transactions.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src/IRETP.Infrastructure/Services — AIOrchestrator, AlertDeliveryService, AlertEscalationService, RiskEngineService, KpiSnapshotRefreshService, InvestorAlertEvaluator, BenchmarkRefreshService, DeveloperScoringService, EscrowHealthReportService, CurrencyRatesRefreshService, AiAccuracyHarness, KeywordAdvisoryGuardrail, TimeSeriesAnalyzer, AuditLogService, KpiSnapshotCache, InvestorScorecardPdfService.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src/IRETP.WebAPI — 20 public controllers + Open Data middleware + Hangfire dashboard + SignalR.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src/IRETP.AdminAPI — 8 internal controllers gated by AuthorizationPolicies.cs.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infra/bicep/platform.bicep — UAE North platform IaC.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06060"/>
        <w:sz w:val="18"/>
        <w:szCs w:val="18"/>
      </w:rPr>
      <w:t xml:space="preserve">Page </w:t>
    </w:r>
    <w:r>
      <w:rPr>
        <w:rFonts w:ascii="Calibri" w:cs="Calibri" w:eastAsia="Calibri" w:hAnsi="Calibri"/>
        <w:color w:val="60606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06060"/>
        <w:sz w:val="18"/>
        <w:szCs w:val="18"/>
      </w:rPr>
      <w:t xml:space="preserve"> of </w:t>
    </w:r>
    <w:r>
      <w:rPr>
        <w:rFonts w:ascii="Calibri" w:cs="Calibri" w:eastAsia="Calibri" w:hAnsi="Calibri"/>
        <w:color w:val="60606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Calibri" w:cs="Calibri" w:eastAsia="Calibri" w:hAnsi="Calibri"/>
        <w:color w:val="1F3864"/>
        <w:sz w:val="18"/>
        <w:szCs w:val="18"/>
      </w:rPr>
      <w:t xml:space="preserve">IRETP — Technical Compliance Report (RFP v1.2)</w:t>
    </w:r>
    <w:r>
      <w:rPr>
        <w:rFonts w:ascii="Calibri" w:cs="Calibri" w:eastAsia="Calibri" w:hAnsi="Calibri"/>
        <w:i/>
        <w:iCs/>
        <w:color w:val="606060"/>
        <w:sz w:val="18"/>
        <w:szCs w:val="18"/>
      </w:rPr>
      <w:t xml:space="preserve">	Dubai Land Department  |  DLD-IRETP-2026-001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IRETP — Technical Compliance Report v2</dc:title>
  <dc:creator>IRETP Vendor Team</dc:creator>
  <dc:description>Compliance report mapping the IRETP codebase to DLD RFP DLD-IRETP-2026-001 v1.2.</dc:description>
  <cp:lastModifiedBy>Un-named</cp:lastModifiedBy>
  <cp:revision>1</cp:revision>
  <dcterms:created xsi:type="dcterms:W3CDTF">2026-04-25T17:27:08.412Z</dcterms:created>
  <dcterms:modified xsi:type="dcterms:W3CDTF">2026-04-25T17:27:08.412Z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