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28"/>
        </w:rPr>
        <w:t>Dubai Land Department</w:t>
      </w:r>
    </w:p>
    <w:p>
      <w:pPr>
        <w:jc w:val="center"/>
      </w:pPr>
      <w:r>
        <w:rPr>
          <w:color w:val="444444"/>
          <w:sz w:val="22"/>
        </w:rPr>
        <w:t>RFP No. DLD-IRETP-2026-001</w:t>
      </w:r>
    </w:p>
    <w:p/>
    <w:p/>
    <w:p>
      <w:pPr>
        <w:jc w:val="center"/>
      </w:pPr>
      <w:r>
        <w:rPr>
          <w:b/>
          <w:color w:val="0B3D91"/>
          <w:sz w:val="52"/>
        </w:rPr>
        <w:t>Technical Solution Proposal</w:t>
      </w:r>
    </w:p>
    <w:p>
      <w:pPr>
        <w:jc w:val="center"/>
      </w:pPr>
      <w:r>
        <w:rPr>
          <w:i/>
          <w:color w:val="444444"/>
          <w:sz w:val="26"/>
        </w:rPr>
        <w:t>Integrated Real Estate Transparency Platform (IRETP) — RFP DLD-IRETP-2026-001 Response, Volume 1 of 2</w:t>
      </w:r>
    </w:p>
    <w:p/>
    <w:p/>
    <w:p/>
    <w:p/>
    <w:p/>
    <w:p/>
    <w:p/>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Programme</w:t>
            </w:r>
          </w:p>
        </w:tc>
        <w:tc>
          <w:tcPr>
            <w:tcW w:type="dxa" w:w="6236"/>
            <w:tcBorders>
              <w:top w:val="single" w:sz="6" w:color="BFBFBF"/>
              <w:left w:val="single" w:sz="6" w:color="BFBFBF"/>
              <w:bottom w:val="single" w:sz="6" w:color="BFBFBF"/>
              <w:right w:val="single" w:sz="6" w:color="BFBFBF"/>
            </w:tcBorders>
          </w:tcPr>
          <w:p>
            <w:r>
              <w:rPr>
                <w:sz w:val="20"/>
              </w:rPr>
              <w:t>Integrated Real Estate Transparency Platform (IRETP)</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Submission Date</w:t>
            </w:r>
          </w:p>
        </w:tc>
        <w:tc>
          <w:tcPr>
            <w:tcW w:type="dxa" w:w="6236"/>
            <w:tcBorders>
              <w:top w:val="single" w:sz="6" w:color="BFBFBF"/>
              <w:left w:val="single" w:sz="6" w:color="BFBFBF"/>
              <w:bottom w:val="single" w:sz="6" w:color="BFBFBF"/>
              <w:right w:val="single" w:sz="6" w:color="BFBFBF"/>
            </w:tcBorders>
          </w:tcPr>
          <w:p>
            <w:r>
              <w:rPr>
                <w:sz w:val="20"/>
              </w:rPr>
              <w:t>May 2026</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Document Type</w:t>
            </w:r>
          </w:p>
        </w:tc>
        <w:tc>
          <w:tcPr>
            <w:tcW w:type="dxa" w:w="6236"/>
            <w:tcBorders>
              <w:top w:val="single" w:sz="6" w:color="BFBFBF"/>
              <w:left w:val="single" w:sz="6" w:color="BFBFBF"/>
              <w:bottom w:val="single" w:sz="6" w:color="BFBFBF"/>
              <w:right w:val="single" w:sz="6" w:color="BFBFBF"/>
            </w:tcBorders>
          </w:tcPr>
          <w:p>
            <w:r>
              <w:rPr>
                <w:sz w:val="20"/>
              </w:rPr>
              <w:t>Technical Solution Proposal</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Classification</w:t>
            </w:r>
          </w:p>
        </w:tc>
        <w:tc>
          <w:tcPr>
            <w:tcW w:type="dxa" w:w="6236"/>
            <w:tcBorders>
              <w:top w:val="single" w:sz="6" w:color="BFBFBF"/>
              <w:left w:val="single" w:sz="6" w:color="BFBFBF"/>
              <w:bottom w:val="single" w:sz="6" w:color="BFBFBF"/>
              <w:right w:val="single" w:sz="6" w:color="BFBFBF"/>
            </w:tcBorders>
          </w:tcPr>
          <w:p>
            <w:r>
              <w:rPr>
                <w:sz w:val="20"/>
              </w:rPr>
              <w:t>Confidential — Vendor Proposal</w:t>
            </w:r>
          </w:p>
        </w:tc>
      </w:tr>
    </w:tbl>
    <w:p>
      <w:r>
        <w:br w:type="page"/>
      </w:r>
    </w:p>
    <w:p>
      <w:pPr>
        <w:pStyle w:val="Heading1"/>
      </w:pPr>
      <w:r>
        <w:t>1. Executive Summary</w:t>
      </w:r>
    </w:p>
    <w:p>
      <w:r>
        <w:rPr>
          <w:b w:val="0"/>
          <w:i w:val="0"/>
          <w:sz w:val="21"/>
        </w:rPr>
        <w:t>This proposal responds to RFP DLD-IRETP-2026-001 for the Integrated Real Estate Transparency Platform (IRETP). The solution is a production-ready, Clean-Architecture .NET 8 platform already in build, comprising three deployable hosts — IRETP.WebAPI (public + investor APIs), IRETP.AdminAPI (internal DLD operations), and IRETP.Web (Blazor Server portal) — backed by a shared IRETP.Application (CQRS via MediatR), IRETP.Domain (DDD entities) and IRETP.Infrastructure (EF Core, OneLake lakehouse, Hangfire, AI orchestration, identity). Every functional area called out by the RFP (External Public Portal, Slice-and-Dice Analytics, AI Agent, Investor Notifications, Multilingual EN/AR, EWRS, Developer Rating &amp; Escrow, RBAC, Open Data API) is implemented as a discrete feature folder under src/IRETP.Application/Features and exposed through controllers and Razor pages already in the repository.</w:t>
      </w:r>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Why this proposal is differentiated</w:t>
            </w:r>
          </w:p>
          <w:p>
            <w:r>
              <w:rPr>
                <w:sz w:val="20"/>
              </w:rPr>
              <w:t>The IRETP platform exists today as a Clean-Architecture .NET 8 codebase with feature folders, identity, AI orchestration, EWRS, Escrow monitoring, Developer Rating, CMS and Open Data API already in place. The vendor is not proposing greenfield development — the proposal answers each RFP clause with a live module, file path and deployment plan, plus an explicit list of value-add engineering improvements (Section 18) committed at no extra cost.</w:t>
            </w:r>
          </w:p>
        </w:tc>
      </w:tr>
    </w:tbl>
    <w:p/>
    <w:p>
      <w:pPr>
        <w:pStyle w:val="Heading1"/>
      </w:pPr>
      <w:r>
        <w:t>2. Solution Architecture Overview</w:t>
      </w:r>
    </w:p>
    <w:p>
      <w:r>
        <w:rPr>
          <w:b w:val="0"/>
          <w:i w:val="0"/>
          <w:sz w:val="21"/>
        </w:rPr>
        <w:t>IRETP follows Clean Architecture with strict inward-pointing dependencies. The Domain layer holds the canonical real estate model (Transaction, Project, ProjectUnit, Developer, EscrowAccount, EscrowTransaction, PriceIndex, RentalIndex, MarketBenchmark, Zone, InvestorAlert, RiskAlert, RiskThreshold, ScoringWeight, BeneficialOwner, RegulatoryViolation, CmsContent, AuditLog, ApiKey, UserAiMemory, Notification). The Application layer organises CQRS handlers under Features/* (AIAgent, Alerts, Analytics, Audit, Auth, Benchmark, CMS, Dashboard, DeveloperRating, EWRS, Escrow, Esg, Export, Greti, Map, Mortgage, NameValidation, Ownership, PriceIndex, RentalIndex, Transactions). The Infrastructure layer hosts EF Core, the OneLake bridge, Hangfire jobs, the AI orchestration suite and the notification stack. Two API hosts publish the surface — WebAPI for investor and Open Data traffic, AdminAPI for internal DLD modules — both secured by JWT and federated OIDC.</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Web Host (Blazor Server)</w:t>
            </w:r>
          </w:p>
        </w:tc>
        <w:tc>
          <w:tcPr>
            <w:tcW w:type="dxa" w:w="6236"/>
            <w:tcBorders>
              <w:top w:val="single" w:sz="6" w:color="BFBFBF"/>
              <w:left w:val="single" w:sz="6" w:color="BFBFBF"/>
              <w:bottom w:val="single" w:sz="6" w:color="BFBFBF"/>
              <w:right w:val="single" w:sz="6" w:color="BFBFBF"/>
            </w:tcBorders>
          </w:tcPr>
          <w:p>
            <w:r>
              <w:rPr>
                <w:sz w:val="20"/>
              </w:rPr>
              <w:t>src/IRETP.Web — public + admin UI</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Public/Investor API</w:t>
            </w:r>
          </w:p>
        </w:tc>
        <w:tc>
          <w:tcPr>
            <w:tcW w:type="dxa" w:w="6236"/>
            <w:tcBorders>
              <w:top w:val="single" w:sz="6" w:color="BFBFBF"/>
              <w:left w:val="single" w:sz="6" w:color="BFBFBF"/>
              <w:bottom w:val="single" w:sz="6" w:color="BFBFBF"/>
              <w:right w:val="single" w:sz="6" w:color="BFBFBF"/>
            </w:tcBorders>
          </w:tcPr>
          <w:p>
            <w:r>
              <w:rPr>
                <w:sz w:val="20"/>
              </w:rPr>
              <w:t>src/IRETP.WebAPI — JWT + OIDC, rate-limited</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Internal/Admin API</w:t>
            </w:r>
          </w:p>
        </w:tc>
        <w:tc>
          <w:tcPr>
            <w:tcW w:type="dxa" w:w="6236"/>
            <w:tcBorders>
              <w:top w:val="single" w:sz="6" w:color="BFBFBF"/>
              <w:left w:val="single" w:sz="6" w:color="BFBFBF"/>
              <w:bottom w:val="single" w:sz="6" w:color="BFBFBF"/>
              <w:right w:val="single" w:sz="6" w:color="BFBFBF"/>
            </w:tcBorders>
          </w:tcPr>
          <w:p>
            <w:r>
              <w:rPr>
                <w:sz w:val="20"/>
              </w:rPr>
              <w:t>src/IRETP.AdminAPI — DLD operational endpoints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Application (CQRS)</w:t>
            </w:r>
          </w:p>
        </w:tc>
        <w:tc>
          <w:tcPr>
            <w:tcW w:type="dxa" w:w="6236"/>
            <w:tcBorders>
              <w:top w:val="single" w:sz="6" w:color="BFBFBF"/>
              <w:left w:val="single" w:sz="6" w:color="BFBFBF"/>
              <w:bottom w:val="single" w:sz="6" w:color="BFBFBF"/>
              <w:right w:val="single" w:sz="6" w:color="BFBFBF"/>
            </w:tcBorders>
          </w:tcPr>
          <w:p>
            <w:r>
              <w:rPr>
                <w:sz w:val="20"/>
              </w:rPr>
              <w:t>src/IRETP.Application/Features/* (MediatR)</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Domain (DDD)</w:t>
            </w:r>
          </w:p>
        </w:tc>
        <w:tc>
          <w:tcPr>
            <w:tcW w:type="dxa" w:w="6236"/>
            <w:tcBorders>
              <w:top w:val="single" w:sz="6" w:color="BFBFBF"/>
              <w:left w:val="single" w:sz="6" w:color="BFBFBF"/>
              <w:bottom w:val="single" w:sz="6" w:color="BFBFBF"/>
              <w:right w:val="single" w:sz="6" w:color="BFBFBF"/>
            </w:tcBorders>
          </w:tcPr>
          <w:p>
            <w:r>
              <w:rPr>
                <w:sz w:val="20"/>
              </w:rPr>
              <w:t>src/IRETP.Domain/Entities + Enums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Infrastructure</w:t>
            </w:r>
          </w:p>
        </w:tc>
        <w:tc>
          <w:tcPr>
            <w:tcW w:type="dxa" w:w="6236"/>
            <w:tcBorders>
              <w:top w:val="single" w:sz="6" w:color="BFBFBF"/>
              <w:left w:val="single" w:sz="6" w:color="BFBFBF"/>
              <w:bottom w:val="single" w:sz="6" w:color="BFBFBF"/>
              <w:right w:val="single" w:sz="6" w:color="BFBFBF"/>
            </w:tcBorders>
          </w:tcPr>
          <w:p>
            <w:r>
              <w:rPr>
                <w:sz w:val="20"/>
              </w:rPr>
              <w:t>src/IRETP.Infrastructure — EF Core, OneLake, Hangfire, AI, Identity</w:t>
            </w:r>
          </w:p>
        </w:tc>
      </w:tr>
    </w:tbl>
    <w:p/>
    <w:p>
      <w:pPr>
        <w:pStyle w:val="Heading1"/>
      </w:pPr>
      <w:r>
        <w:t>3. External Public Portal — Functional Requirements (RFP §3)</w:t>
      </w:r>
    </w:p>
    <w:p>
      <w:r>
        <w:rPr>
          <w:b w:val="0"/>
          <w:i w:val="0"/>
          <w:sz w:val="21"/>
        </w:rPr>
        <w:t>The External Public Portal is delivered by the Blazor Server host IRETP.Web with public landing pages located under Components/Pages/Public/*. The CMS, KPI dashboard, transactions, GIS map and price/rental index pages are all live in the repository.</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CMS (RFP §3.1)</w:t>
            </w:r>
          </w:p>
        </w:tc>
        <w:tc>
          <w:tcPr>
            <w:tcW w:type="dxa" w:w="6236"/>
            <w:tcBorders>
              <w:top w:val="single" w:sz="6" w:color="BFBFBF"/>
              <w:left w:val="single" w:sz="6" w:color="BFBFBF"/>
              <w:bottom w:val="single" w:sz="6" w:color="BFBFBF"/>
              <w:right w:val="single" w:sz="6" w:color="BFBFBF"/>
            </w:tcBorders>
          </w:tcPr>
          <w:p>
            <w:r>
              <w:rPr>
                <w:sz w:val="20"/>
              </w:rPr>
              <w:t>CmsContent + CmsContentVersion entities with versioned drafts; AdminAPI CmsController and Admin/Cms.razor authoring page; public rendering via Public/CmsPreview.razor.</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Homepage Dashboard (§3.2)</w:t>
            </w:r>
          </w:p>
        </w:tc>
        <w:tc>
          <w:tcPr>
            <w:tcW w:type="dxa" w:w="6236"/>
            <w:tcBorders>
              <w:top w:val="single" w:sz="6" w:color="BFBFBF"/>
              <w:left w:val="single" w:sz="6" w:color="BFBFBF"/>
              <w:bottom w:val="single" w:sz="6" w:color="BFBFBF"/>
              <w:right w:val="single" w:sz="6" w:color="BFBFBF"/>
            </w:tcBorders>
          </w:tcPr>
          <w:p>
            <w:r>
              <w:rPr>
                <w:sz w:val="20"/>
              </w:rPr>
              <w:t>Public/Dashboard.razor consumes DashboardController KPIs cached by KpiSnapshotCache and refreshed by KpiSnapshotRefreshService.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Transactions (§3.3)</w:t>
            </w:r>
          </w:p>
        </w:tc>
        <w:tc>
          <w:tcPr>
            <w:tcW w:type="dxa" w:w="6236"/>
            <w:tcBorders>
              <w:top w:val="single" w:sz="6" w:color="BFBFBF"/>
              <w:left w:val="single" w:sz="6" w:color="BFBFBF"/>
              <w:bottom w:val="single" w:sz="6" w:color="BFBFBF"/>
              <w:right w:val="single" w:sz="6" w:color="BFBFBF"/>
            </w:tcBorders>
          </w:tcPr>
          <w:p>
            <w:r>
              <w:rPr>
                <w:sz w:val="20"/>
              </w:rPr>
              <w:t>Public/Transactions.razor + TransactionsController served by Application/Features/Transactions/Queries; supports filters, pagination, CSV/PDF export via Features/Export.</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GIS Map (§3.4)</w:t>
            </w:r>
          </w:p>
        </w:tc>
        <w:tc>
          <w:tcPr>
            <w:tcW w:type="dxa" w:w="6236"/>
            <w:tcBorders>
              <w:top w:val="single" w:sz="6" w:color="BFBFBF"/>
              <w:left w:val="single" w:sz="6" w:color="BFBFBF"/>
              <w:bottom w:val="single" w:sz="6" w:color="BFBFBF"/>
              <w:right w:val="single" w:sz="6" w:color="BFBFBF"/>
            </w:tcBorders>
          </w:tcPr>
          <w:p>
            <w:r>
              <w:rPr>
                <w:sz w:val="20"/>
              </w:rPr>
              <w:t>Public/Map.razor + MapController; zone polygons and project pins delivered through Features/Map/Queries; risk overlay integrates with EWRS for the internal view.</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Price &amp; Rental Index (§3.5)</w:t>
            </w:r>
          </w:p>
        </w:tc>
        <w:tc>
          <w:tcPr>
            <w:tcW w:type="dxa" w:w="6236"/>
            <w:tcBorders>
              <w:top w:val="single" w:sz="6" w:color="BFBFBF"/>
              <w:left w:val="single" w:sz="6" w:color="BFBFBF"/>
              <w:bottom w:val="single" w:sz="6" w:color="BFBFBF"/>
              <w:right w:val="single" w:sz="6" w:color="BFBFBF"/>
            </w:tcBorders>
          </w:tcPr>
          <w:p>
            <w:r>
              <w:rPr>
                <w:sz w:val="20"/>
              </w:rPr>
              <w:t>Public/PriceIndex.razor and Public/RentalIndex.razor; backed by PriceIndex / RentalIndex entities, refreshed by BenchmarkRefreshService, served by Features/PriceIndex and Features/RentalIndex.</w:t>
            </w:r>
          </w:p>
        </w:tc>
      </w:tr>
    </w:tbl>
    <w:p/>
    <w:p>
      <w:pPr>
        <w:pStyle w:val="Heading3"/>
      </w:pPr>
      <w:r>
        <w:t>Highlights</w:t>
      </w:r>
    </w:p>
    <w:p>
      <w:pPr>
        <w:pStyle w:val="ListBullet"/>
      </w:pPr>
      <w:r>
        <w:t>Bilingual EN/AR rendering with RTL mirroring on every public page.</w:t>
      </w:r>
    </w:p>
    <w:p>
      <w:pPr>
        <w:pStyle w:val="ListBullet"/>
      </w:pPr>
      <w:r>
        <w:t>KpiCard, Skeleton, EmptyState, NetworkError shared components for a consistent UX state machine.</w:t>
      </w:r>
    </w:p>
    <w:p>
      <w:pPr>
        <w:pStyle w:val="ListBullet"/>
      </w:pPr>
      <w:r>
        <w:t>Module banners and structured-data tags (StructuredData.razor) for SEO and accessibility.</w:t>
      </w:r>
    </w:p>
    <w:p>
      <w:pPr>
        <w:pStyle w:val="Heading3"/>
      </w:pPr>
      <w:r>
        <w:t>Code References</w:t>
      </w:r>
    </w:p>
    <w:p>
      <w:r>
        <w:rPr>
          <w:b/>
          <w:color w:val="444444"/>
          <w:sz w:val="19"/>
        </w:rPr>
        <w:t xml:space="preserve">Pages: </w:t>
      </w:r>
      <w:r>
        <w:rPr>
          <w:rFonts w:ascii="Consolas" w:hAnsi="Consolas"/>
          <w:color w:val="003388"/>
          <w:sz w:val="19"/>
        </w:rPr>
        <w:t>src/IRETP.Web/Components/Pages/Public/*.razor</w:t>
      </w:r>
    </w:p>
    <w:p>
      <w:r>
        <w:rPr>
          <w:b/>
          <w:color w:val="444444"/>
          <w:sz w:val="19"/>
        </w:rPr>
        <w:t xml:space="preserve">API Surface: </w:t>
      </w:r>
      <w:r>
        <w:rPr>
          <w:rFonts w:ascii="Consolas" w:hAnsi="Consolas"/>
          <w:color w:val="003388"/>
          <w:sz w:val="19"/>
        </w:rPr>
        <w:t>src/IRETP.WebAPI/Controllers/*.cs</w:t>
      </w:r>
    </w:p>
    <w:p>
      <w:r>
        <w:rPr>
          <w:b/>
          <w:color w:val="444444"/>
          <w:sz w:val="19"/>
        </w:rPr>
        <w:t xml:space="preserve">Domain Entities: </w:t>
      </w:r>
      <w:r>
        <w:rPr>
          <w:rFonts w:ascii="Consolas" w:hAnsi="Consolas"/>
          <w:color w:val="003388"/>
          <w:sz w:val="19"/>
        </w:rPr>
        <w:t>src/IRETP.Domain/Entities/{Transaction,Project,Zone,PriceIndex,RentalIndex}.cs</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Coverage</w:t>
            </w:r>
          </w:p>
          <w:p>
            <w:r>
              <w:rPr>
                <w:sz w:val="20"/>
              </w:rPr>
              <w:t>Every functional clause in RFP §3.1 – §3.5 maps to a live Razor page, controller and CQRS feature folder.</w:t>
            </w:r>
          </w:p>
        </w:tc>
      </w:tr>
    </w:tbl>
    <w:p/>
    <w:p>
      <w:pPr>
        <w:pStyle w:val="Heading1"/>
      </w:pPr>
      <w:r>
        <w:t>4. Interactive Analytics Engine (RFP §4)</w:t>
      </w:r>
    </w:p>
    <w:p>
      <w:r>
        <w:rPr>
          <w:b w:val="0"/>
          <w:i w:val="0"/>
          <w:sz w:val="21"/>
        </w:rPr>
        <w:t>The slice-and-dice analytics engine is exposed through AnalyticsController and Application/Features/Analytics. Saved views are persisted as SavedAnalyticsView entities so investors can return to a named filter set.</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Slice &amp; Dice</w:t>
            </w:r>
          </w:p>
        </w:tc>
        <w:tc>
          <w:tcPr>
            <w:tcW w:type="dxa" w:w="6236"/>
            <w:tcBorders>
              <w:top w:val="single" w:sz="6" w:color="BFBFBF"/>
              <w:left w:val="single" w:sz="6" w:color="BFBFBF"/>
              <w:bottom w:val="single" w:sz="6" w:color="BFBFBF"/>
              <w:right w:val="single" w:sz="6" w:color="BFBFBF"/>
            </w:tcBorders>
          </w:tcPr>
          <w:p>
            <w:r>
              <w:rPr>
                <w:sz w:val="20"/>
              </w:rPr>
              <w:t>Public/Analytics.razor builds dynamic queries (zone, property type, developer, period, financing method) routed through Features/Analytics/Queries handlers.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Embed Mode</w:t>
            </w:r>
          </w:p>
        </w:tc>
        <w:tc>
          <w:tcPr>
            <w:tcW w:type="dxa" w:w="6236"/>
            <w:tcBorders>
              <w:top w:val="single" w:sz="6" w:color="BFBFBF"/>
              <w:left w:val="single" w:sz="6" w:color="BFBFBF"/>
              <w:bottom w:val="single" w:sz="6" w:color="BFBFBF"/>
              <w:right w:val="single" w:sz="6" w:color="BFBFBF"/>
            </w:tcBorders>
          </w:tcPr>
          <w:p>
            <w:r>
              <w:rPr>
                <w:sz w:val="20"/>
              </w:rPr>
              <w:t>Public/AnalyticsEmbed.razor + EmbedLayout deliver an iframe-safe view for partner sites.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Export</w:t>
            </w:r>
          </w:p>
        </w:tc>
        <w:tc>
          <w:tcPr>
            <w:tcW w:type="dxa" w:w="6236"/>
            <w:tcBorders>
              <w:top w:val="single" w:sz="6" w:color="BFBFBF"/>
              <w:left w:val="single" w:sz="6" w:color="BFBFBF"/>
              <w:bottom w:val="single" w:sz="6" w:color="BFBFBF"/>
              <w:right w:val="single" w:sz="6" w:color="BFBFBF"/>
            </w:tcBorders>
          </w:tcPr>
          <w:p>
            <w:r>
              <w:rPr>
                <w:sz w:val="20"/>
              </w:rPr>
              <w:t>Features/Export commands generate CSV and PDF outputs (PDF via InvestorScorecardPdfService pattern).</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Saved Views</w:t>
            </w:r>
          </w:p>
        </w:tc>
        <w:tc>
          <w:tcPr>
            <w:tcW w:type="dxa" w:w="6236"/>
            <w:tcBorders>
              <w:top w:val="single" w:sz="6" w:color="BFBFBF"/>
              <w:left w:val="single" w:sz="6" w:color="BFBFBF"/>
              <w:bottom w:val="single" w:sz="6" w:color="BFBFBF"/>
              <w:right w:val="single" w:sz="6" w:color="BFBFBF"/>
            </w:tcBorders>
          </w:tcPr>
          <w:p>
            <w:r>
              <w:rPr>
                <w:sz w:val="20"/>
              </w:rPr>
              <w:t>SavedAnalyticsView entity + Features/Analytics/Commands/Save; shareable URL tokens.</w:t>
            </w:r>
          </w:p>
        </w:tc>
      </w:tr>
    </w:tbl>
    <w:p/>
    <w:p>
      <w:pPr>
        <w:pStyle w:val="Heading3"/>
      </w:pPr>
      <w:r>
        <w:t>Highlights</w:t>
      </w:r>
    </w:p>
    <w:p>
      <w:pPr>
        <w:pStyle w:val="ListBullet"/>
      </w:pPr>
      <w:r>
        <w:t>Aggregations are computed in EF Core projections so the lakehouse layer is queried only once per filter set.</w:t>
      </w:r>
    </w:p>
    <w:p>
      <w:pPr>
        <w:pStyle w:val="ListBullet"/>
      </w:pPr>
      <w:r>
        <w:t>Charts respect locale (EN/AR) via i18n resources; axis labels and tooltips switch with the active language.</w:t>
      </w:r>
    </w:p>
    <w:p>
      <w:pPr>
        <w:pStyle w:val="Heading3"/>
      </w:pPr>
      <w:r>
        <w:t>Code References</w:t>
      </w:r>
    </w:p>
    <w:p>
      <w:r>
        <w:rPr>
          <w:b/>
          <w:color w:val="444444"/>
          <w:sz w:val="19"/>
        </w:rPr>
        <w:t xml:space="preserve">Controller: </w:t>
      </w:r>
      <w:r>
        <w:rPr>
          <w:rFonts w:ascii="Consolas" w:hAnsi="Consolas"/>
          <w:color w:val="003388"/>
          <w:sz w:val="19"/>
        </w:rPr>
        <w:t>src/IRETP.WebAPI/Controllers/AnalyticsController.cs</w:t>
      </w:r>
    </w:p>
    <w:p>
      <w:r>
        <w:rPr>
          <w:b/>
          <w:color w:val="444444"/>
          <w:sz w:val="19"/>
        </w:rPr>
        <w:t xml:space="preserve">Handlers: </w:t>
      </w:r>
      <w:r>
        <w:rPr>
          <w:rFonts w:ascii="Consolas" w:hAnsi="Consolas"/>
          <w:color w:val="003388"/>
          <w:sz w:val="19"/>
        </w:rPr>
        <w:t>src/IRETP.Application/Features/Analytics/{Commands,Queries}/*.cs</w:t>
      </w:r>
    </w:p>
    <w:p>
      <w:r>
        <w:rPr>
          <w:b/>
          <w:color w:val="444444"/>
          <w:sz w:val="19"/>
        </w:rPr>
        <w:t xml:space="preserve">Page: </w:t>
      </w:r>
      <w:r>
        <w:rPr>
          <w:rFonts w:ascii="Consolas" w:hAnsi="Consolas"/>
          <w:color w:val="003388"/>
          <w:sz w:val="19"/>
        </w:rPr>
        <w:t>src/IRETP.Web/Components/Pages/Public/Analytics.razor</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Performance</w:t>
            </w:r>
          </w:p>
          <w:p>
            <w:r>
              <w:rPr>
                <w:sz w:val="20"/>
              </w:rPr>
              <w:t>P95 chart render under 2 s achieved by snapshotting hot aggregates into KpiSnapshotCache and serving the page with Blazor Server pre-rendering.</w:t>
            </w:r>
          </w:p>
        </w:tc>
      </w:tr>
    </w:tbl>
    <w:p/>
    <w:p>
      <w:pPr>
        <w:pStyle w:val="Heading1"/>
      </w:pPr>
      <w:r>
        <w:t>5. Real Estate AI Agent (RFP §5)</w:t>
      </w:r>
    </w:p>
    <w:p>
      <w:r>
        <w:rPr>
          <w:b w:val="0"/>
          <w:i w:val="0"/>
          <w:sz w:val="21"/>
        </w:rPr>
        <w:t>The AI Agent is delivered via a model-agnostic orchestration layer (AIOrchestrator) that sits between the agent endpoint and any configured LLM provider. The orchestrator can route between providers per task, fall back automatically, and is reconfigurable from the AdminAPI without redeployment, satisfying the multi-model requirement.</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Scope (§5.1)</w:t>
            </w:r>
          </w:p>
        </w:tc>
        <w:tc>
          <w:tcPr>
            <w:tcW w:type="dxa" w:w="6236"/>
            <w:tcBorders>
              <w:top w:val="single" w:sz="6" w:color="BFBFBF"/>
              <w:left w:val="single" w:sz="6" w:color="BFBFBF"/>
              <w:bottom w:val="single" w:sz="6" w:color="BFBFBF"/>
              <w:right w:val="single" w:sz="6" w:color="BFBFBF"/>
            </w:tcBorders>
          </w:tcPr>
          <w:p>
            <w:r>
              <w:rPr>
                <w:sz w:val="20"/>
              </w:rPr>
              <w:t>AIAgentController exposes /api/v1/ai-agent endpoints; the agent answers data, navigation, valuation-procedure and regulation queries grounded in DLD data.</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Capabilities (§5.2)</w:t>
            </w:r>
          </w:p>
        </w:tc>
        <w:tc>
          <w:tcPr>
            <w:tcW w:type="dxa" w:w="6236"/>
            <w:tcBorders>
              <w:top w:val="single" w:sz="6" w:color="BFBFBF"/>
              <w:left w:val="single" w:sz="6" w:color="BFBFBF"/>
              <w:bottom w:val="single" w:sz="6" w:color="BFBFBF"/>
              <w:right w:val="single" w:sz="6" w:color="BFBFBF"/>
            </w:tcBorders>
          </w:tcPr>
          <w:p>
            <w:r>
              <w:rPr>
                <w:sz w:val="20"/>
              </w:rPr>
              <w:t>Features/AIAgent/Queries handle natural-language data lookups, service navigation, and DLD service-page deep links.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Multi-Model (§5.3)</w:t>
            </w:r>
          </w:p>
        </w:tc>
        <w:tc>
          <w:tcPr>
            <w:tcW w:type="dxa" w:w="6236"/>
            <w:tcBorders>
              <w:top w:val="single" w:sz="6" w:color="BFBFBF"/>
              <w:left w:val="single" w:sz="6" w:color="BFBFBF"/>
              <w:bottom w:val="single" w:sz="6" w:color="BFBFBF"/>
              <w:right w:val="single" w:sz="6" w:color="BFBFBF"/>
            </w:tcBorders>
          </w:tcPr>
          <w:p>
            <w:r>
              <w:rPr>
                <w:sz w:val="20"/>
              </w:rPr>
              <w:t>AIOrchestrator + AIModelMetrics implement provider routing, warm-fallback and per-model latency telemetry surfaced in Admin/AIModels.razor.</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Guardrails</w:t>
            </w:r>
          </w:p>
        </w:tc>
        <w:tc>
          <w:tcPr>
            <w:tcW w:type="dxa" w:w="6236"/>
            <w:tcBorders>
              <w:top w:val="single" w:sz="6" w:color="BFBFBF"/>
              <w:left w:val="single" w:sz="6" w:color="BFBFBF"/>
              <w:bottom w:val="single" w:sz="6" w:color="BFBFBF"/>
              <w:right w:val="single" w:sz="6" w:color="BFBFBF"/>
            </w:tcBorders>
          </w:tcPr>
          <w:p>
            <w:r>
              <w:rPr>
                <w:sz w:val="20"/>
              </w:rPr>
              <w:t>KeywordAdvisoryGuardrail blocks regulated-advice patterns; AiInteractionLog persists every request/response for audit and the AiAccuracyHarness benchmark harness.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Memory (AI-006)</w:t>
            </w:r>
          </w:p>
        </w:tc>
        <w:tc>
          <w:tcPr>
            <w:tcW w:type="dxa" w:w="6236"/>
            <w:tcBorders>
              <w:top w:val="single" w:sz="6" w:color="BFBFBF"/>
              <w:left w:val="single" w:sz="6" w:color="BFBFBF"/>
              <w:bottom w:val="single" w:sz="6" w:color="BFBFBF"/>
              <w:right w:val="single" w:sz="6" w:color="BFBFBF"/>
            </w:tcBorders>
          </w:tcPr>
          <w:p>
            <w:r>
              <w:rPr>
                <w:sz w:val="20"/>
              </w:rPr>
              <w:t>UserAiMemory entity + UserConsentService gate cross-session context behind explicit opt-in toggled from Account.razor.</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Multilingual (AI-007)</w:t>
            </w:r>
          </w:p>
        </w:tc>
        <w:tc>
          <w:tcPr>
            <w:tcW w:type="dxa" w:w="6236"/>
            <w:tcBorders>
              <w:top w:val="single" w:sz="6" w:color="BFBFBF"/>
              <w:left w:val="single" w:sz="6" w:color="BFBFBF"/>
              <w:bottom w:val="single" w:sz="6" w:color="BFBFBF"/>
              <w:right w:val="single" w:sz="6" w:color="BFBFBF"/>
            </w:tcBorders>
          </w:tcPr>
          <w:p>
            <w:r>
              <w:rPr>
                <w:sz w:val="20"/>
              </w:rPr>
              <w:t>EN/AR conversational support in Phase 1 via locale-aware prompts; Phase 4 extension to ZH, RU, UR, FR, HI, DE delivered through the same orchestrator with model selection per language.</w:t>
            </w:r>
          </w:p>
        </w:tc>
      </w:tr>
    </w:tbl>
    <w:p/>
    <w:p>
      <w:pPr>
        <w:pStyle w:val="Heading3"/>
      </w:pPr>
      <w:r>
        <w:t>Highlights</w:t>
      </w:r>
    </w:p>
    <w:p>
      <w:pPr>
        <w:pStyle w:val="ListBullet"/>
      </w:pPr>
      <w:r>
        <w:t>RAG layer is mandatory and model-agnostic: it indexes transactions, project registry, developer profiles, RERA regulations and DLD service procedures and grounds every reply.</w:t>
      </w:r>
    </w:p>
    <w:p>
      <w:pPr>
        <w:pStyle w:val="ListBullet"/>
      </w:pPr>
      <w:r>
        <w:t>All inference routed through UAE-resident endpoints (managed APIs with UAE region or UAE-hosted open-source models).</w:t>
      </w:r>
    </w:p>
    <w:p>
      <w:pPr>
        <w:pStyle w:val="ListBullet"/>
      </w:pPr>
      <w:r>
        <w:t>Admin/AIModels.razor shows per-model name, version, status, 7-day average latency and active fallback condition.</w:t>
      </w:r>
    </w:p>
    <w:p>
      <w:pPr>
        <w:pStyle w:val="Heading3"/>
      </w:pPr>
      <w:r>
        <w:t>Code References</w:t>
      </w:r>
    </w:p>
    <w:p>
      <w:r>
        <w:rPr>
          <w:b/>
          <w:color w:val="444444"/>
          <w:sz w:val="19"/>
        </w:rPr>
        <w:t xml:space="preserve">Orchestrator: </w:t>
      </w:r>
      <w:r>
        <w:rPr>
          <w:rFonts w:ascii="Consolas" w:hAnsi="Consolas"/>
          <w:color w:val="003388"/>
          <w:sz w:val="19"/>
        </w:rPr>
        <w:t>src/IRETP.Infrastructure/Services/AIOrchestrator.cs</w:t>
      </w:r>
    </w:p>
    <w:p>
      <w:r>
        <w:rPr>
          <w:b/>
          <w:color w:val="444444"/>
          <w:sz w:val="19"/>
        </w:rPr>
        <w:t xml:space="preserve">Metrics: </w:t>
      </w:r>
      <w:r>
        <w:rPr>
          <w:rFonts w:ascii="Consolas" w:hAnsi="Consolas"/>
          <w:color w:val="003388"/>
          <w:sz w:val="19"/>
        </w:rPr>
        <w:t>src/IRETP.Infrastructure/Services/AIModelMetrics.cs</w:t>
      </w:r>
    </w:p>
    <w:p>
      <w:r>
        <w:rPr>
          <w:b/>
          <w:color w:val="444444"/>
          <w:sz w:val="19"/>
        </w:rPr>
        <w:t xml:space="preserve">Guardrails: </w:t>
      </w:r>
      <w:r>
        <w:rPr>
          <w:rFonts w:ascii="Consolas" w:hAnsi="Consolas"/>
          <w:color w:val="003388"/>
          <w:sz w:val="19"/>
        </w:rPr>
        <w:t>src/IRETP.Infrastructure/Services/KeywordAdvisoryGuardrail.cs</w:t>
      </w:r>
    </w:p>
    <w:p>
      <w:r>
        <w:rPr>
          <w:b/>
          <w:color w:val="444444"/>
          <w:sz w:val="19"/>
        </w:rPr>
        <w:t xml:space="preserve">Harness: </w:t>
      </w:r>
      <w:r>
        <w:rPr>
          <w:rFonts w:ascii="Consolas" w:hAnsi="Consolas"/>
          <w:color w:val="003388"/>
          <w:sz w:val="19"/>
        </w:rPr>
        <w:t>src/IRETP.Infrastructure/Services/AiAccuracyHarness.cs</w:t>
      </w:r>
    </w:p>
    <w:p>
      <w:r>
        <w:rPr>
          <w:b/>
          <w:color w:val="444444"/>
          <w:sz w:val="19"/>
        </w:rPr>
        <w:t xml:space="preserve">Admin UI: </w:t>
      </w:r>
      <w:r>
        <w:rPr>
          <w:rFonts w:ascii="Consolas" w:hAnsi="Consolas"/>
          <w:color w:val="003388"/>
          <w:sz w:val="19"/>
        </w:rPr>
        <w:t>src/IRETP.Web/Components/Pages/Admin/AIModels.razor</w:t>
      </w:r>
    </w:p>
    <w:p>
      <w:r>
        <w:rPr>
          <w:b/>
          <w:color w:val="444444"/>
          <w:sz w:val="19"/>
        </w:rPr>
        <w:t xml:space="preserve">Agent Page: </w:t>
      </w:r>
      <w:r>
        <w:rPr>
          <w:rFonts w:ascii="Consolas" w:hAnsi="Consolas"/>
          <w:color w:val="003388"/>
          <w:sz w:val="19"/>
        </w:rPr>
        <w:t>src/IRETP.Web/Components/Pages/Public/AiAgent.razor</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Differentiator</w:t>
            </w:r>
          </w:p>
          <w:p>
            <w:r>
              <w:rPr>
                <w:sz w:val="20"/>
              </w:rPr>
              <w:t>Provider-agnostic orchestrator means DLD can switch from a managed API to a UAE-hosted open-source LLM (Llama, Mistral) by configuration, with no code change and no downtime.</w:t>
            </w:r>
          </w:p>
        </w:tc>
      </w:tr>
    </w:tbl>
    <w:p/>
    <w:p>
      <w:pPr>
        <w:pStyle w:val="Heading1"/>
      </w:pPr>
      <w:r>
        <w:t>6. Investor Notification &amp; Alert System (RFP §6)</w:t>
      </w:r>
    </w:p>
    <w:p>
      <w:r>
        <w:rPr>
          <w:b w:val="0"/>
          <w:i w:val="0"/>
          <w:sz w:val="21"/>
        </w:rPr>
        <w:t>Investor alerts are evaluated by InvestorAlertEvaluator running on Hangfire and dispatched by AlertDeliveryService over email, SMS and the in-platform notification centre.</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Alert Types (§6.1)</w:t>
            </w:r>
          </w:p>
        </w:tc>
        <w:tc>
          <w:tcPr>
            <w:tcW w:type="dxa" w:w="6236"/>
            <w:tcBorders>
              <w:top w:val="single" w:sz="6" w:color="BFBFBF"/>
              <w:left w:val="single" w:sz="6" w:color="BFBFBF"/>
              <w:bottom w:val="single" w:sz="6" w:color="BFBFBF"/>
              <w:right w:val="single" w:sz="6" w:color="BFBFBF"/>
            </w:tcBorders>
          </w:tcPr>
          <w:p>
            <w:r>
              <w:rPr>
                <w:sz w:val="20"/>
              </w:rPr>
              <w:t>InvestorAlert entity supports Price Movement, New Project Launch, Watchlist Status Change, Rental Yield Threshold, Periodic Digest, Regulation/Policy Update — each with user-configurable trigger thresholds and zone/developer preferences.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Delivery (§6.2)</w:t>
            </w:r>
          </w:p>
        </w:tc>
        <w:tc>
          <w:tcPr>
            <w:tcW w:type="dxa" w:w="6236"/>
            <w:tcBorders>
              <w:top w:val="single" w:sz="6" w:color="BFBFBF"/>
              <w:left w:val="single" w:sz="6" w:color="BFBFBF"/>
              <w:bottom w:val="single" w:sz="6" w:color="BFBFBF"/>
              <w:right w:val="single" w:sz="6" w:color="BFBFBF"/>
            </w:tcBorders>
          </w:tcPr>
          <w:p>
            <w:r>
              <w:rPr>
                <w:sz w:val="20"/>
              </w:rPr>
              <w:t>Email via SmtpEmailSender with branded HTML template + embedded chart; SMS via HttpSmsSender (≤160 chars); in-platform via Notification entity surfaced through HeaderWidgets bell icon.</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Unsubscribe</w:t>
            </w:r>
          </w:p>
        </w:tc>
        <w:tc>
          <w:tcPr>
            <w:tcW w:type="dxa" w:w="6236"/>
            <w:tcBorders>
              <w:top w:val="single" w:sz="6" w:color="BFBFBF"/>
              <w:left w:val="single" w:sz="6" w:color="BFBFBF"/>
              <w:bottom w:val="single" w:sz="6" w:color="BFBFBF"/>
              <w:right w:val="single" w:sz="6" w:color="BFBFBF"/>
            </w:tcBorders>
          </w:tcPr>
          <w:p>
            <w:r>
              <w:rPr>
                <w:sz w:val="20"/>
              </w:rPr>
              <w:t>HmacUnsubscribeTokenService issues signed one-click unsubscribe links that satisfy RFP §6.2 and CAN-SPAM-style requirements.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SLA</w:t>
            </w:r>
          </w:p>
        </w:tc>
        <w:tc>
          <w:tcPr>
            <w:tcW w:type="dxa" w:w="6236"/>
            <w:tcBorders>
              <w:top w:val="single" w:sz="6" w:color="BFBFBF"/>
              <w:left w:val="single" w:sz="6" w:color="BFBFBF"/>
              <w:bottom w:val="single" w:sz="6" w:color="BFBFBF"/>
              <w:right w:val="single" w:sz="6" w:color="BFBFBF"/>
            </w:tcBorders>
          </w:tcPr>
          <w:p>
            <w:r>
              <w:rPr>
                <w:sz w:val="20"/>
              </w:rPr>
              <w:t>Hangfire schedules ensure email ≤5 min, SMS ≤3 min, in-platform instantaneous from trigger time.</w:t>
            </w:r>
          </w:p>
        </w:tc>
      </w:tr>
    </w:tbl>
    <w:p/>
    <w:p>
      <w:pPr>
        <w:pStyle w:val="Heading3"/>
      </w:pPr>
      <w:r>
        <w:t>Highlights</w:t>
      </w:r>
    </w:p>
    <w:p>
      <w:pPr>
        <w:pStyle w:val="ListBullet"/>
      </w:pPr>
      <w:r>
        <w:t>Watchlist + alert configuration on Public/Watchlist.razor and Public/Alerts.razor with full CRUD on InvestorAlert preferences.</w:t>
      </w:r>
    </w:p>
    <w:p>
      <w:pPr>
        <w:pStyle w:val="ListBullet"/>
      </w:pPr>
      <w:r>
        <w:t>Notification templates centralised in NotificationTemplates.cs.</w:t>
      </w:r>
    </w:p>
    <w:p>
      <w:pPr>
        <w:pStyle w:val="ListBullet"/>
      </w:pPr>
      <w:r>
        <w:t>Recipient resolution honours user channel preferences and quiet hours via NotificationRecipientResolver.</w:t>
      </w:r>
    </w:p>
    <w:p>
      <w:pPr>
        <w:pStyle w:val="Heading3"/>
      </w:pPr>
      <w:r>
        <w:t>Code References</w:t>
      </w:r>
    </w:p>
    <w:p>
      <w:r>
        <w:rPr>
          <w:b/>
          <w:color w:val="444444"/>
          <w:sz w:val="19"/>
        </w:rPr>
        <w:t xml:space="preserve">Evaluator: </w:t>
      </w:r>
      <w:r>
        <w:rPr>
          <w:rFonts w:ascii="Consolas" w:hAnsi="Consolas"/>
          <w:color w:val="003388"/>
          <w:sz w:val="19"/>
        </w:rPr>
        <w:t>src/IRETP.Infrastructure/Services/InvestorAlertEvaluator.cs</w:t>
      </w:r>
    </w:p>
    <w:p>
      <w:r>
        <w:rPr>
          <w:b/>
          <w:color w:val="444444"/>
          <w:sz w:val="19"/>
        </w:rPr>
        <w:t xml:space="preserve">Delivery: </w:t>
      </w:r>
      <w:r>
        <w:rPr>
          <w:rFonts w:ascii="Consolas" w:hAnsi="Consolas"/>
          <w:color w:val="003388"/>
          <w:sz w:val="19"/>
        </w:rPr>
        <w:t>src/IRETP.Infrastructure/Services/AlertDeliveryService.cs</w:t>
      </w:r>
    </w:p>
    <w:p>
      <w:r>
        <w:rPr>
          <w:b/>
          <w:color w:val="444444"/>
          <w:sz w:val="19"/>
        </w:rPr>
        <w:t xml:space="preserve">Templates: </w:t>
      </w:r>
      <w:r>
        <w:rPr>
          <w:rFonts w:ascii="Consolas" w:hAnsi="Consolas"/>
          <w:color w:val="003388"/>
          <w:sz w:val="19"/>
        </w:rPr>
        <w:t>src/IRETP.Infrastructure/Services/Notifications/NotificationTemplates.cs</w:t>
      </w:r>
    </w:p>
    <w:p>
      <w:r>
        <w:rPr>
          <w:b/>
          <w:color w:val="444444"/>
          <w:sz w:val="19"/>
        </w:rPr>
        <w:t xml:space="preserve">Page: </w:t>
      </w:r>
      <w:r>
        <w:rPr>
          <w:rFonts w:ascii="Consolas" w:hAnsi="Consolas"/>
          <w:color w:val="003388"/>
          <w:sz w:val="19"/>
        </w:rPr>
        <w:t>src/IRETP.Web/Components/Pages/Public/Alerts.razor</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Reliability</w:t>
            </w:r>
          </w:p>
          <w:p>
            <w:r>
              <w:rPr>
                <w:sz w:val="20"/>
              </w:rPr>
              <w:t>Outbox-pattern enhancement (§18) guarantees at-least-once delivery on transient SMTP/SMS failure.</w:t>
            </w:r>
          </w:p>
        </w:tc>
      </w:tr>
    </w:tbl>
    <w:p/>
    <w:p>
      <w:pPr>
        <w:pStyle w:val="Heading1"/>
      </w:pPr>
      <w:r>
        <w:t>7. Multilingual Requirements (RFP §7)</w:t>
      </w:r>
    </w:p>
    <w:p>
      <w:r>
        <w:rPr>
          <w:b w:val="0"/>
          <w:i w:val="0"/>
          <w:sz w:val="21"/>
        </w:rPr>
        <w:t>EN and AR are first-class in Phase 1 across the Internal Platform, External Portal and AI Agent. The CMS stores per-locale content fields. Phase 4 extends to Simplified Chinese, Russian, Urdu, French, Hindi and German with graceful English fallback.</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RTL Layout</w:t>
            </w:r>
          </w:p>
        </w:tc>
        <w:tc>
          <w:tcPr>
            <w:tcW w:type="dxa" w:w="6236"/>
            <w:tcBorders>
              <w:top w:val="single" w:sz="6" w:color="BFBFBF"/>
              <w:left w:val="single" w:sz="6" w:color="BFBFBF"/>
              <w:bottom w:val="single" w:sz="6" w:color="BFBFBF"/>
              <w:right w:val="single" w:sz="6" w:color="BFBFBF"/>
            </w:tcBorders>
          </w:tcPr>
          <w:p>
            <w:r>
              <w:rPr>
                <w:sz w:val="20"/>
              </w:rPr>
              <w:t>MainLayout.razor and per-page CSS apply layout mirroring for AR and UR including chart axes, table column order and icon side.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i18n Resources</w:t>
            </w:r>
          </w:p>
        </w:tc>
        <w:tc>
          <w:tcPr>
            <w:tcW w:type="dxa" w:w="6236"/>
            <w:tcBorders>
              <w:top w:val="single" w:sz="6" w:color="BFBFBF"/>
              <w:left w:val="single" w:sz="6" w:color="BFBFBF"/>
              <w:bottom w:val="single" w:sz="6" w:color="BFBFBF"/>
              <w:right w:val="single" w:sz="6" w:color="BFBFBF"/>
            </w:tcBorders>
          </w:tcPr>
          <w:p>
            <w:r>
              <w:rPr>
                <w:sz w:val="20"/>
              </w:rPr>
              <w:t>All translatable strings flow through resource files / CMS locale fields; no hardcoded strings in Razor markup.</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Currency Switcher</w:t>
            </w:r>
          </w:p>
        </w:tc>
        <w:tc>
          <w:tcPr>
            <w:tcW w:type="dxa" w:w="6236"/>
            <w:tcBorders>
              <w:top w:val="single" w:sz="6" w:color="BFBFBF"/>
              <w:left w:val="single" w:sz="6" w:color="BFBFBF"/>
              <w:bottom w:val="single" w:sz="6" w:color="BFBFBF"/>
              <w:right w:val="single" w:sz="6" w:color="BFBFBF"/>
            </w:tcBorders>
          </w:tcPr>
          <w:p>
            <w:r>
              <w:rPr>
                <w:sz w:val="20"/>
              </w:rPr>
              <w:t>CurrencyController + CurrencyRate + CurrencyRatesRefreshService feed a header switcher that converts AED to selected currency without losing page state.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Language Persistence</w:t>
            </w:r>
          </w:p>
        </w:tc>
        <w:tc>
          <w:tcPr>
            <w:tcW w:type="dxa" w:w="6236"/>
            <w:tcBorders>
              <w:top w:val="single" w:sz="6" w:color="BFBFBF"/>
              <w:left w:val="single" w:sz="6" w:color="BFBFBF"/>
              <w:bottom w:val="single" w:sz="6" w:color="BFBFBF"/>
              <w:right w:val="single" w:sz="6" w:color="BFBFBF"/>
            </w:tcBorders>
          </w:tcPr>
          <w:p>
            <w:r>
              <w:rPr>
                <w:sz w:val="20"/>
              </w:rPr>
              <w:t>Stored on ApplicationUser and in browser storage; survives navigation and login.</w:t>
            </w:r>
          </w:p>
        </w:tc>
      </w:tr>
    </w:tbl>
    <w:p/>
    <w:p>
      <w:pPr>
        <w:pStyle w:val="Heading3"/>
      </w:pPr>
      <w:r>
        <w:t>Highlights</w:t>
      </w:r>
    </w:p>
    <w:p>
      <w:pPr>
        <w:pStyle w:val="ListBullet"/>
      </w:pPr>
      <w:r>
        <w:t>Arabic translation of zone, project and developer names validated against DLD official records before go-live.</w:t>
      </w:r>
    </w:p>
    <w:p>
      <w:pPr>
        <w:pStyle w:val="ListBullet"/>
      </w:pPr>
      <w:r>
        <w:t>Chart labels, tooltips, export headers and PDF reports honour the active language including AR digits.</w:t>
      </w:r>
    </w:p>
    <w:p>
      <w:pPr>
        <w:pStyle w:val="Heading3"/>
      </w:pPr>
      <w:r>
        <w:t>Code References</w:t>
      </w:r>
    </w:p>
    <w:p>
      <w:r>
        <w:rPr>
          <w:b/>
          <w:color w:val="444444"/>
          <w:sz w:val="19"/>
        </w:rPr>
        <w:t xml:space="preserve">Layout: </w:t>
      </w:r>
      <w:r>
        <w:rPr>
          <w:rFonts w:ascii="Consolas" w:hAnsi="Consolas"/>
          <w:color w:val="003388"/>
          <w:sz w:val="19"/>
        </w:rPr>
        <w:t>src/IRETP.Web/Components/Layout/MainLayout.razor</w:t>
      </w:r>
    </w:p>
    <w:p>
      <w:r>
        <w:rPr>
          <w:b/>
          <w:color w:val="444444"/>
          <w:sz w:val="19"/>
        </w:rPr>
        <w:t xml:space="preserve">Header: </w:t>
      </w:r>
      <w:r>
        <w:rPr>
          <w:rFonts w:ascii="Consolas" w:hAnsi="Consolas"/>
          <w:color w:val="003388"/>
          <w:sz w:val="19"/>
        </w:rPr>
        <w:t>src/IRETP.Web/Components/Layout/HeaderWidgets.razor</w:t>
      </w:r>
    </w:p>
    <w:p>
      <w:r>
        <w:rPr>
          <w:b/>
          <w:color w:val="444444"/>
          <w:sz w:val="19"/>
        </w:rPr>
        <w:t xml:space="preserve">Currency: </w:t>
      </w:r>
      <w:r>
        <w:rPr>
          <w:rFonts w:ascii="Consolas" w:hAnsi="Consolas"/>
          <w:color w:val="003388"/>
          <w:sz w:val="19"/>
        </w:rPr>
        <w:t>src/IRETP.Infrastructure/Services/CurrencyRatesRefreshService.cs</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Coverage</w:t>
            </w:r>
          </w:p>
          <w:p>
            <w:r>
              <w:rPr>
                <w:sz w:val="20"/>
              </w:rPr>
              <w:t>Phase 1 ships full EN/AR; Phase 4 adds the six extended languages with AI Agent basic-query handling.</w:t>
            </w:r>
          </w:p>
        </w:tc>
      </w:tr>
    </w:tbl>
    <w:p/>
    <w:p>
      <w:pPr>
        <w:pStyle w:val="Heading1"/>
      </w:pPr>
      <w:r>
        <w:t>8. Internal Platform — Early Warning Risk System (RFP §8)</w:t>
      </w:r>
    </w:p>
    <w:p>
      <w:r>
        <w:rPr>
          <w:b w:val="0"/>
          <w:i w:val="0"/>
          <w:sz w:val="21"/>
        </w:rPr>
        <w:t>EWRS is delivered through Application/Features/EWRS, RiskEngineService and AlertEscalationService. RiskThreshold entities make every numeric trigger configurable from Admin/EwrsDashboard.razor with full audit logging.</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Risk Indicators (§8.1)</w:t>
            </w:r>
          </w:p>
        </w:tc>
        <w:tc>
          <w:tcPr>
            <w:tcW w:type="dxa" w:w="6236"/>
            <w:tcBorders>
              <w:top w:val="single" w:sz="6" w:color="BFBFBF"/>
              <w:left w:val="single" w:sz="6" w:color="BFBFBF"/>
              <w:bottom w:val="single" w:sz="6" w:color="BFBFBF"/>
              <w:right w:val="single" w:sz="6" w:color="BFBFBF"/>
            </w:tcBorders>
          </w:tcPr>
          <w:p>
            <w:r>
              <w:rPr>
                <w:sz w:val="20"/>
              </w:rPr>
              <w:t>RiskEngineService evaluates Project Delivery Delay (warning/critical), Escrow Shortfall (warning/critical), Construction Activity Suspension, Sharp Transaction Volume Decline, Developer Score Deterioration, High-Risk Project Concentration, Zone Price Decline and Severe Regulatory Violation against RiskThreshold rows.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Escalation (§8.2)</w:t>
            </w:r>
          </w:p>
        </w:tc>
        <w:tc>
          <w:tcPr>
            <w:tcW w:type="dxa" w:w="6236"/>
            <w:tcBorders>
              <w:top w:val="single" w:sz="6" w:color="BFBFBF"/>
              <w:left w:val="single" w:sz="6" w:color="BFBFBF"/>
              <w:bottom w:val="single" w:sz="6" w:color="BFBFBF"/>
              <w:right w:val="single" w:sz="6" w:color="BFBFBF"/>
            </w:tcBorders>
          </w:tcPr>
          <w:p>
            <w:r>
              <w:rPr>
                <w:sz w:val="20"/>
              </w:rPr>
              <w:t>AlertLevel enum (1–4) drives AlertEscalationService which routes to Project Officer (L1), Section Manager + Director (L2), DG + Deputies (L3) or DG + Regulator (L4) over email + SMS + platform notification.</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Dashboard (§8.3)</w:t>
            </w:r>
          </w:p>
        </w:tc>
        <w:tc>
          <w:tcPr>
            <w:tcW w:type="dxa" w:w="6236"/>
            <w:tcBorders>
              <w:top w:val="single" w:sz="6" w:color="BFBFBF"/>
              <w:left w:val="single" w:sz="6" w:color="BFBFBF"/>
              <w:bottom w:val="single" w:sz="6" w:color="BFBFBF"/>
              <w:right w:val="single" w:sz="6" w:color="BFBFBF"/>
            </w:tcBorders>
          </w:tcPr>
          <w:p>
            <w:r>
              <w:rPr>
                <w:sz w:val="20"/>
              </w:rPr>
              <w:t>Admin/EwrsDashboard.razor renders the Dubai-wide risk heatmap on the GIS map with KPI bar; Admin/EwrsAlerts.razor is the alert inbox with status (New/Acknowledged/Resolved/Escalated), assignee and notes.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Playbooks</w:t>
            </w:r>
          </w:p>
        </w:tc>
        <w:tc>
          <w:tcPr>
            <w:tcW w:type="dxa" w:w="6236"/>
            <w:tcBorders>
              <w:top w:val="single" w:sz="6" w:color="BFBFBF"/>
              <w:left w:val="single" w:sz="6" w:color="BFBFBF"/>
              <w:bottom w:val="single" w:sz="6" w:color="BFBFBF"/>
              <w:right w:val="single" w:sz="6" w:color="BFBFBF"/>
            </w:tcBorders>
          </w:tcPr>
          <w:p>
            <w:r>
              <w:rPr>
                <w:sz w:val="20"/>
              </w:rPr>
              <w:t>Admin/Playbooks.razor links each alert type to a SOP checklist creating an auditable response trail.</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Threshold Config</w:t>
            </w:r>
          </w:p>
        </w:tc>
        <w:tc>
          <w:tcPr>
            <w:tcW w:type="dxa" w:w="6236"/>
            <w:tcBorders>
              <w:top w:val="single" w:sz="6" w:color="BFBFBF"/>
              <w:left w:val="single" w:sz="6" w:color="BFBFBF"/>
              <w:bottom w:val="single" w:sz="6" w:color="BFBFBF"/>
              <w:right w:val="single" w:sz="6" w:color="BFBFBF"/>
            </w:tcBorders>
          </w:tcPr>
          <w:p>
            <w:r>
              <w:rPr>
                <w:sz w:val="20"/>
              </w:rPr>
              <w:t>RiskThreshold rows editable from the dashboard; every change written to AuditLog with timestamp + approver identity by AuditLogService.</w:t>
            </w:r>
          </w:p>
        </w:tc>
      </w:tr>
    </w:tbl>
    <w:p/>
    <w:p>
      <w:pPr>
        <w:pStyle w:val="Heading3"/>
      </w:pPr>
      <w:r>
        <w:t>Highlights</w:t>
      </w:r>
    </w:p>
    <w:p>
      <w:pPr>
        <w:pStyle w:val="ListBullet"/>
      </w:pPr>
      <w:r>
        <w:t>Risk evaluation runs as a Hangfire job on a configurable cadence so leadership wakes up to a fresh risk picture every morning.</w:t>
      </w:r>
    </w:p>
    <w:p>
      <w:pPr>
        <w:pStyle w:val="ListBullet"/>
      </w:pPr>
      <w:r>
        <w:t>Heatmap colour scale is colour-blind safe (RiskLevel enum mapped to tested palette).</w:t>
      </w:r>
    </w:p>
    <w:p>
      <w:pPr>
        <w:pStyle w:val="Heading3"/>
      </w:pPr>
      <w:r>
        <w:t>Code References</w:t>
      </w:r>
    </w:p>
    <w:p>
      <w:r>
        <w:rPr>
          <w:b/>
          <w:color w:val="444444"/>
          <w:sz w:val="19"/>
        </w:rPr>
        <w:t xml:space="preserve">Engine: </w:t>
      </w:r>
      <w:r>
        <w:rPr>
          <w:rFonts w:ascii="Consolas" w:hAnsi="Consolas"/>
          <w:color w:val="003388"/>
          <w:sz w:val="19"/>
        </w:rPr>
        <w:t>src/IRETP.Infrastructure/Services/RiskEngineService.cs</w:t>
      </w:r>
    </w:p>
    <w:p>
      <w:r>
        <w:rPr>
          <w:b/>
          <w:color w:val="444444"/>
          <w:sz w:val="19"/>
        </w:rPr>
        <w:t xml:space="preserve">Escalation: </w:t>
      </w:r>
      <w:r>
        <w:rPr>
          <w:rFonts w:ascii="Consolas" w:hAnsi="Consolas"/>
          <w:color w:val="003388"/>
          <w:sz w:val="19"/>
        </w:rPr>
        <w:t>src/IRETP.Infrastructure/Services/AlertEscalationService.cs</w:t>
      </w:r>
    </w:p>
    <w:p>
      <w:r>
        <w:rPr>
          <w:b/>
          <w:color w:val="444444"/>
          <w:sz w:val="19"/>
        </w:rPr>
        <w:t xml:space="preserve">Audit: </w:t>
      </w:r>
      <w:r>
        <w:rPr>
          <w:rFonts w:ascii="Consolas" w:hAnsi="Consolas"/>
          <w:color w:val="003388"/>
          <w:sz w:val="19"/>
        </w:rPr>
        <w:t>src/IRETP.Infrastructure/Services/AuditLogService.cs</w:t>
      </w:r>
    </w:p>
    <w:p>
      <w:r>
        <w:rPr>
          <w:b/>
          <w:color w:val="444444"/>
          <w:sz w:val="19"/>
        </w:rPr>
        <w:t xml:space="preserve">Dashboard: </w:t>
      </w:r>
      <w:r>
        <w:rPr>
          <w:rFonts w:ascii="Consolas" w:hAnsi="Consolas"/>
          <w:color w:val="003388"/>
          <w:sz w:val="19"/>
        </w:rPr>
        <w:t>src/IRETP.Web/Components/Pages/Admin/EwrsDashboard.razor</w:t>
      </w:r>
    </w:p>
    <w:p>
      <w:r>
        <w:rPr>
          <w:b/>
          <w:color w:val="444444"/>
          <w:sz w:val="19"/>
        </w:rPr>
        <w:t xml:space="preserve">Inbox: </w:t>
      </w:r>
      <w:r>
        <w:rPr>
          <w:rFonts w:ascii="Consolas" w:hAnsi="Consolas"/>
          <w:color w:val="003388"/>
          <w:sz w:val="19"/>
        </w:rPr>
        <w:t>src/IRETP.Web/Components/Pages/Admin/EwrsAlerts.razor</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Auditability</w:t>
            </w:r>
          </w:p>
          <w:p>
            <w:r>
              <w:rPr>
                <w:sz w:val="20"/>
              </w:rPr>
              <w:t>Every threshold change, alert acknowledgement and escalation step is captured in AuditLog and reviewable from Admin/AuditLogs.razor.</w:t>
            </w:r>
          </w:p>
        </w:tc>
      </w:tr>
    </w:tbl>
    <w:p/>
    <w:p>
      <w:pPr>
        <w:pStyle w:val="Heading1"/>
      </w:pPr>
      <w:r>
        <w:t>9. Developer Performance &amp; Rating + Escrow (RFP §9 &amp; §8.4)</w:t>
      </w:r>
    </w:p>
    <w:p>
      <w:r>
        <w:rPr>
          <w:b w:val="0"/>
          <w:i w:val="0"/>
          <w:sz w:val="21"/>
        </w:rPr>
        <w:t>DeveloperScoringService computes a transparent, weighted composite score per developer; EscrowController + EscrowHealthReportService deliver real-time escrow oversight.</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Scoring Engine (§9.1)</w:t>
            </w:r>
          </w:p>
        </w:tc>
        <w:tc>
          <w:tcPr>
            <w:tcW w:type="dxa" w:w="6236"/>
            <w:tcBorders>
              <w:top w:val="single" w:sz="6" w:color="BFBFBF"/>
              <w:left w:val="single" w:sz="6" w:color="BFBFBF"/>
              <w:bottom w:val="single" w:sz="6" w:color="BFBFBF"/>
              <w:right w:val="single" w:sz="6" w:color="BFBFBF"/>
            </w:tcBorders>
          </w:tcPr>
          <w:p>
            <w:r>
              <w:rPr>
                <w:sz w:val="20"/>
              </w:rPr>
              <w:t>DeveloperScoringService applies ScoringWeight rows to the eight criteria: On-Time Delivery, Sales Completion, Escrow Health, Regulatory Compliance, Customer Complaints, Construction Quality, Financial Stability and Innovation/Sustainability.</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Configurable Weights</w:t>
            </w:r>
          </w:p>
        </w:tc>
        <w:tc>
          <w:tcPr>
            <w:tcW w:type="dxa" w:w="6236"/>
            <w:tcBorders>
              <w:top w:val="single" w:sz="6" w:color="BFBFBF"/>
              <w:left w:val="single" w:sz="6" w:color="BFBFBF"/>
              <w:bottom w:val="single" w:sz="6" w:color="BFBFBF"/>
              <w:right w:val="single" w:sz="6" w:color="BFBFBF"/>
            </w:tcBorders>
          </w:tcPr>
          <w:p>
            <w:r>
              <w:rPr>
                <w:sz w:val="20"/>
              </w:rPr>
              <w:t>ScoringWeight entity persists default + active weight per criterion; Admin/DeveloperRating.razor lets authorised users adjust weights with AuditLog capture of every change.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Comparison</w:t>
            </w:r>
          </w:p>
        </w:tc>
        <w:tc>
          <w:tcPr>
            <w:tcW w:type="dxa" w:w="6236"/>
            <w:tcBorders>
              <w:top w:val="single" w:sz="6" w:color="BFBFBF"/>
              <w:left w:val="single" w:sz="6" w:color="BFBFBF"/>
              <w:bottom w:val="single" w:sz="6" w:color="BFBFBF"/>
              <w:right w:val="single" w:sz="6" w:color="BFBFBF"/>
            </w:tcBorders>
          </w:tcPr>
          <w:p>
            <w:r>
              <w:rPr>
                <w:sz w:val="20"/>
              </w:rPr>
              <w:t>Admin/DeveloperComparison.razor compares developers side by side with rank-on-criterion drill-downs.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Escrow Dashboard (ESC-001)</w:t>
            </w:r>
          </w:p>
        </w:tc>
        <w:tc>
          <w:tcPr>
            <w:tcW w:type="dxa" w:w="6236"/>
            <w:tcBorders>
              <w:top w:val="single" w:sz="6" w:color="BFBFBF"/>
              <w:left w:val="single" w:sz="6" w:color="BFBFBF"/>
              <w:bottom w:val="single" w:sz="6" w:color="BFBFBF"/>
              <w:right w:val="single" w:sz="6" w:color="BFBFBF"/>
            </w:tcBorders>
          </w:tcPr>
          <w:p>
            <w:r>
              <w:rPr>
                <w:sz w:val="20"/>
              </w:rPr>
              <w:t>Admin/EscrowMonitoring.razor + Admin/EscrowDetail.razor show current vs required balance, adequacy ratio and Adequate/Warning/Critical badges sourced from EscrowAccount + EscrowTransaction.</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Escrow Audit Log (ESC-002)</w:t>
            </w:r>
          </w:p>
        </w:tc>
        <w:tc>
          <w:tcPr>
            <w:tcW w:type="dxa" w:w="6236"/>
            <w:tcBorders>
              <w:top w:val="single" w:sz="6" w:color="BFBFBF"/>
              <w:left w:val="single" w:sz="6" w:color="BFBFBF"/>
              <w:bottom w:val="single" w:sz="6" w:color="BFBFBF"/>
              <w:right w:val="single" w:sz="6" w:color="BFBFBF"/>
            </w:tcBorders>
          </w:tcPr>
          <w:p>
            <w:r>
              <w:rPr>
                <w:sz w:val="20"/>
              </w:rPr>
              <w:t>EscrowTransaction is append-only; export to PDF via InvestorScorecardPdfService pattern; unauthorised discrepancy raises a Level 3 alert through AlertEscalationService.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Monthly Health Report (ESC-003)</w:t>
            </w:r>
          </w:p>
        </w:tc>
        <w:tc>
          <w:tcPr>
            <w:tcW w:type="dxa" w:w="6236"/>
            <w:tcBorders>
              <w:top w:val="single" w:sz="6" w:color="BFBFBF"/>
              <w:left w:val="single" w:sz="6" w:color="BFBFBF"/>
              <w:bottom w:val="single" w:sz="6" w:color="BFBFBF"/>
              <w:right w:val="single" w:sz="6" w:color="BFBFBF"/>
            </w:tcBorders>
          </w:tcPr>
          <w:p>
            <w:r>
              <w:rPr>
                <w:sz w:val="20"/>
              </w:rPr>
              <w:t>EscrowHealthReportService is a Hangfire job that generates a per-project PDF on month-end and emails the assigned officer within 24 h.</w:t>
            </w:r>
          </w:p>
        </w:tc>
      </w:tr>
    </w:tbl>
    <w:p/>
    <w:p>
      <w:pPr>
        <w:pStyle w:val="Heading3"/>
      </w:pPr>
      <w:r>
        <w:t>Highlights</w:t>
      </w:r>
    </w:p>
    <w:p>
      <w:pPr>
        <w:pStyle w:val="ListBullet"/>
      </w:pPr>
      <w:r>
        <w:t>Public/DeveloperScorecards.razor exposes a public, redacted view of developer ratings — supporting the transparency mandate.</w:t>
      </w:r>
    </w:p>
    <w:p>
      <w:pPr>
        <w:pStyle w:val="ListBullet"/>
      </w:pPr>
      <w:r>
        <w:t>EscrowIngestionController accepts RERA-certified escrow bank feeds with checksum validation and signed-payload verification.</w:t>
      </w:r>
    </w:p>
    <w:p>
      <w:pPr>
        <w:pStyle w:val="Heading3"/>
      </w:pPr>
      <w:r>
        <w:t>Code References</w:t>
      </w:r>
    </w:p>
    <w:p>
      <w:r>
        <w:rPr>
          <w:b/>
          <w:color w:val="444444"/>
          <w:sz w:val="19"/>
        </w:rPr>
        <w:t xml:space="preserve">Scoring: </w:t>
      </w:r>
      <w:r>
        <w:rPr>
          <w:rFonts w:ascii="Consolas" w:hAnsi="Consolas"/>
          <w:color w:val="003388"/>
          <w:sz w:val="19"/>
        </w:rPr>
        <w:t>src/IRETP.Infrastructure/Services/DeveloperScoringService.cs</w:t>
      </w:r>
    </w:p>
    <w:p>
      <w:r>
        <w:rPr>
          <w:b/>
          <w:color w:val="444444"/>
          <w:sz w:val="19"/>
        </w:rPr>
        <w:t xml:space="preserve">Escrow Report: </w:t>
      </w:r>
      <w:r>
        <w:rPr>
          <w:rFonts w:ascii="Consolas" w:hAnsi="Consolas"/>
          <w:color w:val="003388"/>
          <w:sz w:val="19"/>
        </w:rPr>
        <w:t>src/IRETP.Infrastructure/Services/EscrowHealthReportService.cs</w:t>
      </w:r>
    </w:p>
    <w:p>
      <w:r>
        <w:rPr>
          <w:b/>
          <w:color w:val="444444"/>
          <w:sz w:val="19"/>
        </w:rPr>
        <w:t xml:space="preserve">Escrow API: </w:t>
      </w:r>
      <w:r>
        <w:rPr>
          <w:rFonts w:ascii="Consolas" w:hAnsi="Consolas"/>
          <w:color w:val="003388"/>
          <w:sz w:val="19"/>
        </w:rPr>
        <w:t>src/IRETP.AdminAPI/Controllers/EscrowController.cs</w:t>
      </w:r>
    </w:p>
    <w:p>
      <w:r>
        <w:rPr>
          <w:b/>
          <w:color w:val="444444"/>
          <w:sz w:val="19"/>
        </w:rPr>
        <w:t xml:space="preserve">Ingestion: </w:t>
      </w:r>
      <w:r>
        <w:rPr>
          <w:rFonts w:ascii="Consolas" w:hAnsi="Consolas"/>
          <w:color w:val="003388"/>
          <w:sz w:val="19"/>
        </w:rPr>
        <w:t>src/IRETP.AdminAPI/Controllers/EscrowIngestionController.cs</w:t>
      </w:r>
    </w:p>
    <w:p>
      <w:r>
        <w:rPr>
          <w:b/>
          <w:color w:val="444444"/>
          <w:sz w:val="19"/>
        </w:rPr>
        <w:t xml:space="preserve">Public Scoreboard: </w:t>
      </w:r>
      <w:r>
        <w:rPr>
          <w:rFonts w:ascii="Consolas" w:hAnsi="Consolas"/>
          <w:color w:val="003388"/>
          <w:sz w:val="19"/>
        </w:rPr>
        <w:t>src/IRETP.Web/Components/Pages/Public/DeveloperScorecards.razor</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Transparency</w:t>
            </w:r>
          </w:p>
          <w:p>
            <w:r>
              <w:rPr>
                <w:sz w:val="20"/>
              </w:rPr>
              <w:t>Both the score and its inputs are visible to authorised users — every weight change is logged and reversible.</w:t>
            </w:r>
          </w:p>
        </w:tc>
      </w:tr>
    </w:tbl>
    <w:p/>
    <w:p>
      <w:pPr>
        <w:pStyle w:val="Heading1"/>
      </w:pPr>
      <w:r>
        <w:t>10. Non-Functional, Security &amp; RBAC (RFP §10)</w:t>
      </w:r>
    </w:p>
    <w:p>
      <w:r>
        <w:rPr>
          <w:b w:val="0"/>
          <w:i w:val="0"/>
          <w:sz w:val="21"/>
        </w:rPr>
        <w:t>Performance, security and RBAC requirements are addressed by the WebAPI/AdminAPI program startup and Infrastructure/Identity policies.</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Performance (§10.1)</w:t>
            </w:r>
          </w:p>
        </w:tc>
        <w:tc>
          <w:tcPr>
            <w:tcW w:type="dxa" w:w="6236"/>
            <w:tcBorders>
              <w:top w:val="single" w:sz="6" w:color="BFBFBF"/>
              <w:left w:val="single" w:sz="6" w:color="BFBFBF"/>
              <w:bottom w:val="single" w:sz="6" w:color="BFBFBF"/>
              <w:right w:val="single" w:sz="6" w:color="BFBFBF"/>
            </w:tcBorders>
          </w:tcPr>
          <w:p>
            <w:r>
              <w:rPr>
                <w:sz w:val="20"/>
              </w:rPr>
              <w:t>P95 chart render ≤ 2 s achieved through KpiSnapshotCache, EF Core no-tracking projections and Blazor Server pre-rendering. AI responses ≤ 15 s enforced by AIOrchestrator timeouts and warm fallback. Data freshness ≤ 15 min via BenchmarkRefreshService and KpiSnapshotRefreshService Hangfire schedules.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Authentication (§10.2)</w:t>
            </w:r>
          </w:p>
        </w:tc>
        <w:tc>
          <w:tcPr>
            <w:tcW w:type="dxa" w:w="6236"/>
            <w:tcBorders>
              <w:top w:val="single" w:sz="6" w:color="BFBFBF"/>
              <w:left w:val="single" w:sz="6" w:color="BFBFBF"/>
              <w:bottom w:val="single" w:sz="6" w:color="BFBFBF"/>
              <w:right w:val="single" w:sz="6" w:color="BFBFBF"/>
            </w:tcBorders>
          </w:tcPr>
          <w:p>
            <w:r>
              <w:rPr>
                <w:sz w:val="20"/>
              </w:rPr>
              <w:t>JWT bearer + federated OIDC (UAE Pass / Azure AD / Keycloak ready) wired in WebAPI/Program.cs and AdminAPI/Program.cs; refresh-token rotation via RefreshToken entity.</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RBAC Matrix (§10.3)</w:t>
            </w:r>
          </w:p>
        </w:tc>
        <w:tc>
          <w:tcPr>
            <w:tcW w:type="dxa" w:w="6236"/>
            <w:tcBorders>
              <w:top w:val="single" w:sz="6" w:color="BFBFBF"/>
              <w:left w:val="single" w:sz="6" w:color="BFBFBF"/>
              <w:bottom w:val="single" w:sz="6" w:color="BFBFBF"/>
              <w:right w:val="single" w:sz="6" w:color="BFBFBF"/>
            </w:tcBorders>
          </w:tcPr>
          <w:p>
            <w:r>
              <w:rPr>
                <w:sz w:val="20"/>
              </w:rPr>
              <w:t>AuthorizationPolicies registers internal.read, internal.edit, internal.manage, internal.admin and external.investor roles mapped to UserRoles constants. Every controller is decorated with [Authorize(Policy = ...)].</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DESC / ISR v3 (§10.2.1)</w:t>
            </w:r>
          </w:p>
        </w:tc>
        <w:tc>
          <w:tcPr>
            <w:tcW w:type="dxa" w:w="6236"/>
            <w:tcBorders>
              <w:top w:val="single" w:sz="6" w:color="BFBFBF"/>
              <w:left w:val="single" w:sz="6" w:color="BFBFBF"/>
              <w:bottom w:val="single" w:sz="6" w:color="BFBFBF"/>
              <w:right w:val="single" w:sz="6" w:color="BFBFBF"/>
            </w:tcBorders>
          </w:tcPr>
          <w:p>
            <w:r>
              <w:rPr>
                <w:sz w:val="20"/>
              </w:rPr>
              <w:t>Audit logging on every privileged action; secrets from configuration providers (production: Key Vault); HTTPS-only; CSP/HSTS headers; rate limiting per IP and per API-key tier.</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Security Testing (§10.2.2)</w:t>
            </w:r>
          </w:p>
        </w:tc>
        <w:tc>
          <w:tcPr>
            <w:tcW w:type="dxa" w:w="6236"/>
            <w:tcBorders>
              <w:top w:val="single" w:sz="6" w:color="BFBFBF"/>
              <w:left w:val="single" w:sz="6" w:color="BFBFBF"/>
              <w:bottom w:val="single" w:sz="6" w:color="BFBFBF"/>
              <w:right w:val="single" w:sz="6" w:color="BFBFBF"/>
            </w:tcBorders>
          </w:tcPr>
          <w:p>
            <w:r>
              <w:rPr>
                <w:sz w:val="20"/>
              </w:rPr>
              <w:t>VAPT readiness through OWASP ZAP scripted scans; SAST via Roslyn analyzers; dependency scanning via dotnet list package --vulnerable in CI.</w:t>
            </w:r>
          </w:p>
        </w:tc>
      </w:tr>
    </w:tbl>
    <w:p/>
    <w:p>
      <w:pPr>
        <w:pStyle w:val="Heading3"/>
      </w:pPr>
      <w:r>
        <w:t>Highlights</w:t>
      </w:r>
    </w:p>
    <w:p>
      <w:pPr>
        <w:pStyle w:val="ListBullet"/>
      </w:pPr>
      <w:r>
        <w:t>CAPTCHA on registration and password reset (CaptchaController + SimpleCaptchaService) defends against credential stuffing.</w:t>
      </w:r>
    </w:p>
    <w:p>
      <w:pPr>
        <w:pStyle w:val="ListBullet"/>
      </w:pPr>
      <w:r>
        <w:t>API key tiers (Free 60/min, Plus 240/min, Partner 600/min) enforced by partitioned rate limiter.</w:t>
      </w:r>
    </w:p>
    <w:p>
      <w:pPr>
        <w:pStyle w:val="ListBullet"/>
      </w:pPr>
      <w:r>
        <w:t>Session, audit and login attempts visible in Admin/AuditLogs.razor.</w:t>
      </w:r>
    </w:p>
    <w:p>
      <w:pPr>
        <w:pStyle w:val="Heading3"/>
      </w:pPr>
      <w:r>
        <w:t>Code References</w:t>
      </w:r>
    </w:p>
    <w:p>
      <w:r>
        <w:rPr>
          <w:b/>
          <w:color w:val="444444"/>
          <w:sz w:val="19"/>
        </w:rPr>
        <w:t xml:space="preserve">Policies: </w:t>
      </w:r>
      <w:r>
        <w:rPr>
          <w:rFonts w:ascii="Consolas" w:hAnsi="Consolas"/>
          <w:color w:val="003388"/>
          <w:sz w:val="19"/>
        </w:rPr>
        <w:t>src/IRETP.Infrastructure/Identity/AuthorizationPolicies.cs</w:t>
      </w:r>
    </w:p>
    <w:p>
      <w:r>
        <w:rPr>
          <w:b/>
          <w:color w:val="444444"/>
          <w:sz w:val="19"/>
        </w:rPr>
        <w:t xml:space="preserve">WebAPI: </w:t>
      </w:r>
      <w:r>
        <w:rPr>
          <w:rFonts w:ascii="Consolas" w:hAnsi="Consolas"/>
          <w:color w:val="003388"/>
          <w:sz w:val="19"/>
        </w:rPr>
        <w:t>src/IRETP.WebAPI/Program.cs</w:t>
      </w:r>
    </w:p>
    <w:p>
      <w:r>
        <w:rPr>
          <w:b/>
          <w:color w:val="444444"/>
          <w:sz w:val="19"/>
        </w:rPr>
        <w:t xml:space="preserve">AdminAPI: </w:t>
      </w:r>
      <w:r>
        <w:rPr>
          <w:rFonts w:ascii="Consolas" w:hAnsi="Consolas"/>
          <w:color w:val="003388"/>
          <w:sz w:val="19"/>
        </w:rPr>
        <w:t>src/IRETP.AdminAPI/Program.cs</w:t>
      </w:r>
    </w:p>
    <w:p>
      <w:r>
        <w:rPr>
          <w:b/>
          <w:color w:val="444444"/>
          <w:sz w:val="19"/>
        </w:rPr>
        <w:t xml:space="preserve">Audit: </w:t>
      </w:r>
      <w:r>
        <w:rPr>
          <w:rFonts w:ascii="Consolas" w:hAnsi="Consolas"/>
          <w:color w:val="003388"/>
          <w:sz w:val="19"/>
        </w:rPr>
        <w:t>src/IRETP.Infrastructure/Services/AuditLogService.cs</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Compliance posture</w:t>
            </w:r>
          </w:p>
          <w:p>
            <w:r>
              <w:rPr>
                <w:sz w:val="20"/>
              </w:rPr>
              <w:t>DESC ISR v3 alignment is implemented in code and verified by a documented control mapping (Appendix A of this proposal).</w:t>
            </w:r>
          </w:p>
        </w:tc>
      </w:tr>
    </w:tbl>
    <w:p/>
    <w:p>
      <w:pPr>
        <w:pStyle w:val="Heading1"/>
      </w:pPr>
      <w:r>
        <w:t>11. Technology &amp; Hosting Architecture (RFP §11)</w:t>
      </w:r>
    </w:p>
    <w:p>
      <w:r>
        <w:rPr>
          <w:b w:val="0"/>
          <w:i w:val="0"/>
          <w:sz w:val="21"/>
        </w:rPr>
        <w:t>The vendor proposes .NET 8 (Clean Architecture, MediatR, EF Core), Blazor Server for the portal, SQL Server (or PostgreSQL) primary store, Microsoft Fabric / OneLake for the lakehouse layer, Hangfire for jobs, and Redis for distributed cache. Hosting model is the customer's choice — Azure UAE North, on-premises in a DLD-approved DC, or hybrid. All inference and data processing remains in the UAE.</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Technology Stack (§11.1)</w:t>
            </w:r>
          </w:p>
        </w:tc>
        <w:tc>
          <w:tcPr>
            <w:tcW w:type="dxa" w:w="6236"/>
            <w:tcBorders>
              <w:top w:val="single" w:sz="6" w:color="BFBFBF"/>
              <w:left w:val="single" w:sz="6" w:color="BFBFBF"/>
              <w:bottom w:val="single" w:sz="6" w:color="BFBFBF"/>
              <w:right w:val="single" w:sz="6" w:color="BFBFBF"/>
            </w:tcBorders>
          </w:tcPr>
          <w:p>
            <w:r>
              <w:rPr>
                <w:sz w:val="20"/>
              </w:rPr>
              <w:t>.NET 8 + Blazor Server + EF Core + MediatR + FluentValidation + Hangfire + Serilog. Open Data API publishes OpenAPI 3.0 contract via Swagger ("public" doc filtered to /api/v1/open-data/*).</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Hosting Model (§11.2)</w:t>
            </w:r>
          </w:p>
        </w:tc>
        <w:tc>
          <w:tcPr>
            <w:tcW w:type="dxa" w:w="6236"/>
            <w:tcBorders>
              <w:top w:val="single" w:sz="6" w:color="BFBFBF"/>
              <w:left w:val="single" w:sz="6" w:color="BFBFBF"/>
              <w:bottom w:val="single" w:sz="6" w:color="BFBFBF"/>
              <w:right w:val="single" w:sz="6" w:color="BFBFBF"/>
            </w:tcBorders>
          </w:tcPr>
          <w:p>
            <w:r>
              <w:rPr>
                <w:sz w:val="20"/>
              </w:rPr>
              <w:t>Three options costed in the financial proposal: (a) Azure UAE North, (b) DLD on-premises, (c) hybrid (compute on-prem, lakehouse in Azure UAE).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Mandatory Hosting (§11.3)</w:t>
            </w:r>
          </w:p>
        </w:tc>
        <w:tc>
          <w:tcPr>
            <w:tcW w:type="dxa" w:w="6236"/>
            <w:tcBorders>
              <w:top w:val="single" w:sz="6" w:color="BFBFBF"/>
              <w:left w:val="single" w:sz="6" w:color="BFBFBF"/>
              <w:bottom w:val="single" w:sz="6" w:color="BFBFBF"/>
              <w:right w:val="single" w:sz="6" w:color="BFBFBF"/>
            </w:tcBorders>
          </w:tcPr>
          <w:p>
            <w:r>
              <w:rPr>
                <w:sz w:val="20"/>
              </w:rPr>
              <w:t>TLS 1.2+ everywhere; segregated networks for WebAPI vs AdminAPI; WAF in front of WebAPI; private endpoints for SQL/Redis/Storage; BCDR with cross-AZ replicas and ≤ 4 h RPO.</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Data Architecture (§11.4)</w:t>
            </w:r>
          </w:p>
        </w:tc>
        <w:tc>
          <w:tcPr>
            <w:tcW w:type="dxa" w:w="6236"/>
            <w:tcBorders>
              <w:top w:val="single" w:sz="6" w:color="BFBFBF"/>
              <w:left w:val="single" w:sz="6" w:color="BFBFBF"/>
              <w:bottom w:val="single" w:sz="6" w:color="BFBFBF"/>
              <w:right w:val="single" w:sz="6" w:color="BFBFBF"/>
            </w:tcBorders>
          </w:tcPr>
          <w:p>
            <w:r>
              <w:rPr>
                <w:sz w:val="20"/>
              </w:rPr>
              <w:t>OneLake medallion (bronze → silver → gold) with EF Core reading the gold layer for transactional UI; refresh jobs synchronise hot KPIs into the OLTP store every 15 min.</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Visualisation Layer (§11.4.2)</w:t>
            </w:r>
          </w:p>
        </w:tc>
        <w:tc>
          <w:tcPr>
            <w:tcW w:type="dxa" w:w="6236"/>
            <w:tcBorders>
              <w:top w:val="single" w:sz="6" w:color="BFBFBF"/>
              <w:left w:val="single" w:sz="6" w:color="BFBFBF"/>
              <w:bottom w:val="single" w:sz="6" w:color="BFBFBF"/>
              <w:right w:val="single" w:sz="6" w:color="BFBFBF"/>
            </w:tcBorders>
          </w:tcPr>
          <w:p>
            <w:r>
              <w:rPr>
                <w:sz w:val="20"/>
              </w:rPr>
              <w:t>Blazor Server portal with Chart.js / ApexCharts components, fully RTL-aware, embed-friendly via AnalyticsEmbed.</w:t>
            </w:r>
          </w:p>
        </w:tc>
      </w:tr>
    </w:tbl>
    <w:p/>
    <w:p>
      <w:pPr>
        <w:pStyle w:val="Heading3"/>
      </w:pPr>
      <w:r>
        <w:t>Highlights</w:t>
      </w:r>
    </w:p>
    <w:p>
      <w:pPr>
        <w:pStyle w:val="ListBullet"/>
      </w:pPr>
      <w:r>
        <w:t>Three independent ASP.NET Core hosts mean DLD can scale public traffic (WebAPI) independently from internal staff (AdminAPI).</w:t>
      </w:r>
    </w:p>
    <w:p>
      <w:pPr>
        <w:pStyle w:val="ListBullet"/>
      </w:pPr>
      <w:r>
        <w:t>Hangfire dashboard is mounted read-only for SystemAdmin role.</w:t>
      </w:r>
    </w:p>
    <w:p>
      <w:pPr>
        <w:pStyle w:val="ListBullet"/>
      </w:pPr>
      <w:r>
        <w:t>Open Data API has its own Swagger document so the external contract cannot drift to expose internal endpoints.</w:t>
      </w:r>
    </w:p>
    <w:p>
      <w:pPr>
        <w:pStyle w:val="Heading3"/>
      </w:pPr>
      <w:r>
        <w:t>Code References</w:t>
      </w:r>
    </w:p>
    <w:p>
      <w:r>
        <w:rPr>
          <w:b/>
          <w:color w:val="444444"/>
          <w:sz w:val="19"/>
        </w:rPr>
        <w:t xml:space="preserve">Web Host: </w:t>
      </w:r>
      <w:r>
        <w:rPr>
          <w:rFonts w:ascii="Consolas" w:hAnsi="Consolas"/>
          <w:color w:val="003388"/>
          <w:sz w:val="19"/>
        </w:rPr>
        <w:t>src/IRETP.Web/</w:t>
      </w:r>
    </w:p>
    <w:p>
      <w:r>
        <w:rPr>
          <w:b/>
          <w:color w:val="444444"/>
          <w:sz w:val="19"/>
        </w:rPr>
        <w:t xml:space="preserve">WebAPI: </w:t>
      </w:r>
      <w:r>
        <w:rPr>
          <w:rFonts w:ascii="Consolas" w:hAnsi="Consolas"/>
          <w:color w:val="003388"/>
          <w:sz w:val="19"/>
        </w:rPr>
        <w:t>src/IRETP.WebAPI/</w:t>
      </w:r>
    </w:p>
    <w:p>
      <w:r>
        <w:rPr>
          <w:b/>
          <w:color w:val="444444"/>
          <w:sz w:val="19"/>
        </w:rPr>
        <w:t xml:space="preserve">AdminAPI: </w:t>
      </w:r>
      <w:r>
        <w:rPr>
          <w:rFonts w:ascii="Consolas" w:hAnsi="Consolas"/>
          <w:color w:val="003388"/>
          <w:sz w:val="19"/>
        </w:rPr>
        <w:t>src/IRETP.AdminAPI/</w:t>
      </w:r>
    </w:p>
    <w:p>
      <w:r>
        <w:rPr>
          <w:b/>
          <w:color w:val="444444"/>
          <w:sz w:val="19"/>
        </w:rPr>
        <w:t xml:space="preserve">DI: </w:t>
      </w:r>
      <w:r>
        <w:rPr>
          <w:rFonts w:ascii="Consolas" w:hAnsi="Consolas"/>
          <w:color w:val="003388"/>
          <w:sz w:val="19"/>
        </w:rPr>
        <w:t>src/IRETP.Infrastructure/DependencyInjection.cs</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Hosting commitment</w:t>
            </w:r>
          </w:p>
          <w:p>
            <w:r>
              <w:rPr>
                <w:sz w:val="20"/>
              </w:rPr>
              <w:t>Whichever model DLD selects, all AI inference and personal data remain in the UAE in line with §5.3 and §11.3.</w:t>
            </w:r>
          </w:p>
        </w:tc>
      </w:tr>
    </w:tbl>
    <w:p/>
    <w:p>
      <w:pPr>
        <w:pStyle w:val="Heading1"/>
      </w:pPr>
      <w:r>
        <w:t>12. DLD Data Familiarisation &amp; Analytics Assessment (RFP §12)</w:t>
      </w:r>
    </w:p>
    <w:p>
      <w:r>
        <w:rPr>
          <w:b w:val="0"/>
          <w:i w:val="0"/>
          <w:sz w:val="21"/>
        </w:rPr>
        <w:t>The vendor commits to the mandatory data discovery sprint before go-live and to ongoing data-accuracy obligations during the warranty.</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Discovery (§12.1)</w:t>
            </w:r>
          </w:p>
        </w:tc>
        <w:tc>
          <w:tcPr>
            <w:tcW w:type="dxa" w:w="6236"/>
            <w:tcBorders>
              <w:top w:val="single" w:sz="6" w:color="BFBFBF"/>
              <w:left w:val="single" w:sz="6" w:color="BFBFBF"/>
              <w:bottom w:val="single" w:sz="6" w:color="BFBFBF"/>
              <w:right w:val="single" w:sz="6" w:color="BFBFBF"/>
            </w:tcBorders>
          </w:tcPr>
          <w:p>
            <w:r>
              <w:rPr>
                <w:sz w:val="20"/>
              </w:rPr>
              <w:t>A 2-week onboarding sprint led by a dedicated Data Architect maps every DLD source system to the IRETP gold-layer schema.</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Pre-Publication Assessment (§12.2)</w:t>
            </w:r>
          </w:p>
        </w:tc>
        <w:tc>
          <w:tcPr>
            <w:tcW w:type="dxa" w:w="6236"/>
            <w:tcBorders>
              <w:top w:val="single" w:sz="6" w:color="BFBFBF"/>
              <w:left w:val="single" w:sz="6" w:color="BFBFBF"/>
              <w:bottom w:val="single" w:sz="6" w:color="BFBFBF"/>
              <w:right w:val="single" w:sz="6" w:color="BFBFBF"/>
            </w:tcBorders>
          </w:tcPr>
          <w:p>
            <w:r>
              <w:rPr>
                <w:sz w:val="20"/>
              </w:rPr>
              <w:t>An automated Great Expectations / dbt-tests suite is run against every refresh; a sign-off report is produced for every release.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Accuracy Obligations (§12.3)</w:t>
            </w:r>
          </w:p>
        </w:tc>
        <w:tc>
          <w:tcPr>
            <w:tcW w:type="dxa" w:w="6236"/>
            <w:tcBorders>
              <w:top w:val="single" w:sz="6" w:color="BFBFBF"/>
              <w:left w:val="single" w:sz="6" w:color="BFBFBF"/>
              <w:bottom w:val="single" w:sz="6" w:color="BFBFBF"/>
              <w:right w:val="single" w:sz="6" w:color="BFBFBF"/>
            </w:tcBorders>
          </w:tcPr>
          <w:p>
            <w:r>
              <w:rPr>
                <w:sz w:val="20"/>
              </w:rPr>
              <w:t>During the 12-month warranty, any data-accuracy defect is treated as Severity 1 with a 4-hour response SLA (see §15).</w:t>
            </w:r>
          </w:p>
        </w:tc>
      </w:tr>
    </w:tbl>
    <w:p/>
    <w:p>
      <w:pPr>
        <w:pStyle w:val="Heading3"/>
      </w:pPr>
      <w:r>
        <w:t>Highlights</w:t>
      </w:r>
    </w:p>
    <w:p>
      <w:pPr>
        <w:pStyle w:val="ListBullet"/>
      </w:pPr>
      <w:r>
        <w:t>Data lineage tracked end-to-end from source feed to KPI tile.</w:t>
      </w:r>
    </w:p>
    <w:p>
      <w:pPr>
        <w:pStyle w:val="ListBullet"/>
      </w:pPr>
      <w:r>
        <w:t>Reconciliation reports between IRETP gold layer and DLD source-of-truth registries run nightly.</w:t>
      </w:r>
    </w:p>
    <w:p>
      <w:pPr>
        <w:pStyle w:val="Heading3"/>
      </w:pPr>
      <w:r>
        <w:t>Code References</w:t>
      </w:r>
    </w:p>
    <w:p>
      <w:r>
        <w:rPr>
          <w:b/>
          <w:color w:val="444444"/>
          <w:sz w:val="19"/>
        </w:rPr>
        <w:t xml:space="preserve">Refresh services: </w:t>
      </w:r>
      <w:r>
        <w:rPr>
          <w:rFonts w:ascii="Consolas" w:hAnsi="Consolas"/>
          <w:color w:val="003388"/>
          <w:sz w:val="19"/>
        </w:rPr>
        <w:t>src/IRETP.Infrastructure/Services/{BenchmarkRefreshService,KpiSnapshotRefreshService,CurrencyRatesRefreshService}.cs</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Continuous accuracy</w:t>
            </w:r>
          </w:p>
          <w:p>
            <w:r>
              <w:rPr>
                <w:sz w:val="20"/>
              </w:rPr>
              <w:t>TimeSeriesAnalyzer detects anomalies in incoming data and pauses publication until a data steward acknowledges the anomaly.</w:t>
            </w:r>
          </w:p>
        </w:tc>
      </w:tr>
    </w:tbl>
    <w:p/>
    <w:p>
      <w:pPr>
        <w:pStyle w:val="Heading1"/>
      </w:pPr>
      <w:r>
        <w:t>13. Phased Delivery Plan (RFP §13)</w:t>
      </w:r>
    </w:p>
    <w:p>
      <w:r>
        <w:rPr>
          <w:b w:val="0"/>
          <w:i w:val="0"/>
          <w:sz w:val="21"/>
        </w:rPr>
        <w:t>Delivery is structured in four phases aligned to the RFP scope. Phase boundaries map to acceptance gates with formal UAT.</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Phase 1 (Months 1–6)</w:t>
            </w:r>
          </w:p>
        </w:tc>
        <w:tc>
          <w:tcPr>
            <w:tcW w:type="dxa" w:w="6236"/>
            <w:tcBorders>
              <w:top w:val="single" w:sz="6" w:color="BFBFBF"/>
              <w:left w:val="single" w:sz="6" w:color="BFBFBF"/>
              <w:bottom w:val="single" w:sz="6" w:color="BFBFBF"/>
              <w:right w:val="single" w:sz="6" w:color="BFBFBF"/>
            </w:tcBorders>
          </w:tcPr>
          <w:p>
            <w:r>
              <w:rPr>
                <w:sz w:val="20"/>
              </w:rPr>
              <w:t>External Public Portal (CMS, Dashboard, Transactions, Map, Price/Rental Index, Analytics, AI Agent EN/AR), Open Data API + Developer Portal, Investor Notifications.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Phase 2 (Months 6–9)</w:t>
            </w:r>
          </w:p>
        </w:tc>
        <w:tc>
          <w:tcPr>
            <w:tcW w:type="dxa" w:w="6236"/>
            <w:tcBorders>
              <w:top w:val="single" w:sz="6" w:color="BFBFBF"/>
              <w:left w:val="single" w:sz="6" w:color="BFBFBF"/>
              <w:bottom w:val="single" w:sz="6" w:color="BFBFBF"/>
              <w:right w:val="single" w:sz="6" w:color="BFBFBF"/>
            </w:tcBorders>
          </w:tcPr>
          <w:p>
            <w:r>
              <w:rPr>
                <w:sz w:val="20"/>
              </w:rPr>
              <w:t>Investor Watchlist v2, ESG indicators, GRETI sub-index closure items, performance hardening.</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Phase 3 (Months 9–12)</w:t>
            </w:r>
          </w:p>
        </w:tc>
        <w:tc>
          <w:tcPr>
            <w:tcW w:type="dxa" w:w="6236"/>
            <w:tcBorders>
              <w:top w:val="single" w:sz="6" w:color="BFBFBF"/>
              <w:left w:val="single" w:sz="6" w:color="BFBFBF"/>
              <w:bottom w:val="single" w:sz="6" w:color="BFBFBF"/>
              <w:right w:val="single" w:sz="6" w:color="BFBFBF"/>
            </w:tcBorders>
          </w:tcPr>
          <w:p>
            <w:r>
              <w:rPr>
                <w:sz w:val="20"/>
              </w:rPr>
              <w:t>Internal Platform — EWRS, Developer Rating, Escrow Monitoring, Beneficial Ownership, Mortgage analytics. DESC VAPT.</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Phase 4 (Months 12–15)</w:t>
            </w:r>
          </w:p>
        </w:tc>
        <w:tc>
          <w:tcPr>
            <w:tcW w:type="dxa" w:w="6236"/>
            <w:tcBorders>
              <w:top w:val="single" w:sz="6" w:color="BFBFBF"/>
              <w:left w:val="single" w:sz="6" w:color="BFBFBF"/>
              <w:bottom w:val="single" w:sz="6" w:color="BFBFBF"/>
              <w:right w:val="single" w:sz="6" w:color="BFBFBF"/>
            </w:tcBorders>
          </w:tcPr>
          <w:p>
            <w:r>
              <w:rPr>
                <w:sz w:val="20"/>
              </w:rPr>
              <w:t>Multilingual extension (ZH, RU, UR, FR, HI, DE), AI Agent extended languages, advanced analytics.</w:t>
            </w:r>
          </w:p>
        </w:tc>
      </w:tr>
    </w:tbl>
    <w:p/>
    <w:p>
      <w:pPr>
        <w:pStyle w:val="Heading3"/>
      </w:pPr>
      <w:r>
        <w:t>Highlights</w:t>
      </w:r>
    </w:p>
    <w:p>
      <w:pPr>
        <w:pStyle w:val="ListBullet"/>
      </w:pPr>
      <w:r>
        <w:t>Every phase ends with an acceptance package: functional UAT report, performance test results, security test report, accessibility scan, language/RTL test report (RFP §17.3).</w:t>
      </w:r>
    </w:p>
    <w:p>
      <w:pPr>
        <w:pStyle w:val="ListBullet"/>
      </w:pPr>
      <w:r>
        <w:t>Continuous deployment from day 1 — every merge to main triggers a build, test and staging deploy.</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Phase 1 critical path</w:t>
            </w:r>
          </w:p>
          <w:p>
            <w:r>
              <w:rPr>
                <w:sz w:val="20"/>
              </w:rPr>
              <w:t>Bilingual EN/AR portal + AI Agent + Open Data API. All foundations are already in the repository.</w:t>
            </w:r>
          </w:p>
        </w:tc>
      </w:tr>
    </w:tbl>
    <w:p/>
    <w:p>
      <w:pPr>
        <w:pStyle w:val="Heading1"/>
      </w:pPr>
      <w:r>
        <w:t>14. Warranty &amp; Technical Support (RFP §15)</w:t>
      </w:r>
    </w:p>
    <w:p>
      <w:r>
        <w:rPr>
          <w:b w:val="0"/>
          <w:i w:val="0"/>
          <w:sz w:val="21"/>
        </w:rPr>
        <w:t>12 months of post-go-live warranty and support follow the final-phase acceptance, structured to the RFP §15.2 SLA.</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Scope (§15.1)</w:t>
            </w:r>
          </w:p>
        </w:tc>
        <w:tc>
          <w:tcPr>
            <w:tcW w:type="dxa" w:w="6236"/>
            <w:tcBorders>
              <w:top w:val="single" w:sz="6" w:color="BFBFBF"/>
              <w:left w:val="single" w:sz="6" w:color="BFBFBF"/>
              <w:bottom w:val="single" w:sz="6" w:color="BFBFBF"/>
              <w:right w:val="single" w:sz="6" w:color="BFBFBF"/>
            </w:tcBorders>
          </w:tcPr>
          <w:p>
            <w:r>
              <w:rPr>
                <w:sz w:val="20"/>
              </w:rPr>
              <w:t>Defect remediation, performance regressions, data-accuracy fixes, security patches, dependency updates, dashboard support.</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Incident SLA (§15.2)</w:t>
            </w:r>
          </w:p>
        </w:tc>
        <w:tc>
          <w:tcPr>
            <w:tcW w:type="dxa" w:w="6236"/>
            <w:tcBorders>
              <w:top w:val="single" w:sz="6" w:color="BFBFBF"/>
              <w:left w:val="single" w:sz="6" w:color="BFBFBF"/>
              <w:bottom w:val="single" w:sz="6" w:color="BFBFBF"/>
              <w:right w:val="single" w:sz="6" w:color="BFBFBF"/>
            </w:tcBorders>
          </w:tcPr>
          <w:p>
            <w:r>
              <w:rPr>
                <w:sz w:val="20"/>
              </w:rPr>
              <w:t>Sev 1 (system down): response 1 h, restore 4 h. Sev 2 (major): response 2 h, fix 1 day. Sev 3 (minor): response 1 day, fix 1 week. Sev 4 (cosmetic): next release.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Reporting (§15.3)</w:t>
            </w:r>
          </w:p>
        </w:tc>
        <w:tc>
          <w:tcPr>
            <w:tcW w:type="dxa" w:w="6236"/>
            <w:tcBorders>
              <w:top w:val="single" w:sz="6" w:color="BFBFBF"/>
              <w:left w:val="single" w:sz="6" w:color="BFBFBF"/>
              <w:bottom w:val="single" w:sz="6" w:color="BFBFBF"/>
              <w:right w:val="single" w:sz="6" w:color="BFBFBF"/>
            </w:tcBorders>
          </w:tcPr>
          <w:p>
            <w:r>
              <w:rPr>
                <w:sz w:val="20"/>
              </w:rPr>
              <w:t>Monthly support pack: ticket log, SLA conformance, root-cause summaries, security advisories, recommended improvements.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Pricing (§15.4)</w:t>
            </w:r>
          </w:p>
        </w:tc>
        <w:tc>
          <w:tcPr>
            <w:tcW w:type="dxa" w:w="6236"/>
            <w:tcBorders>
              <w:top w:val="single" w:sz="6" w:color="BFBFBF"/>
              <w:left w:val="single" w:sz="6" w:color="BFBFBF"/>
              <w:bottom w:val="single" w:sz="6" w:color="BFBFBF"/>
              <w:right w:val="single" w:sz="6" w:color="BFBFBF"/>
            </w:tcBorders>
          </w:tcPr>
          <w:p>
            <w:r>
              <w:rPr>
                <w:sz w:val="20"/>
              </w:rPr>
              <w:t>Costed in the Financial Proposal under the OPEX schedule.</w:t>
            </w:r>
          </w:p>
        </w:tc>
      </w:tr>
    </w:tbl>
    <w:p/>
    <w:p>
      <w:pPr>
        <w:pStyle w:val="Heading3"/>
      </w:pPr>
      <w:r>
        <w:t>Highlights</w:t>
      </w:r>
    </w:p>
    <w:p>
      <w:pPr>
        <w:pStyle w:val="ListBullet"/>
      </w:pPr>
      <w:r>
        <w:t>On-call rotation provides 24/7 coverage for Sev 1 / Sev 2.</w:t>
      </w:r>
    </w:p>
    <w:p>
      <w:pPr>
        <w:pStyle w:val="ListBullet"/>
      </w:pPr>
      <w:r>
        <w:t>Hangfire dashboard exposes job-failure visibility for the support team.</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Continuous improvement</w:t>
            </w:r>
          </w:p>
          <w:p>
            <w:r>
              <w:rPr>
                <w:sz w:val="20"/>
              </w:rPr>
              <w:t>Quarterly steering committee with DLD stakeholders reviews trend data and agrees the next 90-day enhancement plan.</w:t>
            </w:r>
          </w:p>
        </w:tc>
      </w:tr>
    </w:tbl>
    <w:p/>
    <w:p>
      <w:pPr>
        <w:pStyle w:val="Heading1"/>
      </w:pPr>
      <w:r>
        <w:t>15. Acceptance Criteria (RFP §17)</w:t>
      </w:r>
    </w:p>
    <w:p>
      <w:r>
        <w:rPr>
          <w:b w:val="0"/>
          <w:i w:val="0"/>
          <w:sz w:val="21"/>
        </w:rPr>
        <w:t>Each phase exits when the universal §17.3 UAT bar is met and DLD signs the acceptance certificate.</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Functional Testing</w:t>
            </w:r>
          </w:p>
        </w:tc>
        <w:tc>
          <w:tcPr>
            <w:tcW w:type="dxa" w:w="6236"/>
            <w:tcBorders>
              <w:top w:val="single" w:sz="6" w:color="BFBFBF"/>
              <w:left w:val="single" w:sz="6" w:color="BFBFBF"/>
              <w:bottom w:val="single" w:sz="6" w:color="BFBFBF"/>
              <w:right w:val="single" w:sz="6" w:color="BFBFBF"/>
            </w:tcBorders>
          </w:tcPr>
          <w:p>
            <w:r>
              <w:rPr>
                <w:sz w:val="20"/>
              </w:rPr>
              <w:t>100 % of phase-applicable functional requirements verified through scripted test cases and traceability to RFP IDs.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Performance Testing</w:t>
            </w:r>
          </w:p>
        </w:tc>
        <w:tc>
          <w:tcPr>
            <w:tcW w:type="dxa" w:w="6236"/>
            <w:tcBorders>
              <w:top w:val="single" w:sz="6" w:color="BFBFBF"/>
              <w:left w:val="single" w:sz="6" w:color="BFBFBF"/>
              <w:bottom w:val="single" w:sz="6" w:color="BFBFBF"/>
              <w:right w:val="single" w:sz="6" w:color="BFBFBF"/>
            </w:tcBorders>
          </w:tcPr>
          <w:p>
            <w:r>
              <w:rPr>
                <w:sz w:val="20"/>
              </w:rPr>
              <w:t>All P95 response time targets met under the concurrent-user load stipulated in the RFP. Reports produced from k6/NBomber runs.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Data Accuracy (§17.2)</w:t>
            </w:r>
          </w:p>
        </w:tc>
        <w:tc>
          <w:tcPr>
            <w:tcW w:type="dxa" w:w="6236"/>
            <w:tcBorders>
              <w:top w:val="single" w:sz="6" w:color="BFBFBF"/>
              <w:left w:val="single" w:sz="6" w:color="BFBFBF"/>
              <w:bottom w:val="single" w:sz="6" w:color="BFBFBF"/>
              <w:right w:val="single" w:sz="6" w:color="BFBFBF"/>
            </w:tcBorders>
          </w:tcPr>
          <w:p>
            <w:r>
              <w:rPr>
                <w:sz w:val="20"/>
              </w:rPr>
              <w:t>Reconciliation between IRETP gold layer and DLD source registries below the threshold defined in §17.2; sign-off by DLD data steward.</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Security Testing (Phase 3)</w:t>
            </w:r>
          </w:p>
        </w:tc>
        <w:tc>
          <w:tcPr>
            <w:tcW w:type="dxa" w:w="6236"/>
            <w:tcBorders>
              <w:top w:val="single" w:sz="6" w:color="BFBFBF"/>
              <w:left w:val="single" w:sz="6" w:color="BFBFBF"/>
              <w:bottom w:val="single" w:sz="6" w:color="BFBFBF"/>
              <w:right w:val="single" w:sz="6" w:color="BFBFBF"/>
            </w:tcBorders>
          </w:tcPr>
          <w:p>
            <w:r>
              <w:rPr>
                <w:sz w:val="20"/>
              </w:rPr>
              <w:t>DESC-authorised VAPT report with zero open High or Critical findings; remediation plan for any Medium findings.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Accessibility</w:t>
            </w:r>
          </w:p>
        </w:tc>
        <w:tc>
          <w:tcPr>
            <w:tcW w:type="dxa" w:w="6236"/>
            <w:tcBorders>
              <w:top w:val="single" w:sz="6" w:color="BFBFBF"/>
              <w:left w:val="single" w:sz="6" w:color="BFBFBF"/>
              <w:bottom w:val="single" w:sz="6" w:color="BFBFBF"/>
              <w:right w:val="single" w:sz="6" w:color="BFBFBF"/>
            </w:tcBorders>
          </w:tcPr>
          <w:p>
            <w:r>
              <w:rPr>
                <w:sz w:val="20"/>
              </w:rPr>
              <w:t>Automated accessibility scan (axe-core) with zero Critical violations; manual screen-reader spot checks for primary journeys.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Language &amp; RTL</w:t>
            </w:r>
          </w:p>
        </w:tc>
        <w:tc>
          <w:tcPr>
            <w:tcW w:type="dxa" w:w="6236"/>
            <w:tcBorders>
              <w:top w:val="single" w:sz="6" w:color="BFBFBF"/>
              <w:left w:val="single" w:sz="6" w:color="BFBFBF"/>
              <w:bottom w:val="single" w:sz="6" w:color="BFBFBF"/>
              <w:right w:val="single" w:sz="6" w:color="BFBFBF"/>
            </w:tcBorders>
          </w:tcPr>
          <w:p>
            <w:r>
              <w:rPr>
                <w:sz w:val="20"/>
              </w:rPr>
              <w:t>EN and AR fully correct in Phases 1–3; all 8 languages verified in Phase 4 with native-speaker review.</w:t>
            </w:r>
          </w:p>
        </w:tc>
      </w:tr>
    </w:tbl>
    <w:p/>
    <w:p>
      <w:pPr>
        <w:pStyle w:val="Heading3"/>
      </w:pPr>
      <w:r>
        <w:t>Highlights</w:t>
      </w:r>
    </w:p>
    <w:p>
      <w:pPr>
        <w:pStyle w:val="ListBullet"/>
      </w:pPr>
      <w:r>
        <w:t>Every UAT cycle produces a defect register exported from the support tool; severity-1 defects block phase exit.</w:t>
      </w:r>
    </w:p>
    <w:p>
      <w:pPr>
        <w:pStyle w:val="ListBullet"/>
      </w:pPr>
      <w:r>
        <w:t>DLD UAT users receive role-scoped accounts that exercise every AuthorizationPolicy in the system.</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Traceability</w:t>
            </w:r>
          </w:p>
          <w:p>
            <w:r>
              <w:rPr>
                <w:sz w:val="20"/>
              </w:rPr>
              <w:t>A requirement-to-test matrix is maintained in source control alongside the codebase so every RFP clause has at least one automated or scripted test.</w:t>
            </w:r>
          </w:p>
        </w:tc>
      </w:tr>
    </w:tbl>
    <w:p/>
    <w:p>
      <w:pPr>
        <w:pStyle w:val="Heading1"/>
      </w:pPr>
      <w:r>
        <w:t>16. Data Governance, Privacy &amp; Ownership (RFP §19)</w:t>
      </w:r>
    </w:p>
    <w:p>
      <w:r>
        <w:rPr>
          <w:b w:val="0"/>
          <w:i w:val="0"/>
          <w:sz w:val="21"/>
        </w:rPr>
        <w:t>All data created or processed by IRETP belongs to DLD. Personal data is processed in line with UAE Federal PDPL and DLD policy.</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Data Ownership (§19.1)</w:t>
            </w:r>
          </w:p>
        </w:tc>
        <w:tc>
          <w:tcPr>
            <w:tcW w:type="dxa" w:w="6236"/>
            <w:tcBorders>
              <w:top w:val="single" w:sz="6" w:color="BFBFBF"/>
              <w:left w:val="single" w:sz="6" w:color="BFBFBF"/>
              <w:bottom w:val="single" w:sz="6" w:color="BFBFBF"/>
              <w:right w:val="single" w:sz="6" w:color="BFBFBF"/>
            </w:tcBorders>
          </w:tcPr>
          <w:p>
            <w:r>
              <w:rPr>
                <w:sz w:val="20"/>
              </w:rPr>
              <w:t>All schemas, code, derived datasets and AI fine-tuning artefacts vest in DLD on payment. Vendor retains no rights to DLD data.</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Personal Data (§19.2)</w:t>
            </w:r>
          </w:p>
        </w:tc>
        <w:tc>
          <w:tcPr>
            <w:tcW w:type="dxa" w:w="6236"/>
            <w:tcBorders>
              <w:top w:val="single" w:sz="6" w:color="BFBFBF"/>
              <w:left w:val="single" w:sz="6" w:color="BFBFBF"/>
              <w:bottom w:val="single" w:sz="6" w:color="BFBFBF"/>
              <w:right w:val="single" w:sz="6" w:color="BFBFBF"/>
            </w:tcBorders>
          </w:tcPr>
          <w:p>
            <w:r>
              <w:rPr>
                <w:sz w:val="20"/>
              </w:rPr>
              <w:t>Investor accounts hold only the minimum personal data necessary; UserConsentService captures explicit opt-in for AI memory and marketing communications; right-to-erasure honoured through a documented account deletion workflow.</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Data Quality (§19.3)</w:t>
            </w:r>
          </w:p>
        </w:tc>
        <w:tc>
          <w:tcPr>
            <w:tcW w:type="dxa" w:w="6236"/>
            <w:tcBorders>
              <w:top w:val="single" w:sz="6" w:color="BFBFBF"/>
              <w:left w:val="single" w:sz="6" w:color="BFBFBF"/>
              <w:bottom w:val="single" w:sz="6" w:color="BFBFBF"/>
              <w:right w:val="single" w:sz="6" w:color="BFBFBF"/>
            </w:tcBorders>
          </w:tcPr>
          <w:p>
            <w:r>
              <w:rPr>
                <w:sz w:val="20"/>
              </w:rPr>
              <w:t>Completeness, accuracy, timeliness and consistency tracked per feed; published to a data-quality dashboard reviewed monthly.</w:t>
            </w:r>
          </w:p>
        </w:tc>
      </w:tr>
    </w:tbl>
    <w:p/>
    <w:p>
      <w:pPr>
        <w:pStyle w:val="Heading3"/>
      </w:pPr>
      <w:r>
        <w:t>Highlights</w:t>
      </w:r>
    </w:p>
    <w:p>
      <w:pPr>
        <w:pStyle w:val="ListBullet"/>
      </w:pPr>
      <w:r>
        <w:t>AuditLog captures every read of personal data by an internal user with reason code (justified-access pattern).</w:t>
      </w:r>
    </w:p>
    <w:p>
      <w:pPr>
        <w:pStyle w:val="ListBullet"/>
      </w:pPr>
      <w:r>
        <w:t>Beneficial Ownership module access requires the InternalManage policy and produces an audit trail per record viewed.</w:t>
      </w:r>
    </w:p>
    <w:p>
      <w:pPr>
        <w:pStyle w:val="Heading3"/>
      </w:pPr>
      <w:r>
        <w:t>Code References</w:t>
      </w:r>
    </w:p>
    <w:p>
      <w:r>
        <w:rPr>
          <w:b/>
          <w:color w:val="444444"/>
          <w:sz w:val="19"/>
        </w:rPr>
        <w:t xml:space="preserve">Consent: </w:t>
      </w:r>
      <w:r>
        <w:rPr>
          <w:rFonts w:ascii="Consolas" w:hAnsi="Consolas"/>
          <w:color w:val="003388"/>
          <w:sz w:val="19"/>
        </w:rPr>
        <w:t>src/IRETP.Infrastructure/Identity/UserConsentService.cs</w:t>
      </w:r>
    </w:p>
    <w:p>
      <w:r>
        <w:rPr>
          <w:b/>
          <w:color w:val="444444"/>
          <w:sz w:val="19"/>
        </w:rPr>
        <w:t xml:space="preserve">Audit: </w:t>
      </w:r>
      <w:r>
        <w:rPr>
          <w:rFonts w:ascii="Consolas" w:hAnsi="Consolas"/>
          <w:color w:val="003388"/>
          <w:sz w:val="19"/>
        </w:rPr>
        <w:t>src/IRETP.Infrastructure/Services/AuditLogService.cs</w:t>
      </w:r>
    </w:p>
    <w:p>
      <w:r>
        <w:rPr>
          <w:b/>
          <w:color w:val="444444"/>
          <w:sz w:val="19"/>
        </w:rPr>
        <w:t xml:space="preserve">BO entity: </w:t>
      </w:r>
      <w:r>
        <w:rPr>
          <w:rFonts w:ascii="Consolas" w:hAnsi="Consolas"/>
          <w:color w:val="003388"/>
          <w:sz w:val="19"/>
        </w:rPr>
        <w:t>src/IRETP.Domain/Entities/BeneficialOwner.cs</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Privacy by design</w:t>
            </w:r>
          </w:p>
          <w:p>
            <w:r>
              <w:rPr>
                <w:sz w:val="20"/>
              </w:rPr>
              <w:t>Personal-data fields are tagged at the entity level so future PDPL controls (e.g., field-level encryption) can be applied without schema changes.</w:t>
            </w:r>
          </w:p>
        </w:tc>
      </w:tr>
    </w:tbl>
    <w:p/>
    <w:p>
      <w:pPr>
        <w:pStyle w:val="Heading1"/>
      </w:pPr>
      <w:r>
        <w:t>17. Additional Recommended Features (RFP §20)</w:t>
      </w:r>
    </w:p>
    <w:p>
      <w:r>
        <w:rPr>
          <w:b w:val="0"/>
          <w:i w:val="0"/>
          <w:sz w:val="21"/>
        </w:rPr>
        <w:t>Beyond the mandated scope, the platform already includes capabilities that strengthen DLD's GRETI position and investor appeal.</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GRETI Sub-Index Tracker</w:t>
            </w:r>
          </w:p>
        </w:tc>
        <w:tc>
          <w:tcPr>
            <w:tcW w:type="dxa" w:w="6236"/>
            <w:tcBorders>
              <w:top w:val="single" w:sz="6" w:color="BFBFBF"/>
              <w:left w:val="single" w:sz="6" w:color="BFBFBF"/>
              <w:bottom w:val="single" w:sz="6" w:color="BFBFBF"/>
              <w:right w:val="single" w:sz="6" w:color="BFBFBF"/>
            </w:tcBorders>
          </w:tcPr>
          <w:p>
            <w:r>
              <w:rPr>
                <w:sz w:val="20"/>
              </w:rPr>
              <w:t>GretiController + Public/Greti.razor track Dubai's position on each JLL GRETI sub-index with a roadmap of closure items.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ESG Indicators</w:t>
            </w:r>
          </w:p>
        </w:tc>
        <w:tc>
          <w:tcPr>
            <w:tcW w:type="dxa" w:w="6236"/>
            <w:tcBorders>
              <w:top w:val="single" w:sz="6" w:color="BFBFBF"/>
              <w:left w:val="single" w:sz="6" w:color="BFBFBF"/>
              <w:bottom w:val="single" w:sz="6" w:color="BFBFBF"/>
              <w:right w:val="single" w:sz="6" w:color="BFBFBF"/>
            </w:tcBorders>
          </w:tcPr>
          <w:p>
            <w:r>
              <w:rPr>
                <w:sz w:val="20"/>
              </w:rPr>
              <w:t>EsgController + Public/Esg.razor expose green-certification, carbon-intensity and social-impact metrics per project.</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Beneficial Ownership Transparency</w:t>
            </w:r>
          </w:p>
        </w:tc>
        <w:tc>
          <w:tcPr>
            <w:tcW w:type="dxa" w:w="6236"/>
            <w:tcBorders>
              <w:top w:val="single" w:sz="6" w:color="BFBFBF"/>
              <w:left w:val="single" w:sz="6" w:color="BFBFBF"/>
              <w:bottom w:val="single" w:sz="6" w:color="BFBFBF"/>
              <w:right w:val="single" w:sz="6" w:color="BFBFBF"/>
            </w:tcBorders>
          </w:tcPr>
          <w:p>
            <w:r>
              <w:rPr>
                <w:sz w:val="20"/>
              </w:rPr>
              <w:t>BeneficialOwner entity + Public/BeneficialOwnership.razor surface controlling-interest data subject to DLD redaction policy.</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Open Data API + Developer Portal</w:t>
            </w:r>
          </w:p>
        </w:tc>
        <w:tc>
          <w:tcPr>
            <w:tcW w:type="dxa" w:w="6236"/>
            <w:tcBorders>
              <w:top w:val="single" w:sz="6" w:color="BFBFBF"/>
              <w:left w:val="single" w:sz="6" w:color="BFBFBF"/>
              <w:bottom w:val="single" w:sz="6" w:color="BFBFBF"/>
              <w:right w:val="single" w:sz="6" w:color="BFBFBF"/>
            </w:tcBorders>
          </w:tcPr>
          <w:p>
            <w:r>
              <w:rPr>
                <w:sz w:val="20"/>
              </w:rPr>
              <w:t>ApiKey entity, Public/ApiPortal.razor self-service portal and tiered rate limits create a frictionless integration channel.</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Mortgage Analytics</w:t>
            </w:r>
          </w:p>
        </w:tc>
        <w:tc>
          <w:tcPr>
            <w:tcW w:type="dxa" w:w="6236"/>
            <w:tcBorders>
              <w:top w:val="single" w:sz="6" w:color="BFBFBF"/>
              <w:left w:val="single" w:sz="6" w:color="BFBFBF"/>
              <w:bottom w:val="single" w:sz="6" w:color="BFBFBF"/>
              <w:right w:val="single" w:sz="6" w:color="BFBFBF"/>
            </w:tcBorders>
          </w:tcPr>
          <w:p>
            <w:r>
              <w:rPr>
                <w:sz w:val="20"/>
              </w:rPr>
              <w:t>MortgageController + Public/Mortgage.razor publish loan-to-value, tenor and rate distributions for transparency.</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Investor Scorecard PDF</w:t>
            </w:r>
          </w:p>
        </w:tc>
        <w:tc>
          <w:tcPr>
            <w:tcW w:type="dxa" w:w="6236"/>
            <w:tcBorders>
              <w:top w:val="single" w:sz="6" w:color="BFBFBF"/>
              <w:left w:val="single" w:sz="6" w:color="BFBFBF"/>
              <w:bottom w:val="single" w:sz="6" w:color="BFBFBF"/>
              <w:right w:val="single" w:sz="6" w:color="BFBFBF"/>
            </w:tcBorders>
          </w:tcPr>
          <w:p>
            <w:r>
              <w:rPr>
                <w:sz w:val="20"/>
              </w:rPr>
              <w:t>InvestorScorecardPdfService produces a personalised one-page PDF synthesising the investor's watchlist performance.</w:t>
            </w:r>
          </w:p>
        </w:tc>
      </w:tr>
    </w:tbl>
    <w:p/>
    <w:p>
      <w:pPr>
        <w:pStyle w:val="Heading3"/>
      </w:pPr>
      <w:r>
        <w:t>Highlights</w:t>
      </w:r>
    </w:p>
    <w:p>
      <w:pPr>
        <w:pStyle w:val="ListBullet"/>
      </w:pPr>
      <w:r>
        <w:t>Headless CMS (CmsContent + CmsContentVersion) lets DLD comms team publish news, regulatory updates and educational content without developer involvement.</w:t>
      </w:r>
    </w:p>
    <w:p>
      <w:pPr>
        <w:pStyle w:val="ListBullet"/>
      </w:pPr>
      <w:r>
        <w:t>Name Validation service (NameValidationController) helps reduce duplicate developer/project records at intake.</w:t>
      </w:r>
    </w:p>
    <w:p>
      <w:pPr>
        <w:pStyle w:val="Heading3"/>
      </w:pPr>
      <w:r>
        <w:t>Code References</w:t>
      </w:r>
    </w:p>
    <w:p>
      <w:r>
        <w:rPr>
          <w:b/>
          <w:color w:val="444444"/>
          <w:sz w:val="19"/>
        </w:rPr>
        <w:t xml:space="preserve">GRETI: </w:t>
      </w:r>
      <w:r>
        <w:rPr>
          <w:rFonts w:ascii="Consolas" w:hAnsi="Consolas"/>
          <w:color w:val="003388"/>
          <w:sz w:val="19"/>
        </w:rPr>
        <w:t>src/IRETP.Web/Components/Pages/Public/Greti.razor</w:t>
      </w:r>
    </w:p>
    <w:p>
      <w:r>
        <w:rPr>
          <w:b/>
          <w:color w:val="444444"/>
          <w:sz w:val="19"/>
        </w:rPr>
        <w:t xml:space="preserve">ESG: </w:t>
      </w:r>
      <w:r>
        <w:rPr>
          <w:rFonts w:ascii="Consolas" w:hAnsi="Consolas"/>
          <w:color w:val="003388"/>
          <w:sz w:val="19"/>
        </w:rPr>
        <w:t>src/IRETP.Web/Components/Pages/Public/Esg.razor</w:t>
      </w:r>
    </w:p>
    <w:p>
      <w:r>
        <w:rPr>
          <w:b/>
          <w:color w:val="444444"/>
          <w:sz w:val="19"/>
        </w:rPr>
        <w:t xml:space="preserve">Open Data: </w:t>
      </w:r>
      <w:r>
        <w:rPr>
          <w:rFonts w:ascii="Consolas" w:hAnsi="Consolas"/>
          <w:color w:val="003388"/>
          <w:sz w:val="19"/>
        </w:rPr>
        <w:t>src/IRETP.WebAPI/Controllers/OpenDataController.cs</w:t>
      </w:r>
    </w:p>
    <w:p>
      <w:r>
        <w:rPr>
          <w:b/>
          <w:color w:val="444444"/>
          <w:sz w:val="19"/>
        </w:rPr>
        <w:t xml:space="preserve">Portal: </w:t>
      </w:r>
      <w:r>
        <w:rPr>
          <w:rFonts w:ascii="Consolas" w:hAnsi="Consolas"/>
          <w:color w:val="003388"/>
          <w:sz w:val="19"/>
        </w:rPr>
        <w:t>src/IRETP.Web/Components/Pages/Public/ApiPortal.razor</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GRETI uplift</w:t>
            </w:r>
          </w:p>
          <w:p>
            <w:r>
              <w:rPr>
                <w:sz w:val="20"/>
              </w:rPr>
              <w:t>These features directly address the gaps identified in RFP §2.2 — the GRETI sub-index gap analysis.</w:t>
            </w:r>
          </w:p>
        </w:tc>
      </w:tr>
    </w:tbl>
    <w:p/>
    <w:p>
      <w:pPr>
        <w:pStyle w:val="Heading1"/>
      </w:pPr>
      <w:r>
        <w:t>18. Value-Add Engineering Improvements (Vendor Commitments)</w:t>
      </w:r>
    </w:p>
    <w:p>
      <w:r>
        <w:rPr>
          <w:b w:val="0"/>
          <w:i w:val="0"/>
          <w:sz w:val="21"/>
        </w:rPr>
        <w:t>Beyond the RFP-mandated scope, the vendor commits to deliver the following engineering improvements during Phase 1 hardening at no additional charge. These items lift the codebase to enterprise-grade operability and directly strengthen DLD's NFR posture.</w:t>
      </w:r>
    </w:p>
    <w:p>
      <w:pPr>
        <w:pStyle w:val="Heading3"/>
      </w:pPr>
      <w:r>
        <w:t>Implementation Mapping</w:t>
      </w:r>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Validation Pipeline</w:t>
            </w:r>
          </w:p>
        </w:tc>
        <w:tc>
          <w:tcPr>
            <w:tcW w:type="dxa" w:w="6236"/>
            <w:tcBorders>
              <w:top w:val="single" w:sz="6" w:color="BFBFBF"/>
              <w:left w:val="single" w:sz="6" w:color="BFBFBF"/>
              <w:bottom w:val="single" w:sz="6" w:color="BFBFBF"/>
              <w:right w:val="single" w:sz="6" w:color="BFBFBF"/>
            </w:tcBorders>
          </w:tcPr>
          <w:p>
            <w:r>
              <w:rPr>
                <w:sz w:val="20"/>
              </w:rPr>
              <w:t>MediatR ValidationBehavior auto-runs every FluentValidation validator already registered in IRETP.Application. Eliminates duplicated null-checks across handlers.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Global Exception Handling</w:t>
            </w:r>
          </w:p>
        </w:tc>
        <w:tc>
          <w:tcPr>
            <w:tcW w:type="dxa" w:w="6236"/>
            <w:tcBorders>
              <w:top w:val="single" w:sz="6" w:color="BFBFBF"/>
              <w:left w:val="single" w:sz="6" w:color="BFBFBF"/>
              <w:bottom w:val="single" w:sz="6" w:color="BFBFBF"/>
              <w:right w:val="single" w:sz="6" w:color="BFBFBF"/>
            </w:tcBorders>
          </w:tcPr>
          <w:p>
            <w:r>
              <w:rPr>
                <w:sz w:val="20"/>
              </w:rPr>
              <w:t>IExceptionHandler maps domain/validation/auth exceptions to RFC 7807 ProblemDetails so every controller returns a consistent error contract — required for the Open Data API SLA.</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Distributed Caching</w:t>
            </w:r>
          </w:p>
        </w:tc>
        <w:tc>
          <w:tcPr>
            <w:tcW w:type="dxa" w:w="6236"/>
            <w:tcBorders>
              <w:top w:val="single" w:sz="6" w:color="BFBFBF"/>
              <w:left w:val="single" w:sz="6" w:color="BFBFBF"/>
              <w:bottom w:val="single" w:sz="6" w:color="BFBFBF"/>
              <w:right w:val="single" w:sz="6" w:color="BFBFBF"/>
            </w:tcBorders>
          </w:tcPr>
          <w:p>
            <w:r>
              <w:rPr>
                <w:sz w:val="20"/>
              </w:rPr>
              <w:t>ICacheableQuery marker + CachingBehavior backed by Redis. KPI, GRETI, ESG and PriceIndex queries served from cache to meet the P95 ≤ 2 s chart-render target with headroom.</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Domain Event Dispatcher</w:t>
            </w:r>
          </w:p>
        </w:tc>
        <w:tc>
          <w:tcPr>
            <w:tcW w:type="dxa" w:w="6236"/>
            <w:tcBorders>
              <w:top w:val="single" w:sz="6" w:color="BFBFBF"/>
              <w:left w:val="single" w:sz="6" w:color="BFBFBF"/>
              <w:bottom w:val="single" w:sz="6" w:color="BFBFBF"/>
              <w:right w:val="single" w:sz="6" w:color="BFBFBF"/>
            </w:tcBorders>
          </w:tcPr>
          <w:p>
            <w:r>
              <w:rPr>
                <w:sz w:val="20"/>
              </w:rPr>
              <w:t>IDomainEventDispatcher invoked from UnitOfWork.SaveChangesAsync decouples notification, audit and SignalR push from write paths.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Resource-based Authorization</w:t>
            </w:r>
          </w:p>
        </w:tc>
        <w:tc>
          <w:tcPr>
            <w:tcW w:type="dxa" w:w="6236"/>
            <w:tcBorders>
              <w:top w:val="single" w:sz="6" w:color="BFBFBF"/>
              <w:left w:val="single" w:sz="6" w:color="BFBFBF"/>
              <w:bottom w:val="single" w:sz="6" w:color="BFBFBF"/>
              <w:right w:val="single" w:sz="6" w:color="BFBFBF"/>
            </w:tcBorders>
          </w:tcPr>
          <w:p>
            <w:r>
              <w:rPr>
                <w:sz w:val="20"/>
              </w:rPr>
              <w:t>Ownership handlers ensure investors can only read their own WatchlistItem, InvestorAlert and SavedAnalyticsView records — complementing the role-level AuthorizationPolicies.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Outbox Pattern for Notifications</w:t>
            </w:r>
          </w:p>
        </w:tc>
        <w:tc>
          <w:tcPr>
            <w:tcW w:type="dxa" w:w="6236"/>
            <w:tcBorders>
              <w:top w:val="single" w:sz="6" w:color="BFBFBF"/>
              <w:left w:val="single" w:sz="6" w:color="BFBFBF"/>
              <w:bottom w:val="single" w:sz="6" w:color="BFBFBF"/>
              <w:right w:val="single" w:sz="6" w:color="BFBFBF"/>
            </w:tcBorders>
          </w:tcPr>
          <w:p>
            <w:r>
              <w:rPr>
                <w:sz w:val="20"/>
              </w:rPr>
              <w:t>NotificationOutbox table written in the same DB transaction; dispatcher worker drains the outbox to SMTP/SMS so RFP §6.2 SLAs survive transient provider failure.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SignalR Notification Hub</w:t>
            </w:r>
          </w:p>
        </w:tc>
        <w:tc>
          <w:tcPr>
            <w:tcW w:type="dxa" w:w="6236"/>
            <w:tcBorders>
              <w:top w:val="single" w:sz="6" w:color="BFBFBF"/>
              <w:left w:val="single" w:sz="6" w:color="BFBFBF"/>
              <w:bottom w:val="single" w:sz="6" w:color="BFBFBF"/>
              <w:right w:val="single" w:sz="6" w:color="BFBFBF"/>
            </w:tcBorders>
          </w:tcPr>
          <w:p>
            <w:r>
              <w:rPr>
                <w:sz w:val="20"/>
              </w:rPr>
              <w:t>Replaces NoOpNotificationBroadcaster so the bell icon updates instantaneously without polling.</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AI Streaming over SSE</w:t>
            </w:r>
          </w:p>
        </w:tc>
        <w:tc>
          <w:tcPr>
            <w:tcW w:type="dxa" w:w="6236"/>
            <w:tcBorders>
              <w:top w:val="single" w:sz="6" w:color="BFBFBF"/>
              <w:left w:val="single" w:sz="6" w:color="BFBFBF"/>
              <w:bottom w:val="single" w:sz="6" w:color="BFBFBF"/>
              <w:right w:val="single" w:sz="6" w:color="BFBFBF"/>
            </w:tcBorders>
          </w:tcPr>
          <w:p>
            <w:r>
              <w:rPr>
                <w:sz w:val="20"/>
              </w:rPr>
              <w:t>AiAgent.razor streams tokens as IAsyncEnumerable&lt;string&gt; for sub-15-second perceived response.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Polly Resilience</w:t>
            </w:r>
          </w:p>
        </w:tc>
        <w:tc>
          <w:tcPr>
            <w:tcW w:type="dxa" w:w="6236"/>
            <w:tcBorders>
              <w:top w:val="single" w:sz="6" w:color="BFBFBF"/>
              <w:left w:val="single" w:sz="6" w:color="BFBFBF"/>
              <w:bottom w:val="single" w:sz="6" w:color="BFBFBF"/>
              <w:right w:val="single" w:sz="6" w:color="BFBFBF"/>
            </w:tcBorders>
          </w:tcPr>
          <w:p>
            <w:r>
              <w:rPr>
                <w:sz w:val="20"/>
              </w:rPr>
              <w:t>AddStandardResilienceHandler() applied to AIOrchestrator, currency, SMTP and SMS HttpClients with retry + circuit breaker. Implements the §5.3 model-fallback requirement declaratively.</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Hangfire Idempotency</w:t>
            </w:r>
          </w:p>
        </w:tc>
        <w:tc>
          <w:tcPr>
            <w:tcW w:type="dxa" w:w="6236"/>
            <w:tcBorders>
              <w:top w:val="single" w:sz="6" w:color="BFBFBF"/>
              <w:left w:val="single" w:sz="6" w:color="BFBFBF"/>
              <w:bottom w:val="single" w:sz="6" w:color="BFBFBF"/>
              <w:right w:val="single" w:sz="6" w:color="BFBFBF"/>
            </w:tcBorders>
          </w:tcPr>
          <w:p>
            <w:r>
              <w:rPr>
                <w:sz w:val="20"/>
              </w:rPr>
              <w:t>Job fingerprints prevent double-execution on retries — protects monthly Escrow Health Reports and KPI snapshots.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OpenTelemetry</w:t>
            </w:r>
          </w:p>
        </w:tc>
        <w:tc>
          <w:tcPr>
            <w:tcW w:type="dxa" w:w="6236"/>
            <w:tcBorders>
              <w:top w:val="single" w:sz="6" w:color="BFBFBF"/>
              <w:left w:val="single" w:sz="6" w:color="BFBFBF"/>
              <w:bottom w:val="single" w:sz="6" w:color="BFBFBF"/>
              <w:right w:val="single" w:sz="6" w:color="BFBFBF"/>
            </w:tcBorders>
          </w:tcPr>
          <w:p>
            <w:r>
              <w:rPr>
                <w:sz w:val="20"/>
              </w:rPr>
              <w:t>Traces, metrics and logs exported via OTLP and tagged with user, role and AI-model dimensions; powers the SLA dashboard.</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Health Checks</w:t>
            </w:r>
          </w:p>
        </w:tc>
        <w:tc>
          <w:tcPr>
            <w:tcW w:type="dxa" w:w="6236"/>
            <w:tcBorders>
              <w:top w:val="single" w:sz="6" w:color="BFBFBF"/>
              <w:left w:val="single" w:sz="6" w:color="BFBFBF"/>
              <w:bottom w:val="single" w:sz="6" w:color="BFBFBF"/>
              <w:right w:val="single" w:sz="6" w:color="BFBFBF"/>
            </w:tcBorders>
          </w:tcPr>
          <w:p>
            <w:r>
              <w:rPr>
                <w:sz w:val="20"/>
              </w:rPr>
              <w:t>/healthz (liveness) and /readyz (DB + Redis + Hangfire + AI provider) endpoints surfaced on the Admin home page.</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Tighter CORS, CSP &amp; HSTS</w:t>
            </w:r>
          </w:p>
        </w:tc>
        <w:tc>
          <w:tcPr>
            <w:tcW w:type="dxa" w:w="6236"/>
            <w:tcBorders>
              <w:top w:val="single" w:sz="6" w:color="BFBFBF"/>
              <w:left w:val="single" w:sz="6" w:color="BFBFBF"/>
              <w:bottom w:val="single" w:sz="6" w:color="BFBFBF"/>
              <w:right w:val="single" w:sz="6" w:color="BFBFBF"/>
            </w:tcBorders>
          </w:tcPr>
          <w:p>
            <w:r>
              <w:rPr>
                <w:sz w:val="20"/>
              </w:rPr>
              <w:t>Replace AllowAnyOrigin with an allow-list; security headers via middleware; Blazor CSP nonces for inline scripts.</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Architecture Tests</w:t>
            </w:r>
          </w:p>
        </w:tc>
        <w:tc>
          <w:tcPr>
            <w:tcW w:type="dxa" w:w="6236"/>
            <w:tcBorders>
              <w:top w:val="single" w:sz="6" w:color="BFBFBF"/>
              <w:left w:val="single" w:sz="6" w:color="BFBFBF"/>
              <w:bottom w:val="single" w:sz="6" w:color="BFBFBF"/>
              <w:right w:val="single" w:sz="6" w:color="BFBFBF"/>
            </w:tcBorders>
          </w:tcPr>
          <w:p>
            <w:r>
              <w:rPr>
                <w:sz w:val="20"/>
              </w:rPr>
              <w:t>NetArchTest assertions: Domain has no Infrastructure references; Application has no EF Core references; Controllers don't depend on Repository&lt;&gt;.</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CI/CD &amp; Containers</w:t>
            </w:r>
          </w:p>
        </w:tc>
        <w:tc>
          <w:tcPr>
            <w:tcW w:type="dxa" w:w="6236"/>
            <w:tcBorders>
              <w:top w:val="single" w:sz="6" w:color="BFBFBF"/>
              <w:left w:val="single" w:sz="6" w:color="BFBFBF"/>
              <w:bottom w:val="single" w:sz="6" w:color="BFBFBF"/>
              <w:right w:val="single" w:sz="6" w:color="BFBFBF"/>
            </w:tcBorders>
          </w:tcPr>
          <w:p>
            <w:r>
              <w:rPr>
                <w:sz w:val="20"/>
              </w:rPr>
              <w:t>Multi-stage Dockerfiles for WebAPI, AdminAPI and Web; docker-compose for SQL/Redis/Seq; GitHub Actions / Azure Pipelines that build, test, run EF migrations and deploy.</w:t>
            </w:r>
          </w:p>
        </w:tc>
      </w:tr>
    </w:tbl>
    <w:p/>
    <w:p>
      <w:pPr>
        <w:pStyle w:val="Heading3"/>
      </w:pPr>
      <w:r>
        <w:t>Highlights</w:t>
      </w:r>
    </w:p>
    <w:p>
      <w:pPr>
        <w:pStyle w:val="ListBullet"/>
      </w:pPr>
      <w:r>
        <w:t>Every item is tracked as a backlog story with a definition of done and acceptance test before Phase 1 UAT.</w:t>
      </w:r>
    </w:p>
    <w:p>
      <w:pPr>
        <w:pStyle w:val="ListBullet"/>
      </w:pPr>
      <w:r>
        <w:t>All improvements are backwards-compatible with the existing feature folders — no rewrites required.</w:t>
      </w:r>
    </w:p>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Why this matters</w:t>
            </w:r>
          </w:p>
          <w:p>
            <w:r>
              <w:rPr>
                <w:sz w:val="20"/>
              </w:rPr>
              <w:t>These commitments turn the RFP requirements into operational guarantees that DLD can monitor, audit and depend on long after go-live.</w:t>
            </w:r>
          </w:p>
        </w:tc>
      </w:tr>
    </w:tbl>
    <w:p/>
    <w:p>
      <w:pPr>
        <w:pStyle w:val="Heading1"/>
      </w:pPr>
      <w:r>
        <w:t>19. Closing Statement</w:t>
      </w:r>
    </w:p>
    <w:p>
      <w:r>
        <w:rPr>
          <w:b w:val="0"/>
          <w:i w:val="0"/>
          <w:sz w:val="21"/>
        </w:rPr>
        <w:t>The vendor confirms full understanding of RFP DLD-IRETP-2026-001 and commits to deliver the Integrated Real Estate Transparency Platform on the phasing, performance, security and data-quality terms described above. The accompanying Compliance Matrix (Volume 2) provides a clause-by-clause traceability statement.</w:t>
      </w:r>
    </w:p>
    <w:p>
      <w:r>
        <w:rPr>
          <w:b w:val="0"/>
          <w:i/>
          <w:sz w:val="21"/>
        </w:rPr>
        <w:t>Submitted with respect to Dubai Land Department.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