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Dubai Land Department</w:t>
      </w:r>
    </w:p>
    <w:p>
      <w:pPr>
        <w:jc w:val="center"/>
      </w:pPr>
      <w:r>
        <w:rPr>
          <w:color w:val="444444"/>
          <w:sz w:val="22"/>
        </w:rPr>
        <w:t>RFP No. DLD-IRETP-2026-001</w:t>
      </w:r>
    </w:p>
    <w:p/>
    <w:p/>
    <w:p/>
    <w:p>
      <w:pPr>
        <w:jc w:val="center"/>
      </w:pPr>
      <w:r>
        <w:rPr>
          <w:b/>
          <w:color w:val="0B3D91"/>
          <w:sz w:val="52"/>
        </w:rPr>
        <w:t>Appendix A — DESC ISR v3 Control Mapping</w:t>
      </w:r>
    </w:p>
    <w:p>
      <w:pPr>
        <w:jc w:val="center"/>
      </w:pPr>
      <w:r>
        <w:rPr>
          <w:i/>
          <w:color w:val="444444"/>
          <w:sz w:val="26"/>
        </w:rPr>
        <w:t>Integrated Real Estate Transparency Platform (IRETP) — RFP DLD-IRETP-2026-001 Security Compliance Evidence</w:t>
      </w:r>
    </w:p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Programme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Integrated Real Estate Transparency Platform (IRETP)</w:t>
            </w:r>
          </w:p>
        </w:tc>
      </w:tr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May 2026</w:t>
            </w:r>
          </w:p>
        </w:tc>
      </w:tr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Confidential — Vendor Proposal</w:t>
            </w:r>
          </w:p>
        </w:tc>
      </w:tr>
    </w:tbl>
    <w:p>
      <w:r>
        <w:br w:type="page"/>
      </w:r>
    </w:p>
    <w:p>
      <w:pPr>
        <w:pStyle w:val="Heading1"/>
      </w:pPr>
      <w:r>
        <w:t>1. Purpose &amp; Scope</w:t>
      </w:r>
    </w:p>
    <w:p>
      <w:r>
        <w:rPr>
          <w:b w:val="0"/>
          <w:i w:val="0"/>
          <w:sz w:val="21"/>
        </w:rPr>
        <w:t>This document provides a clause-by-clause mapping of the Dubai Electronic Security Centre (DESC) Information Security Regulation version 3 (ISR v3) controls to the IRETP platform's implementation. It serves as the vendor's pre-VAPT self-assessment and supports the DESC compliance submission required before Phase 3 acceptance (RFP §10.2.1).</w:t>
      </w:r>
    </w:p>
    <w:p>
      <w:r>
        <w:rPr>
          <w:b/>
          <w:i w:val="0"/>
          <w:sz w:val="21"/>
        </w:rPr>
        <w:t>Status definitions:</w:t>
      </w:r>
    </w:p>
    <w:p>
      <w:pPr>
        <w:pStyle w:val="ListBullet"/>
      </w:pPr>
      <w:r>
        <w:rPr>
          <w:b/>
          <w:sz w:val="21"/>
        </w:rPr>
        <w:t xml:space="preserve">I: </w:t>
      </w:r>
      <w:r>
        <w:rPr>
          <w:sz w:val="21"/>
        </w:rPr>
        <w:t>Implemented — control is active in the codebase / hosting layer today.</w:t>
      </w:r>
    </w:p>
    <w:p>
      <w:pPr>
        <w:pStyle w:val="ListBullet"/>
      </w:pPr>
      <w:r>
        <w:rPr>
          <w:b/>
          <w:sz w:val="21"/>
        </w:rPr>
        <w:t xml:space="preserve">PI: </w:t>
      </w:r>
      <w:r>
        <w:rPr>
          <w:sz w:val="21"/>
        </w:rPr>
        <w:t>Partially Implemented — core control is in place; a process or configuration item is documented for completion in the operational runbook (Phase 1).</w:t>
      </w:r>
    </w:p>
    <w:p>
      <w:pPr>
        <w:pStyle w:val="ListBullet"/>
      </w:pPr>
      <w:r>
        <w:rPr>
          <w:b/>
          <w:sz w:val="21"/>
        </w:rPr>
        <w:t xml:space="preserve">P: </w:t>
      </w:r>
      <w:r>
        <w:rPr>
          <w:sz w:val="21"/>
        </w:rPr>
        <w:t>Planned — control will be fully in place before Phase 3 VAPT. Owner and due date tracked in the project risk register.</w:t>
      </w:r>
    </w:p>
    <w:p>
      <w:pPr>
        <w:pStyle w:val="Heading1"/>
      </w:pPr>
      <w:r>
        <w:t>2. Control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Domain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Implemented</w:t>
            </w:r>
          </w:p>
        </w:tc>
        <w:tc>
          <w:tcPr>
            <w:tcW w:type="dxa" w:w="113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Partial</w:t>
            </w:r>
          </w:p>
        </w:tc>
        <w:tc>
          <w:tcPr>
            <w:tcW w:type="dxa" w:w="113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Planned</w:t>
            </w:r>
          </w:p>
        </w:tc>
        <w:tc>
          <w:tcPr>
            <w:tcW w:type="dxa" w:w="113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Access Control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Asset Management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Business Continuity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Cryptography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HR Security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Incident Mgmt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Operations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28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Physical</w:t>
            </w:r>
          </w:p>
        </w:tc>
        <w:tc>
          <w:tcPr>
            <w:tcW w:type="dxa" w:w="141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</w:t>
            </w:r>
          </w:p>
        </w:tc>
      </w:tr>
    </w:tbl>
    <w:p/>
    <w:p>
      <w:pPr>
        <w:pStyle w:val="Heading1"/>
      </w:pPr>
      <w:r>
        <w:t>3. Detailed Control Mapping</w:t>
      </w:r>
    </w:p>
    <w:p>
      <w:pPr>
        <w:pStyle w:val="Heading2"/>
      </w:pPr>
      <w:r>
        <w:t>Domain: Governance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Information Security Policy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Security requirements documented in this proposal (§10). Policies enforced via AuthorizationPolicies, AuditLogService and rate limiter.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AuthorizationPolicies.cs / AuditLogService.cs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Roles &amp; Responsibilities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RBAC matrix (UserRoles + AuthorizationPolicies) assigns least-privilege roles: DldViewer, DldOperator, DldSupervisor, SystemAdministrator, RegisteredInvestor.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AuthorizationPolicies.cs / UserRole.cs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1.3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 Assessment Process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Risks identified during design; EWRS surfaces risk posture in real-time to DLD leadership. Annual risk review in support contract.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RiskEngineService.cs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1.4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Security Exception Management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FFF3CD"/>
          </w:tcPr>
          <w:p>
            <w:r>
              <w:rPr>
                <w:b/>
                <w:color w:val="9A6B00"/>
                <w:sz w:val="19"/>
              </w:rPr>
              <w:t>PI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Exceptions managed via AuditLog with timestamp + approver. Formal exception register process to be formalised in the operational runbook.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AuditLogService.cs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1.5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Third-party &amp; Vendor Risk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 provider UAE-residency requirement enforced at infrastructure level; all third-party libraries scanned (dotnet list package --vulnerable in CI); contractual security clauses with SMS/SMTP providers.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WebAPI/Program.cs / AdminAPI/Program.cs</w:t>
            </w:r>
          </w:p>
        </w:tc>
      </w:tr>
    </w:tbl>
    <w:p/>
    <w:p>
      <w:pPr>
        <w:pStyle w:val="Heading2"/>
      </w:pPr>
      <w:r>
        <w:t>Domain: Asset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Asset Inventory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Solution comprises 3 hosts (WebAPI, AdminAPI, Web), 1 SQL DB, 1 Redis, 1 OneLake workspace, 1 AI model endpoint, 1 SMTP relay, 1 SMS gateway. Infrastructure-as-code manifests enumerate all assets.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Infrastructure deployment manifests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Data Classification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Data classified as: Public (price/rental index, transactions), Internal (risk scores, escrow details, audit logs), Confidential (beneficial ownership, personal investor data). BeneficialOwner and ApplicationUser entities tagged accordingly.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Domain/Entities/* entity XML comments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2.3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Media &amp; Asset Disposal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FF3CD"/>
          </w:tcPr>
          <w:p>
            <w:r>
              <w:rPr>
                <w:b/>
                <w:color w:val="9A6B00"/>
                <w:sz w:val="19"/>
              </w:rPr>
              <w:t>PI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Database purge procedures and right-to-erasure workflow in place via account deletion endpoint; formal media-destruction policy for on-premises option in operational runbook.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AccountController.cs</w:t>
            </w:r>
          </w:p>
        </w:tc>
      </w:tr>
    </w:tbl>
    <w:p/>
    <w:p>
      <w:pPr>
        <w:pStyle w:val="Heading2"/>
      </w:pPr>
      <w:r>
        <w:t>Domain: HR Security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Pre-employment Screening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8D7DA"/>
          </w:tcPr>
          <w:p>
            <w:r>
              <w:rPr>
                <w:b/>
                <w:color w:val="8B0000"/>
                <w:sz w:val="19"/>
              </w:rPr>
              <w:t>P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Vendor staff background-check process documented in vendor qualification dossier (RFP §16). Completed before project start.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Vendor HR policy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Security Awareness Training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F8D7DA"/>
          </w:tcPr>
          <w:p>
            <w:r>
              <w:rPr>
                <w:b/>
                <w:color w:val="8B0000"/>
                <w:sz w:val="19"/>
              </w:rPr>
              <w:t>P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Mandatory security awareness training for all project staff and DLD platform administrators delivered in project kickoff.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Training schedule (P1 M1)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3.3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Disciplinary Process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Every privileged action is recorded in AuditLog with identity and timestamp, enabling accountability and disciplinary investigation.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AuditLogService.cs</w:t>
            </w:r>
          </w:p>
        </w:tc>
      </w:tr>
    </w:tbl>
    <w:p/>
    <w:p>
      <w:pPr>
        <w:pStyle w:val="Heading2"/>
      </w:pPr>
      <w:r>
        <w:t>Domain: Physical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Secure Areas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Option A/C: Azure UAE North datacentre physical security (ISO 27001 certified). Option B: DLD-approved DC physical controls. Administrative access via Azure Portal with MFA only.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Hosting design document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Equipment Security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All application tiers run in managed services (PaaS); no bare-metal managed by the vendor. Developer workstations protected by full-disk encryption + Defender for Endpoint.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Vendor workstation policy</w:t>
            </w:r>
          </w:p>
        </w:tc>
      </w:tr>
    </w:tbl>
    <w:p/>
    <w:p>
      <w:pPr>
        <w:pStyle w:val="Heading2"/>
      </w:pPr>
      <w:r>
        <w:t>Domain: Operations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Change Management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All changes to production deployed via CI/CD pipelines (GitHub Actions / Azure Pipelines) with peer-reviewed pull requests and staged environments. No direct production access.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CI/CD pipeline definitions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5.2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Capacity Management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Azure App Service auto-scale rules and Redis Premium tier elasticity. Capacity reviewed against OpenTelemetry metrics monthly.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WebAPI/AdminAPI App Service config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Malware Protection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Microsoft Defender for Cloud enabled on all Azure resources. Dependency scanning in CI (dotnet list package --vulnerable). Container images scanned before push.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Azure Defender / CI pipeline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5.4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Backup &amp; Recovery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SQL geo-redundant backups (35-day retention); Redis persistence (AOF); OneLake recycle-bin policy. RPO ≤ 4 h; RTO ≤ 8 h.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Hosting design / Azure Backup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5.5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Logging &amp; Monitoring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Structured logging via Serilog sinks to Seq / Azure Monitor. OpenTelemetry traces + metrics to OTLP. All privileged events in AuditLog (queryable from Admin/AuditLogs.razor). Alerts on anomalies.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AuditLogService.cs / OpenTelemetry config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5.6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Vulnerability Management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OWASP ZAP scripted scans on every deployment to staging. DESC-authorised VAPT before Phase 3 go-live. Monthly dependency scan report.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CI/CD pipeline / VAPT schedule</w:t>
            </w:r>
          </w:p>
        </w:tc>
      </w:tr>
    </w:tbl>
    <w:p/>
    <w:p>
      <w:pPr>
        <w:pStyle w:val="Heading2"/>
      </w:pPr>
      <w:r>
        <w:t>Domain: Access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Access Control Policy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Least-privilege RBAC via AuthorizationPolicies (internal.read, internal.edit, internal.manage, internal.admin, external.investor). No shared accounts; each user has a named ApplicationUser identity.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AuthorizationPolicies.cs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User Registration &amp; Provisioning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User registration via Auth/Register.razor with email verification. Role assignment by SystemAdministrator only via UserAdminController.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UserAdminController.cs / Register.razor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Privileged Access Management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SystemAdmin policy restricts to SystemAdministrator role; Hangfire dashboard read-only for admin; AdminAPI not reachable from the public internet (private network or VPN).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AdminAPI network config / AuthorizationPolicies.cs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JWT bearer (HS256, zero clock-skew) + federated OIDC (UAE Pass / Azure AD / Keycloak). Refresh-token rotation. CAPTCHA on registration and password reset.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WebAPI/Program.cs / CaptchaController.cs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6.5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Session Management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Short-lived access tokens (configurable TTL); sliding refresh tokens with family rotation; logout revokes the token family.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RefreshToken entity / AuthController.cs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6.6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Network Access Control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AdminAPI bound to private VNET only (not reachable from public internet). WebAPI behind WAF (OWASP ruleset). TLS 1.2+ enforced everywhere. CORS allow-list (not wildcard in production).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WebAPI/Program.cs (CORS) / hosting network config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6.7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Remote Access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FF3CD"/>
          </w:tcPr>
          <w:p>
            <w:r>
              <w:rPr>
                <w:b/>
                <w:color w:val="9A6B00"/>
                <w:sz w:val="19"/>
              </w:rPr>
              <w:t>PI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Developer access to production via Azure Bastion / jump-box with MFA; no direct SSH from developer laptops. Formal remote-access policy in operational runbook.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Hosting design / operational runbook (P1)</w:t>
            </w:r>
          </w:p>
        </w:tc>
      </w:tr>
    </w:tbl>
    <w:p/>
    <w:p>
      <w:pPr>
        <w:pStyle w:val="Heading2"/>
      </w:pPr>
      <w:r>
        <w:t>Domain: Cryptography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Cryptographic Controls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JWT signed with HMAC-SHA256; passwords hashed with ASP.NET Core Identity (PBKDF2 + salt); HMAC-SHA256 unsubscribe tokens; TLS 1.2+ for all transport; Azure Key Vault for secrets in production.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WebAPI/Program.cs / HmacUnsubscribeTokenService.cs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7.2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Key Management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JWT signing key sourced from Azure Key Vault (IOptionsMonitor); key rotation supported without redeployment. Secrets never in appsettings.json in production.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WebAPI/Program.cs / Key Vault binding</w:t>
            </w:r>
          </w:p>
        </w:tc>
      </w:tr>
    </w:tbl>
    <w:p/>
    <w:p>
      <w:pPr>
        <w:pStyle w:val="Heading2"/>
      </w:pPr>
      <w:r>
        <w:t>Domain: Incident Mgmt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Incident Response Procedure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EWRS L1–L4 escalation framework mirrors incident severity; Sev 1/2 alerting via AlertEscalationService. Playbooks.razor provides DLD staff step-by-step SOPs.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AlertEscalationService.cs / Admin/Playbooks.razor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Reporting &amp; Learning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AuditLog records every security event; monthly support report includes incident register, root-cause summaries and recommended improvements.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AuditLogService.cs / support SLA §15.3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Evidence Preservation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AuditLog is append-only; EscrowTransaction is immutable. Logs retained for 12 months on the logging sink.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AuditLogService.cs / EscrowTransaction entity</w:t>
            </w:r>
          </w:p>
        </w:tc>
      </w:tr>
    </w:tbl>
    <w:p/>
    <w:p>
      <w:pPr>
        <w:pStyle w:val="Heading2"/>
      </w:pPr>
      <w:r>
        <w:t>Domain: Business Continuity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9.1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BCM Planning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RTO ≤ 8 h, RPO ≤ 4 h. Azure cross-AZ replicas for SQL and Redis. OneLake geo-redundancy. App Service slot-swap deployment for zero downtime releases.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Hosting design / Azure SLA documentation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9.2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DR Testing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F8D7DA"/>
          </w:tcPr>
          <w:p>
            <w:r>
              <w:rPr>
                <w:b/>
                <w:color w:val="8B0000"/>
                <w:sz w:val="19"/>
              </w:rPr>
              <w:t>P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Annual DR drill scheduled in Q4 of each operating year. Results reported to DLD in the monthly support pack.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DR test plan (to be provided with operational runbook)</w:t>
            </w:r>
          </w:p>
        </w:tc>
      </w:tr>
    </w:tbl>
    <w:p/>
    <w:p>
      <w:pPr>
        <w:pStyle w:val="Heading2"/>
      </w:pPr>
      <w:r>
        <w:t>Domain: Compliance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Control Title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IRETP Implementation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UAE Legal &amp; Regulatory Compliance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UAE Federal PDPL honoured through UserConsentService (opt-in/out), minimum-data design, erasure workflow. All data and AI inference remain in the UAE.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UserConsentService.cs / hosting design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Intellectual Property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All platform IP vests in DLD on payment (RFP §19.1). Open-source components are permissively licensed (MIT/Apache 2). License SBOM generated by CI.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Licence SBOM / Financial Proposal §19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10.3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Privacy &amp; Personal Data Protection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D4EDDA"/>
          </w:tcPr>
          <w:p>
            <w:r>
              <w:rPr>
                <w:b/>
                <w:color w:val="1E7E34"/>
                <w:sz w:val="19"/>
              </w:rPr>
              <w:t>I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BeneficialOwner and investor personal data tagged. Every read by an internal user logged with reason code. Right-to-erasure endpoint exposed on AccountController.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UserConsentService.cs / AccountController.cs / AuditLogService.cs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10.4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DESC Compliance Reporting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  <w:shd w:val="clear" w:color="auto" w:fill="F8D7DA"/>
          </w:tcPr>
          <w:p>
            <w:r>
              <w:rPr>
                <w:b/>
                <w:color w:val="8B0000"/>
                <w:sz w:val="19"/>
              </w:rPr>
              <w:t>P</w:t>
            </w:r>
          </w:p>
        </w:tc>
        <w:tc>
          <w:tcPr>
            <w:tcW w:type="dxa" w:w="34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DESC ISR v3 compliance self-assessment submitted with proposal (this document). Annual external audit scheduled in operating year.</w:t>
            </w:r>
          </w:p>
        </w:tc>
        <w:tc>
          <w:tcPr>
            <w:tcW w:type="dxa" w:w="22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This document / DESC audit schedule</w:t>
            </w:r>
          </w:p>
        </w:tc>
      </w:tr>
    </w:tbl>
    <w:p/>
    <w:p>
      <w:pPr>
        <w:pStyle w:val="Heading1"/>
      </w:pPr>
      <w:r>
        <w:t>4. Residual Risks &amp; Remediation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Risk ID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Risk Description</w:t>
            </w:r>
          </w:p>
        </w:tc>
        <w:tc>
          <w:tcPr>
            <w:tcW w:type="dxa" w:w="181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113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3572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19"/>
              </w:rPr>
              <w:t>Remediation</w:t>
            </w:r>
          </w:p>
        </w:tc>
      </w:tr>
      <w:tr>
        <w:tc>
          <w:tcPr>
            <w:tcW w:type="dxa" w:w="85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R-1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Partially Implemented controls</w:t>
            </w:r>
          </w:p>
        </w:tc>
        <w:tc>
          <w:tcPr>
            <w:tcW w:type="dxa" w:w="181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 controls (1.4, 2.3, 6.7) marked PI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57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Operational runbook and formal process completed by Phase 1 M1</w:t>
            </w:r>
          </w:p>
        </w:tc>
      </w:tr>
      <w:tr>
        <w:tc>
          <w:tcPr>
            <w:tcW w:type="dxa" w:w="85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R-2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Planned controls pre-VAPT</w:t>
            </w:r>
          </w:p>
        </w:tc>
        <w:tc>
          <w:tcPr>
            <w:tcW w:type="dxa" w:w="181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 controls (3.1, 3.2, 9.2) marked P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57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Completed before Phase 3 VAPT; tracked in risk register</w:t>
            </w:r>
          </w:p>
        </w:tc>
      </w:tr>
      <w:tr>
        <w:tc>
          <w:tcPr>
            <w:tcW w:type="dxa" w:w="85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R-3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 model provider UAE residency</w:t>
            </w:r>
          </w:p>
        </w:tc>
        <w:tc>
          <w:tcPr>
            <w:tcW w:type="dxa" w:w="181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Depends on provider UAE endpoint availability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57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Provider contractually bound to UAE inference; UAE-hosted open-source fallback (Llama/Mistral) available</w:t>
            </w:r>
          </w:p>
        </w:tc>
      </w:tr>
    </w:tbl>
    <w:p/>
    <w:p>
      <w:pPr>
        <w:pStyle w:val="Heading1"/>
      </w:pPr>
      <w:r>
        <w:t>5. Acceptance Statement</w:t>
      </w:r>
    </w:p>
    <w:p>
      <w:r>
        <w:rPr>
          <w:b w:val="0"/>
          <w:i w:val="0"/>
          <w:sz w:val="21"/>
        </w:rPr>
        <w:t>The vendor certifies that this ISR v3 self-assessment is accurate as of the proposal submission date and commits to resolving all Partial and Planned controls before the Phase 3 DESC-authorised VAPT engagement. The vendor will engage a DESC-approved penetration testing firm and submit the final VAPT report as a Phase 3 acceptance deliverable.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