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28"/>
        </w:rPr>
        <w:t>Dubai Land Department</w:t>
      </w:r>
    </w:p>
    <w:p>
      <w:pPr>
        <w:jc w:val="center"/>
      </w:pPr>
      <w:r>
        <w:rPr>
          <w:color w:val="444444"/>
          <w:sz w:val="22"/>
        </w:rPr>
        <w:t>RFP No. DLD-IRETP-2026-001</w:t>
      </w:r>
    </w:p>
    <w:p/>
    <w:p/>
    <w:p/>
    <w:p>
      <w:pPr>
        <w:jc w:val="center"/>
      </w:pPr>
      <w:r>
        <w:rPr>
          <w:b/>
          <w:color w:val="0B3D91"/>
          <w:sz w:val="52"/>
        </w:rPr>
        <w:t>Financial Proposal</w:t>
      </w:r>
    </w:p>
    <w:p>
      <w:pPr>
        <w:jc w:val="center"/>
      </w:pPr>
      <w:r>
        <w:rPr>
          <w:i/>
          <w:color w:val="444444"/>
          <w:sz w:val="26"/>
        </w:rPr>
        <w:t>Integrated Real Estate Transparency Platform (IRETP) — RFP DLD-IRETP-2026-001 Response, Volume 3 of 3</w:t>
      </w:r>
    </w:p>
    <w:p/>
    <w:p/>
    <w:p/>
    <w:p/>
    <w:p/>
    <w:p/>
    <w:tbl>
      <w:tblPr>
        <w:tblW w:type="auto" w:w="0"/>
        <w:tblLayout w:type="fixed"/>
        <w:tblLook w:firstColumn="1" w:firstRow="1" w:lastColumn="0" w:lastRow="0" w:noHBand="0" w:noVBand="1" w:val="04A0"/>
      </w:tblPr>
      <w:tblGrid>
        <w:gridCol w:w="4873"/>
        <w:gridCol w:w="4873"/>
      </w:tblGrid>
      <w:tr>
        <w:tc>
          <w:tcPr>
            <w:tcW w:type="dxa" w:w="3118"/>
            <w:tcBorders>
              <w:top w:val="single" w:sz="6" w:color="BFBFBF"/>
              <w:left w:val="single" w:sz="6" w:color="BFBFBF"/>
              <w:bottom w:val="single" w:sz="6" w:color="BFBFBF"/>
              <w:right w:val="single" w:sz="6" w:color="BFBFBF"/>
            </w:tcBorders>
            <w:shd w:val="clear" w:color="auto" w:fill="E6EEF8"/>
          </w:tcPr>
          <w:p>
            <w:r>
              <w:rPr>
                <w:b/>
                <w:sz w:val="20"/>
              </w:rPr>
              <w:t>Programme</w:t>
            </w:r>
          </w:p>
        </w:tc>
        <w:tc>
          <w:tcPr>
            <w:tcW w:type="dxa" w:w="6236"/>
            <w:tcBorders>
              <w:top w:val="single" w:sz="6" w:color="BFBFBF"/>
              <w:left w:val="single" w:sz="6" w:color="BFBFBF"/>
              <w:bottom w:val="single" w:sz="6" w:color="BFBFBF"/>
              <w:right w:val="single" w:sz="6" w:color="BFBFBF"/>
            </w:tcBorders>
          </w:tcPr>
          <w:p>
            <w:r>
              <w:rPr>
                <w:sz w:val="20"/>
              </w:rPr>
              <w:t>Integrated Real Estate Transparency Platform (IRETP)</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Document Date</w:t>
            </w:r>
          </w:p>
        </w:tc>
        <w:tc>
          <w:tcPr>
            <w:tcW w:type="dxa" w:w="6236"/>
            <w:tcBorders>
              <w:top w:val="single" w:sz="6" w:color="BFBFBF"/>
              <w:left w:val="single" w:sz="6" w:color="BFBFBF"/>
              <w:bottom w:val="single" w:sz="6" w:color="BFBFBF"/>
              <w:right w:val="single" w:sz="6" w:color="BFBFBF"/>
            </w:tcBorders>
          </w:tcPr>
          <w:p>
            <w:r>
              <w:rPr>
                <w:sz w:val="20"/>
              </w:rPr>
              <w:t>May 2026</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20"/>
              </w:rPr>
              <w:t>Classification</w:t>
            </w:r>
          </w:p>
        </w:tc>
        <w:tc>
          <w:tcPr>
            <w:tcW w:type="dxa" w:w="6236"/>
            <w:tcBorders>
              <w:top w:val="single" w:sz="6" w:color="BFBFBF"/>
              <w:left w:val="single" w:sz="6" w:color="BFBFBF"/>
              <w:bottom w:val="single" w:sz="6" w:color="BFBFBF"/>
              <w:right w:val="single" w:sz="6" w:color="BFBFBF"/>
            </w:tcBorders>
          </w:tcPr>
          <w:p>
            <w:r>
              <w:rPr>
                <w:sz w:val="20"/>
              </w:rPr>
              <w:t>Confidential — Vendor Proposal</w:t>
            </w:r>
          </w:p>
        </w:tc>
      </w:tr>
    </w:tbl>
    <w:p>
      <w:r>
        <w:br w:type="page"/>
      </w:r>
    </w:p>
    <w:p>
      <w:pPr>
        <w:pStyle w:val="Heading1"/>
      </w:pPr>
      <w:r>
        <w:t>1. Preamble &amp; Disclaimer</w:t>
      </w:r>
    </w:p>
    <w:p>
      <w:r>
        <w:rPr>
          <w:b w:val="0"/>
          <w:i w:val="0"/>
          <w:sz w:val="21"/>
        </w:rPr>
        <w:t>All costs in this document are indicative ranges based on current market rates (UAE region, May 2026). Final binding figures will be provided in the vendor's official bid submission. All amounts are in UAE Dirhams (AED) exclusive of VAT. VAT at 5 % will be added to the final invoices. The cost structure follows the format mandated by RFP §14.</w:t>
      </w:r>
    </w:p>
    <w:p>
      <w:pPr>
        <w:pStyle w:val="Heading1"/>
      </w:pPr>
      <w:r>
        <w:t>2. Executive Cost Summary</w:t>
      </w:r>
    </w:p>
    <w:tbl>
      <w:tblPr>
        <w:tblW w:type="auto" w:w="0"/>
        <w:tblLayout w:type="fixed"/>
        <w:tblLook w:firstColumn="1" w:firstRow="1" w:lastColumn="0" w:lastRow="0" w:noHBand="0" w:noVBand="1" w:val="04A0"/>
      </w:tblPr>
      <w:tblGrid>
        <w:gridCol w:w="4873"/>
        <w:gridCol w:w="4873"/>
      </w:tblGrid>
      <w:tr>
        <w:tc>
          <w:tcPr>
            <w:tcW w:type="dxa" w:w="5669"/>
            <w:shd w:val="clear" w:color="auto" w:fill="0B3D91"/>
            <w:tcBorders>
              <w:top w:val="single" w:sz="6" w:color="BFBFBF"/>
              <w:left w:val="single" w:sz="6" w:color="BFBFBF"/>
              <w:bottom w:val="single" w:sz="6" w:color="BFBFBF"/>
              <w:right w:val="single" w:sz="6" w:color="BFBFBF"/>
            </w:tcBorders>
          </w:tcPr>
          <w:p>
            <w:r>
              <w:rPr>
                <w:b/>
                <w:color w:val="FFFFFF"/>
                <w:sz w:val="19"/>
              </w:rPr>
              <w:t>Cost Category</w:t>
            </w:r>
          </w:p>
        </w:tc>
        <w:tc>
          <w:tcPr>
            <w:tcW w:type="dxa" w:w="3685"/>
            <w:shd w:val="clear" w:color="auto" w:fill="0B3D91"/>
            <w:tcBorders>
              <w:top w:val="single" w:sz="6" w:color="BFBFBF"/>
              <w:left w:val="single" w:sz="6" w:color="BFBFBF"/>
              <w:bottom w:val="single" w:sz="6" w:color="BFBFBF"/>
              <w:right w:val="single" w:sz="6" w:color="BFBFBF"/>
            </w:tcBorders>
          </w:tcPr>
          <w:p>
            <w:r>
              <w:rPr>
                <w:b/>
                <w:color w:val="FFFFFF"/>
                <w:sz w:val="19"/>
              </w:rPr>
              <w:t>Amount (AED)</w:t>
            </w:r>
          </w:p>
        </w:tc>
      </w:tr>
      <w:tr>
        <w:tc>
          <w:tcPr>
            <w:tcW w:type="dxa" w:w="5669"/>
            <w:tcBorders>
              <w:top w:val="single" w:sz="6" w:color="BFBFBF"/>
              <w:left w:val="single" w:sz="6" w:color="BFBFBF"/>
              <w:bottom w:val="single" w:sz="6" w:color="BFBFBF"/>
              <w:right w:val="single" w:sz="6" w:color="BFBFBF"/>
            </w:tcBorders>
          </w:tcPr>
          <w:p>
            <w:r>
              <w:rPr>
                <w:sz w:val="19"/>
              </w:rPr>
              <w:t>Infrastructure CAPEX (Option A — Azure UAE North)</w:t>
            </w:r>
          </w:p>
        </w:tc>
        <w:tc>
          <w:tcPr>
            <w:tcW w:type="dxa" w:w="3685"/>
            <w:tcBorders>
              <w:top w:val="single" w:sz="6" w:color="BFBFBF"/>
              <w:left w:val="single" w:sz="6" w:color="BFBFBF"/>
              <w:bottom w:val="single" w:sz="6" w:color="BFBFBF"/>
              <w:right w:val="single" w:sz="6" w:color="BFBFBF"/>
            </w:tcBorders>
          </w:tcPr>
          <w:p>
            <w:r>
              <w:rPr>
                <w:sz w:val="19"/>
              </w:rPr>
              <w:t>AED 335,500</w:t>
            </w:r>
          </w:p>
        </w:tc>
      </w:tr>
      <w:tr>
        <w:tc>
          <w:tcPr>
            <w:tcW w:type="dxa" w:w="5669"/>
            <w:tcBorders>
              <w:top w:val="single" w:sz="6" w:color="BFBFBF"/>
              <w:left w:val="single" w:sz="6" w:color="BFBFBF"/>
              <w:bottom w:val="single" w:sz="6" w:color="BFBFBF"/>
              <w:right w:val="single" w:sz="6" w:color="BFBFBF"/>
            </w:tcBorders>
            <w:shd w:val="clear" w:color="auto" w:fill="F5F8FD"/>
          </w:tcPr>
          <w:p>
            <w:r>
              <w:rPr>
                <w:sz w:val="19"/>
              </w:rPr>
              <w:t>Software Licences CAPEX (first year)</w:t>
            </w:r>
          </w:p>
        </w:tc>
        <w:tc>
          <w:tcPr>
            <w:tcW w:type="dxa" w:w="3685"/>
            <w:tcBorders>
              <w:top w:val="single" w:sz="6" w:color="BFBFBF"/>
              <w:left w:val="single" w:sz="6" w:color="BFBFBF"/>
              <w:bottom w:val="single" w:sz="6" w:color="BFBFBF"/>
              <w:right w:val="single" w:sz="6" w:color="BFBFBF"/>
            </w:tcBorders>
            <w:shd w:val="clear" w:color="auto" w:fill="F5F8FD"/>
          </w:tcPr>
          <w:p>
            <w:r>
              <w:rPr>
                <w:sz w:val="19"/>
              </w:rPr>
              <w:t>AED 235,200</w:t>
            </w:r>
          </w:p>
        </w:tc>
      </w:tr>
      <w:tr>
        <w:tc>
          <w:tcPr>
            <w:tcW w:type="dxa" w:w="5669"/>
            <w:tcBorders>
              <w:top w:val="single" w:sz="6" w:color="BFBFBF"/>
              <w:left w:val="single" w:sz="6" w:color="BFBFBF"/>
              <w:bottom w:val="single" w:sz="6" w:color="BFBFBF"/>
              <w:right w:val="single" w:sz="6" w:color="BFBFBF"/>
            </w:tcBorders>
          </w:tcPr>
          <w:p>
            <w:r>
              <w:rPr>
                <w:sz w:val="19"/>
              </w:rPr>
              <w:t>Application Development CAPEX (all phases)</w:t>
            </w:r>
          </w:p>
        </w:tc>
        <w:tc>
          <w:tcPr>
            <w:tcW w:type="dxa" w:w="3685"/>
            <w:tcBorders>
              <w:top w:val="single" w:sz="6" w:color="BFBFBF"/>
              <w:left w:val="single" w:sz="6" w:color="BFBFBF"/>
              <w:bottom w:val="single" w:sz="6" w:color="BFBFBF"/>
              <w:right w:val="single" w:sz="6" w:color="BFBFBF"/>
            </w:tcBorders>
          </w:tcPr>
          <w:p>
            <w:r>
              <w:rPr>
                <w:sz w:val="19"/>
              </w:rPr>
              <w:t>AED 2,007,000</w:t>
            </w:r>
          </w:p>
        </w:tc>
      </w:tr>
      <w:tr>
        <w:tc>
          <w:tcPr>
            <w:tcW w:type="dxa" w:w="5669"/>
            <w:tcBorders>
              <w:top w:val="single" w:sz="6" w:color="BFBFBF"/>
              <w:left w:val="single" w:sz="6" w:color="BFBFBF"/>
              <w:bottom w:val="single" w:sz="6" w:color="BFBFBF"/>
              <w:right w:val="single" w:sz="6" w:color="BFBFBF"/>
            </w:tcBorders>
            <w:shd w:val="clear" w:color="auto" w:fill="E6EEF8"/>
          </w:tcPr>
          <w:p>
            <w:r>
              <w:rPr>
                <w:b/>
                <w:sz w:val="19"/>
              </w:rPr>
              <w:t>TOTAL ONE-TIME CAPEX</w:t>
            </w:r>
          </w:p>
        </w:tc>
        <w:tc>
          <w:tcPr>
            <w:tcW w:type="dxa" w:w="3685"/>
            <w:tcBorders>
              <w:top w:val="single" w:sz="6" w:color="BFBFBF"/>
              <w:left w:val="single" w:sz="6" w:color="BFBFBF"/>
              <w:bottom w:val="single" w:sz="6" w:color="BFBFBF"/>
              <w:right w:val="single" w:sz="6" w:color="BFBFBF"/>
            </w:tcBorders>
            <w:shd w:val="clear" w:color="auto" w:fill="E6EEF8"/>
          </w:tcPr>
          <w:p>
            <w:r>
              <w:rPr>
                <w:b/>
                <w:sz w:val="19"/>
              </w:rPr>
              <w:t>AED 2,577,700</w:t>
            </w:r>
          </w:p>
        </w:tc>
      </w:tr>
      <w:tr>
        <w:tc>
          <w:tcPr>
            <w:tcW w:type="dxa" w:w="5669"/>
            <w:tcBorders>
              <w:top w:val="single" w:sz="6" w:color="BFBFBF"/>
              <w:left w:val="single" w:sz="6" w:color="BFBFBF"/>
              <w:bottom w:val="single" w:sz="6" w:color="BFBFBF"/>
              <w:right w:val="single" w:sz="6" w:color="BFBFBF"/>
            </w:tcBorders>
          </w:tcPr>
          <w:p>
            <w:r>
              <w:rPr>
                <w:sz w:val="19"/>
              </w:rPr>
              <w:t>Annual OPEX (Option A — Azure UAE North)</w:t>
            </w:r>
          </w:p>
        </w:tc>
        <w:tc>
          <w:tcPr>
            <w:tcW w:type="dxa" w:w="3685"/>
            <w:tcBorders>
              <w:top w:val="single" w:sz="6" w:color="BFBFBF"/>
              <w:left w:val="single" w:sz="6" w:color="BFBFBF"/>
              <w:bottom w:val="single" w:sz="6" w:color="BFBFBF"/>
              <w:right w:val="single" w:sz="6" w:color="BFBFBF"/>
            </w:tcBorders>
          </w:tcPr>
          <w:p>
            <w:r>
              <w:rPr>
                <w:sz w:val="19"/>
              </w:rPr>
              <w:t>AED 629,200</w:t>
            </w:r>
          </w:p>
        </w:tc>
      </w:tr>
      <w:tr>
        <w:tc>
          <w:tcPr>
            <w:tcW w:type="dxa" w:w="5669"/>
            <w:tcBorders>
              <w:top w:val="single" w:sz="6" w:color="BFBFBF"/>
              <w:left w:val="single" w:sz="6" w:color="BFBFBF"/>
              <w:bottom w:val="single" w:sz="6" w:color="BFBFBF"/>
              <w:right w:val="single" w:sz="6" w:color="BFBFBF"/>
            </w:tcBorders>
            <w:shd w:val="clear" w:color="auto" w:fill="F5F8FD"/>
          </w:tcPr>
          <w:p>
            <w:r>
              <w:rPr>
                <w:sz w:val="19"/>
              </w:rPr>
              <w:t>Annual OPEX (Option B — On-Premises)</w:t>
            </w:r>
          </w:p>
        </w:tc>
        <w:tc>
          <w:tcPr>
            <w:tcW w:type="dxa" w:w="3685"/>
            <w:tcBorders>
              <w:top w:val="single" w:sz="6" w:color="BFBFBF"/>
              <w:left w:val="single" w:sz="6" w:color="BFBFBF"/>
              <w:bottom w:val="single" w:sz="6" w:color="BFBFBF"/>
              <w:right w:val="single" w:sz="6" w:color="BFBFBF"/>
            </w:tcBorders>
            <w:shd w:val="clear" w:color="auto" w:fill="F5F8FD"/>
          </w:tcPr>
          <w:p>
            <w:r>
              <w:rPr>
                <w:sz w:val="19"/>
              </w:rPr>
              <w:t>AED 686,200</w:t>
            </w:r>
          </w:p>
        </w:tc>
      </w:tr>
      <w:tr>
        <w:tc>
          <w:tcPr>
            <w:tcW w:type="dxa" w:w="5669"/>
            <w:tcBorders>
              <w:top w:val="single" w:sz="6" w:color="BFBFBF"/>
              <w:left w:val="single" w:sz="6" w:color="BFBFBF"/>
              <w:bottom w:val="single" w:sz="6" w:color="BFBFBF"/>
              <w:right w:val="single" w:sz="6" w:color="BFBFBF"/>
            </w:tcBorders>
          </w:tcPr>
          <w:p>
            <w:r>
              <w:rPr>
                <w:sz w:val="19"/>
              </w:rPr>
              <w:t>Annual OPEX (Option C — Hybrid)</w:t>
            </w:r>
          </w:p>
        </w:tc>
        <w:tc>
          <w:tcPr>
            <w:tcW w:type="dxa" w:w="3685"/>
            <w:tcBorders>
              <w:top w:val="single" w:sz="6" w:color="BFBFBF"/>
              <w:left w:val="single" w:sz="6" w:color="BFBFBF"/>
              <w:bottom w:val="single" w:sz="6" w:color="BFBFBF"/>
              <w:right w:val="single" w:sz="6" w:color="BFBFBF"/>
            </w:tcBorders>
          </w:tcPr>
          <w:p>
            <w:r>
              <w:rPr>
                <w:sz w:val="19"/>
              </w:rPr>
              <w:t>AED 629,200</w:t>
            </w:r>
          </w:p>
        </w:tc>
      </w:tr>
    </w:tbl>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Hosting model selection</w:t>
            </w:r>
          </w:p>
          <w:p>
            <w:r>
              <w:rPr>
                <w:sz w:val="20"/>
              </w:rPr>
              <w:t>Infrastructure CAPEX and annual OPEX differ by hosting option. Option A (Azure UAE North) is recommended for fastest time-to-production, built-in BCDR and lowest CAPEX. Option B (On-Premises) has higher CAPEX but may be preferred for data-sovereignty assurance. Option C (Hybrid) balances both objectives. DLD selects the model at contract signature and the financial schedules below are adjusted accordingly.</w:t>
            </w:r>
          </w:p>
        </w:tc>
      </w:tr>
    </w:tbl>
    <w:p/>
    <w:p>
      <w:pPr>
        <w:pStyle w:val="Heading1"/>
      </w:pPr>
      <w:r>
        <w:t>3. Infrastructure &amp; Hosting Setup Costs (RFP §14.1 — One-Time CAPEX)</w:t>
      </w:r>
    </w:p>
    <w:p>
      <w:r>
        <w:rPr>
          <w:b w:val="0"/>
          <w:i w:val="0"/>
          <w:sz w:val="21"/>
        </w:rPr>
        <w:t>The table below covers all hosting components required to support the three application hosts (IRETP.WebAPI, IRETP.AdminAPI, IRETP.Web), the OneLake lakehouse, Redis cache, WAF, DR replication and security monitoring — across the three hosting options.</w:t>
      </w:r>
    </w:p>
    <w:tbl>
      <w:tblPr>
        <w:tblW w:type="auto" w:w="0"/>
        <w:tblLayout w:type="fixed"/>
        <w:tblLook w:firstColumn="1" w:firstRow="1" w:lastColumn="0" w:lastRow="0" w:noHBand="0" w:noVBand="1" w:val="04A0"/>
      </w:tblPr>
      <w:tblGrid>
        <w:gridCol w:w="2436"/>
        <w:gridCol w:w="2436"/>
        <w:gridCol w:w="2436"/>
        <w:gridCol w:w="2436"/>
      </w:tblGrid>
      <w:tr>
        <w:tc>
          <w:tcPr>
            <w:tcW w:type="dxa" w:w="4252"/>
            <w:shd w:val="clear" w:color="auto" w:fill="0B3D91"/>
            <w:tcBorders>
              <w:top w:val="single" w:sz="6" w:color="BFBFBF"/>
              <w:left w:val="single" w:sz="6" w:color="BFBFBF"/>
              <w:bottom w:val="single" w:sz="6" w:color="BFBFBF"/>
              <w:right w:val="single" w:sz="6" w:color="BFBFBF"/>
            </w:tcBorders>
          </w:tcPr>
          <w:p>
            <w:r>
              <w:rPr>
                <w:b/>
                <w:color w:val="FFFFFF"/>
                <w:sz w:val="19"/>
              </w:rPr>
              <w:t>Infrastructure Item</w:t>
            </w:r>
          </w:p>
        </w:tc>
        <w:tc>
          <w:tcPr>
            <w:tcW w:type="dxa" w:w="2154"/>
            <w:shd w:val="clear" w:color="auto" w:fill="0B3D91"/>
            <w:tcBorders>
              <w:top w:val="single" w:sz="6" w:color="BFBFBF"/>
              <w:left w:val="single" w:sz="6" w:color="BFBFBF"/>
              <w:bottom w:val="single" w:sz="6" w:color="BFBFBF"/>
              <w:right w:val="single" w:sz="6" w:color="BFBFBF"/>
            </w:tcBorders>
          </w:tcPr>
          <w:p>
            <w:r>
              <w:rPr>
                <w:b/>
                <w:color w:val="FFFFFF"/>
                <w:sz w:val="19"/>
              </w:rPr>
              <w:t>Option A: Azure UAE North</w:t>
            </w:r>
          </w:p>
        </w:tc>
        <w:tc>
          <w:tcPr>
            <w:tcW w:type="dxa" w:w="2154"/>
            <w:shd w:val="clear" w:color="auto" w:fill="0B3D91"/>
            <w:tcBorders>
              <w:top w:val="single" w:sz="6" w:color="BFBFBF"/>
              <w:left w:val="single" w:sz="6" w:color="BFBFBF"/>
              <w:bottom w:val="single" w:sz="6" w:color="BFBFBF"/>
              <w:right w:val="single" w:sz="6" w:color="BFBFBF"/>
            </w:tcBorders>
          </w:tcPr>
          <w:p>
            <w:r>
              <w:rPr>
                <w:b/>
                <w:color w:val="FFFFFF"/>
                <w:sz w:val="19"/>
              </w:rPr>
              <w:t>Option B: On-Premises</w:t>
            </w:r>
          </w:p>
        </w:tc>
        <w:tc>
          <w:tcPr>
            <w:tcW w:type="dxa" w:w="2154"/>
            <w:shd w:val="clear" w:color="auto" w:fill="0B3D91"/>
            <w:tcBorders>
              <w:top w:val="single" w:sz="6" w:color="BFBFBF"/>
              <w:left w:val="single" w:sz="6" w:color="BFBFBF"/>
              <w:bottom w:val="single" w:sz="6" w:color="BFBFBF"/>
              <w:right w:val="single" w:sz="6" w:color="BFBFBF"/>
            </w:tcBorders>
          </w:tcPr>
          <w:p>
            <w:r>
              <w:rPr>
                <w:b/>
                <w:color w:val="FFFFFF"/>
                <w:sz w:val="19"/>
              </w:rPr>
              <w:t>Option C: Hybrid</w:t>
            </w:r>
          </w:p>
        </w:tc>
      </w:tr>
      <w:tr>
        <w:tc>
          <w:tcPr>
            <w:tcW w:type="dxa" w:w="4252"/>
            <w:tcBorders>
              <w:top w:val="single" w:sz="6" w:color="BFBFBF"/>
              <w:left w:val="single" w:sz="6" w:color="BFBFBF"/>
              <w:bottom w:val="single" w:sz="6" w:color="BFBFBF"/>
              <w:right w:val="single" w:sz="6" w:color="BFBFBF"/>
            </w:tcBorders>
          </w:tcPr>
          <w:p>
            <w:r>
              <w:rPr>
                <w:sz w:val="19"/>
              </w:rPr>
              <w:t>Compute — App Service Plan / VMs (3 hosts)</w:t>
            </w:r>
          </w:p>
        </w:tc>
        <w:tc>
          <w:tcPr>
            <w:tcW w:type="dxa" w:w="2154"/>
            <w:tcBorders>
              <w:top w:val="single" w:sz="6" w:color="BFBFBF"/>
              <w:left w:val="single" w:sz="6" w:color="BFBFBF"/>
              <w:bottom w:val="single" w:sz="6" w:color="BFBFBF"/>
              <w:right w:val="single" w:sz="6" w:color="BFBFBF"/>
            </w:tcBorders>
          </w:tcPr>
          <w:p>
            <w:r>
              <w:rPr>
                <w:sz w:val="19"/>
              </w:rPr>
              <w:t>AED 48,000</w:t>
            </w:r>
          </w:p>
        </w:tc>
        <w:tc>
          <w:tcPr>
            <w:tcW w:type="dxa" w:w="2154"/>
            <w:tcBorders>
              <w:top w:val="single" w:sz="6" w:color="BFBFBF"/>
              <w:left w:val="single" w:sz="6" w:color="BFBFBF"/>
              <w:bottom w:val="single" w:sz="6" w:color="BFBFBF"/>
              <w:right w:val="single" w:sz="6" w:color="BFBFBF"/>
            </w:tcBorders>
          </w:tcPr>
          <w:p>
            <w:r>
              <w:rPr>
                <w:sz w:val="19"/>
              </w:rPr>
              <w:t>AED 320,000</w:t>
            </w:r>
          </w:p>
        </w:tc>
        <w:tc>
          <w:tcPr>
            <w:tcW w:type="dxa" w:w="2154"/>
            <w:tcBorders>
              <w:top w:val="single" w:sz="6" w:color="BFBFBF"/>
              <w:left w:val="single" w:sz="6" w:color="BFBFBF"/>
              <w:bottom w:val="single" w:sz="6" w:color="BFBFBF"/>
              <w:right w:val="single" w:sz="6" w:color="BFBFBF"/>
            </w:tcBorders>
          </w:tcPr>
          <w:p>
            <w:r>
              <w:rPr>
                <w:sz w:val="19"/>
              </w:rPr>
              <w:t>AED 48,000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SQL Server managed / licensed</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36,000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180,000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36,000</w:t>
            </w:r>
          </w:p>
        </w:tc>
      </w:tr>
      <w:tr>
        <w:tc>
          <w:tcPr>
            <w:tcW w:type="dxa" w:w="4252"/>
            <w:tcBorders>
              <w:top w:val="single" w:sz="6" w:color="BFBFBF"/>
              <w:left w:val="single" w:sz="6" w:color="BFBFBF"/>
              <w:bottom w:val="single" w:sz="6" w:color="BFBFBF"/>
              <w:right w:val="single" w:sz="6" w:color="BFBFBF"/>
            </w:tcBorders>
          </w:tcPr>
          <w:p>
            <w:r>
              <w:rPr>
                <w:sz w:val="19"/>
              </w:rPr>
              <w:t>Redis Cache cluster</w:t>
            </w:r>
          </w:p>
        </w:tc>
        <w:tc>
          <w:tcPr>
            <w:tcW w:type="dxa" w:w="2154"/>
            <w:tcBorders>
              <w:top w:val="single" w:sz="6" w:color="BFBFBF"/>
              <w:left w:val="single" w:sz="6" w:color="BFBFBF"/>
              <w:bottom w:val="single" w:sz="6" w:color="BFBFBF"/>
              <w:right w:val="single" w:sz="6" w:color="BFBFBF"/>
            </w:tcBorders>
          </w:tcPr>
          <w:p>
            <w:r>
              <w:rPr>
                <w:sz w:val="19"/>
              </w:rPr>
              <w:t>AED 18,000</w:t>
            </w:r>
          </w:p>
        </w:tc>
        <w:tc>
          <w:tcPr>
            <w:tcW w:type="dxa" w:w="2154"/>
            <w:tcBorders>
              <w:top w:val="single" w:sz="6" w:color="BFBFBF"/>
              <w:left w:val="single" w:sz="6" w:color="BFBFBF"/>
              <w:bottom w:val="single" w:sz="6" w:color="BFBFBF"/>
              <w:right w:val="single" w:sz="6" w:color="BFBFBF"/>
            </w:tcBorders>
          </w:tcPr>
          <w:p>
            <w:r>
              <w:rPr>
                <w:sz w:val="19"/>
              </w:rPr>
              <w:t>AED 85,000</w:t>
            </w:r>
          </w:p>
        </w:tc>
        <w:tc>
          <w:tcPr>
            <w:tcW w:type="dxa" w:w="2154"/>
            <w:tcBorders>
              <w:top w:val="single" w:sz="6" w:color="BFBFBF"/>
              <w:left w:val="single" w:sz="6" w:color="BFBFBF"/>
              <w:bottom w:val="single" w:sz="6" w:color="BFBFBF"/>
              <w:right w:val="single" w:sz="6" w:color="BFBFBF"/>
            </w:tcBorders>
          </w:tcPr>
          <w:p>
            <w:r>
              <w:rPr>
                <w:sz w:val="19"/>
              </w:rPr>
              <w:t>AED 18,000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Azure AI Search / vector index</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24,000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65,000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24,000</w:t>
            </w:r>
          </w:p>
        </w:tc>
      </w:tr>
      <w:tr>
        <w:tc>
          <w:tcPr>
            <w:tcW w:type="dxa" w:w="4252"/>
            <w:tcBorders>
              <w:top w:val="single" w:sz="6" w:color="BFBFBF"/>
              <w:left w:val="single" w:sz="6" w:color="BFBFBF"/>
              <w:bottom w:val="single" w:sz="6" w:color="BFBFBF"/>
              <w:right w:val="single" w:sz="6" w:color="BFBFBF"/>
            </w:tcBorders>
          </w:tcPr>
          <w:p>
            <w:r>
              <w:rPr>
                <w:sz w:val="19"/>
              </w:rPr>
              <w:t>Microsoft Fabric / OneLake lakehouse tier</w:t>
            </w:r>
          </w:p>
        </w:tc>
        <w:tc>
          <w:tcPr>
            <w:tcW w:type="dxa" w:w="2154"/>
            <w:tcBorders>
              <w:top w:val="single" w:sz="6" w:color="BFBFBF"/>
              <w:left w:val="single" w:sz="6" w:color="BFBFBF"/>
              <w:bottom w:val="single" w:sz="6" w:color="BFBFBF"/>
              <w:right w:val="single" w:sz="6" w:color="BFBFBF"/>
            </w:tcBorders>
          </w:tcPr>
          <w:p>
            <w:r>
              <w:rPr>
                <w:sz w:val="19"/>
              </w:rPr>
              <w:t>AED 42,000</w:t>
            </w:r>
          </w:p>
        </w:tc>
        <w:tc>
          <w:tcPr>
            <w:tcW w:type="dxa" w:w="2154"/>
            <w:tcBorders>
              <w:top w:val="single" w:sz="6" w:color="BFBFBF"/>
              <w:left w:val="single" w:sz="6" w:color="BFBFBF"/>
              <w:bottom w:val="single" w:sz="6" w:color="BFBFBF"/>
              <w:right w:val="single" w:sz="6" w:color="BFBFBF"/>
            </w:tcBorders>
          </w:tcPr>
          <w:p>
            <w:r>
              <w:rPr>
                <w:sz w:val="19"/>
              </w:rPr>
              <w:t>AED 200,000</w:t>
            </w:r>
          </w:p>
        </w:tc>
        <w:tc>
          <w:tcPr>
            <w:tcW w:type="dxa" w:w="2154"/>
            <w:tcBorders>
              <w:top w:val="single" w:sz="6" w:color="BFBFBF"/>
              <w:left w:val="single" w:sz="6" w:color="BFBFBF"/>
              <w:bottom w:val="single" w:sz="6" w:color="BFBFBF"/>
              <w:right w:val="single" w:sz="6" w:color="BFBFBF"/>
            </w:tcBorders>
          </w:tcPr>
          <w:p>
            <w:r>
              <w:rPr>
                <w:sz w:val="19"/>
              </w:rPr>
              <w:t>AED 42,000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Azure Blob Storage / on-prem NAS (assets/export)</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12,000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55,000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12,000</w:t>
            </w:r>
          </w:p>
        </w:tc>
      </w:tr>
      <w:tr>
        <w:tc>
          <w:tcPr>
            <w:tcW w:type="dxa" w:w="4252"/>
            <w:tcBorders>
              <w:top w:val="single" w:sz="6" w:color="BFBFBF"/>
              <w:left w:val="single" w:sz="6" w:color="BFBFBF"/>
              <w:bottom w:val="single" w:sz="6" w:color="BFBFBF"/>
              <w:right w:val="single" w:sz="6" w:color="BFBFBF"/>
            </w:tcBorders>
          </w:tcPr>
          <w:p>
            <w:r>
              <w:rPr>
                <w:sz w:val="19"/>
              </w:rPr>
              <w:t>WAF + Front Door / on-prem F5</w:t>
            </w:r>
          </w:p>
        </w:tc>
        <w:tc>
          <w:tcPr>
            <w:tcW w:type="dxa" w:w="2154"/>
            <w:tcBorders>
              <w:top w:val="single" w:sz="6" w:color="BFBFBF"/>
              <w:left w:val="single" w:sz="6" w:color="BFBFBF"/>
              <w:bottom w:val="single" w:sz="6" w:color="BFBFBF"/>
              <w:right w:val="single" w:sz="6" w:color="BFBFBF"/>
            </w:tcBorders>
          </w:tcPr>
          <w:p>
            <w:r>
              <w:rPr>
                <w:sz w:val="19"/>
              </w:rPr>
              <w:t>AED 30,000</w:t>
            </w:r>
          </w:p>
        </w:tc>
        <w:tc>
          <w:tcPr>
            <w:tcW w:type="dxa" w:w="2154"/>
            <w:tcBorders>
              <w:top w:val="single" w:sz="6" w:color="BFBFBF"/>
              <w:left w:val="single" w:sz="6" w:color="BFBFBF"/>
              <w:bottom w:val="single" w:sz="6" w:color="BFBFBF"/>
              <w:right w:val="single" w:sz="6" w:color="BFBFBF"/>
            </w:tcBorders>
          </w:tcPr>
          <w:p>
            <w:r>
              <w:rPr>
                <w:sz w:val="19"/>
              </w:rPr>
              <w:t>AED 140,000</w:t>
            </w:r>
          </w:p>
        </w:tc>
        <w:tc>
          <w:tcPr>
            <w:tcW w:type="dxa" w:w="2154"/>
            <w:tcBorders>
              <w:top w:val="single" w:sz="6" w:color="BFBFBF"/>
              <w:left w:val="single" w:sz="6" w:color="BFBFBF"/>
              <w:bottom w:val="single" w:sz="6" w:color="BFBFBF"/>
              <w:right w:val="single" w:sz="6" w:color="BFBFBF"/>
            </w:tcBorders>
          </w:tcPr>
          <w:p>
            <w:r>
              <w:rPr>
                <w:sz w:val="19"/>
              </w:rPr>
              <w:t>AED 30,000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CDN (public static assets)</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8,000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25,000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8,000</w:t>
            </w:r>
          </w:p>
        </w:tc>
      </w:tr>
      <w:tr>
        <w:tc>
          <w:tcPr>
            <w:tcW w:type="dxa" w:w="4252"/>
            <w:tcBorders>
              <w:top w:val="single" w:sz="6" w:color="BFBFBF"/>
              <w:left w:val="single" w:sz="6" w:color="BFBFBF"/>
              <w:bottom w:val="single" w:sz="6" w:color="BFBFBF"/>
              <w:right w:val="single" w:sz="6" w:color="BFBFBF"/>
            </w:tcBorders>
          </w:tcPr>
          <w:p>
            <w:r>
              <w:rPr>
                <w:sz w:val="19"/>
              </w:rPr>
              <w:t>Private endpoints / network config</w:t>
            </w:r>
          </w:p>
        </w:tc>
        <w:tc>
          <w:tcPr>
            <w:tcW w:type="dxa" w:w="2154"/>
            <w:tcBorders>
              <w:top w:val="single" w:sz="6" w:color="BFBFBF"/>
              <w:left w:val="single" w:sz="6" w:color="BFBFBF"/>
              <w:bottom w:val="single" w:sz="6" w:color="BFBFBF"/>
              <w:right w:val="single" w:sz="6" w:color="BFBFBF"/>
            </w:tcBorders>
          </w:tcPr>
          <w:p>
            <w:r>
              <w:rPr>
                <w:sz w:val="19"/>
              </w:rPr>
              <w:t>AED 14,000</w:t>
            </w:r>
          </w:p>
        </w:tc>
        <w:tc>
          <w:tcPr>
            <w:tcW w:type="dxa" w:w="2154"/>
            <w:tcBorders>
              <w:top w:val="single" w:sz="6" w:color="BFBFBF"/>
              <w:left w:val="single" w:sz="6" w:color="BFBFBF"/>
              <w:bottom w:val="single" w:sz="6" w:color="BFBFBF"/>
              <w:right w:val="single" w:sz="6" w:color="BFBFBF"/>
            </w:tcBorders>
          </w:tcPr>
          <w:p>
            <w:r>
              <w:rPr>
                <w:sz w:val="19"/>
              </w:rPr>
              <w:t>AED 60,000</w:t>
            </w:r>
          </w:p>
        </w:tc>
        <w:tc>
          <w:tcPr>
            <w:tcW w:type="dxa" w:w="2154"/>
            <w:tcBorders>
              <w:top w:val="single" w:sz="6" w:color="BFBFBF"/>
              <w:left w:val="single" w:sz="6" w:color="BFBFBF"/>
              <w:bottom w:val="single" w:sz="6" w:color="BFBFBF"/>
              <w:right w:val="single" w:sz="6" w:color="BFBFBF"/>
            </w:tcBorders>
          </w:tcPr>
          <w:p>
            <w:r>
              <w:rPr>
                <w:sz w:val="19"/>
              </w:rPr>
              <w:t>AED 14,000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DR / secondary-region replication (≤ 4 h RPO)</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28,000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180,000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28,000</w:t>
            </w:r>
          </w:p>
        </w:tc>
      </w:tr>
      <w:tr>
        <w:tc>
          <w:tcPr>
            <w:tcW w:type="dxa" w:w="4252"/>
            <w:tcBorders>
              <w:top w:val="single" w:sz="6" w:color="BFBFBF"/>
              <w:left w:val="single" w:sz="6" w:color="BFBFBF"/>
              <w:bottom w:val="single" w:sz="6" w:color="BFBFBF"/>
              <w:right w:val="single" w:sz="6" w:color="BFBFBF"/>
            </w:tcBorders>
          </w:tcPr>
          <w:p>
            <w:r>
              <w:rPr>
                <w:sz w:val="19"/>
              </w:rPr>
              <w:t>SSL certificates (wildcard, 3 yr)</w:t>
            </w:r>
          </w:p>
        </w:tc>
        <w:tc>
          <w:tcPr>
            <w:tcW w:type="dxa" w:w="2154"/>
            <w:tcBorders>
              <w:top w:val="single" w:sz="6" w:color="BFBFBF"/>
              <w:left w:val="single" w:sz="6" w:color="BFBFBF"/>
              <w:bottom w:val="single" w:sz="6" w:color="BFBFBF"/>
              <w:right w:val="single" w:sz="6" w:color="BFBFBF"/>
            </w:tcBorders>
          </w:tcPr>
          <w:p>
            <w:r>
              <w:rPr>
                <w:sz w:val="19"/>
              </w:rPr>
              <w:t>AED 4,500</w:t>
            </w:r>
          </w:p>
        </w:tc>
        <w:tc>
          <w:tcPr>
            <w:tcW w:type="dxa" w:w="2154"/>
            <w:tcBorders>
              <w:top w:val="single" w:sz="6" w:color="BFBFBF"/>
              <w:left w:val="single" w:sz="6" w:color="BFBFBF"/>
              <w:bottom w:val="single" w:sz="6" w:color="BFBFBF"/>
              <w:right w:val="single" w:sz="6" w:color="BFBFBF"/>
            </w:tcBorders>
          </w:tcPr>
          <w:p>
            <w:r>
              <w:rPr>
                <w:sz w:val="19"/>
              </w:rPr>
              <w:t>AED 4,500</w:t>
            </w:r>
          </w:p>
        </w:tc>
        <w:tc>
          <w:tcPr>
            <w:tcW w:type="dxa" w:w="2154"/>
            <w:tcBorders>
              <w:top w:val="single" w:sz="6" w:color="BFBFBF"/>
              <w:left w:val="single" w:sz="6" w:color="BFBFBF"/>
              <w:bottom w:val="single" w:sz="6" w:color="BFBFBF"/>
              <w:right w:val="single" w:sz="6" w:color="BFBFBF"/>
            </w:tcBorders>
          </w:tcPr>
          <w:p>
            <w:r>
              <w:rPr>
                <w:sz w:val="19"/>
              </w:rPr>
              <w:t>AED 4,500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Monitoring &amp; telemetry (Azure Monitor / Seq)</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16,000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45,000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16,000</w:t>
            </w:r>
          </w:p>
        </w:tc>
      </w:tr>
      <w:tr>
        <w:tc>
          <w:tcPr>
            <w:tcW w:type="dxa" w:w="4252"/>
            <w:tcBorders>
              <w:top w:val="single" w:sz="6" w:color="BFBFBF"/>
              <w:left w:val="single" w:sz="6" w:color="BFBFBF"/>
              <w:bottom w:val="single" w:sz="6" w:color="BFBFBF"/>
              <w:right w:val="single" w:sz="6" w:color="BFBFBF"/>
            </w:tcBorders>
          </w:tcPr>
          <w:p>
            <w:r>
              <w:rPr>
                <w:sz w:val="19"/>
              </w:rPr>
              <w:t>Initial security hardening &amp; penetration test</w:t>
            </w:r>
          </w:p>
        </w:tc>
        <w:tc>
          <w:tcPr>
            <w:tcW w:type="dxa" w:w="2154"/>
            <w:tcBorders>
              <w:top w:val="single" w:sz="6" w:color="BFBFBF"/>
              <w:left w:val="single" w:sz="6" w:color="BFBFBF"/>
              <w:bottom w:val="single" w:sz="6" w:color="BFBFBF"/>
              <w:right w:val="single" w:sz="6" w:color="BFBFBF"/>
            </w:tcBorders>
          </w:tcPr>
          <w:p>
            <w:r>
              <w:rPr>
                <w:sz w:val="19"/>
              </w:rPr>
              <w:t>AED 55,000</w:t>
            </w:r>
          </w:p>
        </w:tc>
        <w:tc>
          <w:tcPr>
            <w:tcW w:type="dxa" w:w="2154"/>
            <w:tcBorders>
              <w:top w:val="single" w:sz="6" w:color="BFBFBF"/>
              <w:left w:val="single" w:sz="6" w:color="BFBFBF"/>
              <w:bottom w:val="single" w:sz="6" w:color="BFBFBF"/>
              <w:right w:val="single" w:sz="6" w:color="BFBFBF"/>
            </w:tcBorders>
          </w:tcPr>
          <w:p>
            <w:r>
              <w:rPr>
                <w:sz w:val="19"/>
              </w:rPr>
              <w:t>AED 55,000</w:t>
            </w:r>
          </w:p>
        </w:tc>
        <w:tc>
          <w:tcPr>
            <w:tcW w:type="dxa" w:w="2154"/>
            <w:tcBorders>
              <w:top w:val="single" w:sz="6" w:color="BFBFBF"/>
              <w:left w:val="single" w:sz="6" w:color="BFBFBF"/>
              <w:bottom w:val="single" w:sz="6" w:color="BFBFBF"/>
              <w:right w:val="single" w:sz="6" w:color="BFBFBF"/>
            </w:tcBorders>
          </w:tcPr>
          <w:p>
            <w:r>
              <w:rPr>
                <w:sz w:val="19"/>
              </w:rPr>
              <w:t>AED 55,000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TOTAL INFRA CAPEX (indicative)</w:t>
            </w:r>
          </w:p>
        </w:tc>
        <w:tc>
          <w:tcPr>
            <w:tcW w:type="dxa" w:w="2154"/>
            <w:tcBorders>
              <w:top w:val="single" w:sz="6" w:color="BFBFBF"/>
              <w:left w:val="single" w:sz="6" w:color="BFBFBF"/>
              <w:bottom w:val="single" w:sz="6" w:color="BFBFBF"/>
              <w:right w:val="single" w:sz="6" w:color="BFBFBF"/>
            </w:tcBorders>
            <w:shd w:val="clear" w:color="auto" w:fill="E6EEF8"/>
          </w:tcPr>
          <w:p>
            <w:r>
              <w:rPr>
                <w:b/>
                <w:sz w:val="19"/>
              </w:rPr>
              <w:t>AED 335,500</w:t>
            </w:r>
          </w:p>
        </w:tc>
        <w:tc>
          <w:tcPr>
            <w:tcW w:type="dxa" w:w="2154"/>
            <w:tcBorders>
              <w:top w:val="single" w:sz="6" w:color="BFBFBF"/>
              <w:left w:val="single" w:sz="6" w:color="BFBFBF"/>
              <w:bottom w:val="single" w:sz="6" w:color="BFBFBF"/>
              <w:right w:val="single" w:sz="6" w:color="BFBFBF"/>
            </w:tcBorders>
            <w:shd w:val="clear" w:color="auto" w:fill="E6EEF8"/>
          </w:tcPr>
          <w:p>
            <w:r>
              <w:rPr>
                <w:b/>
                <w:sz w:val="19"/>
              </w:rPr>
              <w:t>AED 1,414,500</w:t>
            </w:r>
          </w:p>
        </w:tc>
        <w:tc>
          <w:tcPr>
            <w:tcW w:type="dxa" w:w="2154"/>
            <w:tcBorders>
              <w:top w:val="single" w:sz="6" w:color="BFBFBF"/>
              <w:left w:val="single" w:sz="6" w:color="BFBFBF"/>
              <w:bottom w:val="single" w:sz="6" w:color="BFBFBF"/>
              <w:right w:val="single" w:sz="6" w:color="BFBFBF"/>
            </w:tcBorders>
            <w:shd w:val="clear" w:color="auto" w:fill="E6EEF8"/>
          </w:tcPr>
          <w:p>
            <w:r>
              <w:rPr>
                <w:b/>
                <w:sz w:val="19"/>
              </w:rPr>
              <w:t>AED 335,500</w:t>
            </w:r>
          </w:p>
        </w:tc>
      </w:tr>
    </w:tbl>
    <w:p/>
    <w:p>
      <w:pPr>
        <w:pStyle w:val="Heading1"/>
      </w:pPr>
      <w:r>
        <w:t>4. Software Licences &amp; Subscriptions (RFP §14.2 — First Year)</w:t>
      </w:r>
    </w:p>
    <w:p>
      <w:r>
        <w:rPr>
          <w:b w:val="0"/>
          <w:i w:val="0"/>
          <w:sz w:val="21"/>
        </w:rPr>
        <w:t>Licences required for the platform's first year of operation. Open-source components (MIT/Apache 2) carry no licence cost. AI model API costs are estimated at current token pricing and will be adjusted at contract based on agreed usage tiers.</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3118"/>
            <w:shd w:val="clear" w:color="auto" w:fill="0B3D91"/>
            <w:tcBorders>
              <w:top w:val="single" w:sz="6" w:color="BFBFBF"/>
              <w:left w:val="single" w:sz="6" w:color="BFBFBF"/>
              <w:bottom w:val="single" w:sz="6" w:color="BFBFBF"/>
              <w:right w:val="single" w:sz="6" w:color="BFBFBF"/>
            </w:tcBorders>
          </w:tcPr>
          <w:p>
            <w:r>
              <w:rPr>
                <w:b/>
                <w:color w:val="FFFFFF"/>
                <w:sz w:val="19"/>
              </w:rPr>
              <w:t>Licence / Subscription</w:t>
            </w:r>
          </w:p>
        </w:tc>
        <w:tc>
          <w:tcPr>
            <w:tcW w:type="dxa" w:w="1701"/>
            <w:shd w:val="clear" w:color="auto" w:fill="0B3D91"/>
            <w:tcBorders>
              <w:top w:val="single" w:sz="6" w:color="BFBFBF"/>
              <w:left w:val="single" w:sz="6" w:color="BFBFBF"/>
              <w:bottom w:val="single" w:sz="6" w:color="BFBFBF"/>
              <w:right w:val="single" w:sz="6" w:color="BFBFBF"/>
            </w:tcBorders>
          </w:tcPr>
          <w:p>
            <w:r>
              <w:rPr>
                <w:b/>
                <w:color w:val="FFFFFF"/>
                <w:sz w:val="19"/>
              </w:rPr>
              <w:t>Vendor</w:t>
            </w:r>
          </w:p>
        </w:tc>
        <w:tc>
          <w:tcPr>
            <w:tcW w:type="dxa" w:w="1984"/>
            <w:shd w:val="clear" w:color="auto" w:fill="0B3D91"/>
            <w:tcBorders>
              <w:top w:val="single" w:sz="6" w:color="BFBFBF"/>
              <w:left w:val="single" w:sz="6" w:color="BFBFBF"/>
              <w:bottom w:val="single" w:sz="6" w:color="BFBFBF"/>
              <w:right w:val="single" w:sz="6" w:color="BFBFBF"/>
            </w:tcBorders>
          </w:tcPr>
          <w:p>
            <w:r>
              <w:rPr>
                <w:b/>
                <w:color w:val="FFFFFF"/>
                <w:sz w:val="19"/>
              </w:rPr>
              <w:t>Unit Cost (AED)</w:t>
            </w:r>
          </w:p>
        </w:tc>
        <w:tc>
          <w:tcPr>
            <w:tcW w:type="dxa" w:w="850"/>
            <w:shd w:val="clear" w:color="auto" w:fill="0B3D91"/>
            <w:tcBorders>
              <w:top w:val="single" w:sz="6" w:color="BFBFBF"/>
              <w:left w:val="single" w:sz="6" w:color="BFBFBF"/>
              <w:bottom w:val="single" w:sz="6" w:color="BFBFBF"/>
              <w:right w:val="single" w:sz="6" w:color="BFBFBF"/>
            </w:tcBorders>
          </w:tcPr>
          <w:p>
            <w:r>
              <w:rPr>
                <w:b/>
                <w:color w:val="FFFFFF"/>
                <w:sz w:val="19"/>
              </w:rPr>
              <w:t>Qty</w:t>
            </w:r>
          </w:p>
        </w:tc>
        <w:tc>
          <w:tcPr>
            <w:tcW w:type="dxa" w:w="2268"/>
            <w:shd w:val="clear" w:color="auto" w:fill="0B3D91"/>
            <w:tcBorders>
              <w:top w:val="single" w:sz="6" w:color="BFBFBF"/>
              <w:left w:val="single" w:sz="6" w:color="BFBFBF"/>
              <w:bottom w:val="single" w:sz="6" w:color="BFBFBF"/>
              <w:right w:val="single" w:sz="6" w:color="BFBFBF"/>
            </w:tcBorders>
          </w:tcPr>
          <w:p>
            <w:r>
              <w:rPr>
                <w:b/>
                <w:color w:val="FFFFFF"/>
                <w:sz w:val="19"/>
              </w:rPr>
              <w:t>Annual Cost (AED)</w:t>
            </w:r>
          </w:p>
        </w:tc>
      </w:tr>
      <w:tr>
        <w:tc>
          <w:tcPr>
            <w:tcW w:type="dxa" w:w="3118"/>
            <w:tcBorders>
              <w:top w:val="single" w:sz="6" w:color="BFBFBF"/>
              <w:left w:val="single" w:sz="6" w:color="BFBFBF"/>
              <w:bottom w:val="single" w:sz="6" w:color="BFBFBF"/>
              <w:right w:val="single" w:sz="6" w:color="BFBFBF"/>
            </w:tcBorders>
          </w:tcPr>
          <w:p>
            <w:r>
              <w:rPr>
                <w:sz w:val="19"/>
              </w:rPr>
              <w:t>.NET 8 runtime + ASP.NET Core</w:t>
            </w:r>
          </w:p>
        </w:tc>
        <w:tc>
          <w:tcPr>
            <w:tcW w:type="dxa" w:w="1701"/>
            <w:tcBorders>
              <w:top w:val="single" w:sz="6" w:color="BFBFBF"/>
              <w:left w:val="single" w:sz="6" w:color="BFBFBF"/>
              <w:bottom w:val="single" w:sz="6" w:color="BFBFBF"/>
              <w:right w:val="single" w:sz="6" w:color="BFBFBF"/>
            </w:tcBorders>
          </w:tcPr>
          <w:p>
            <w:r>
              <w:rPr>
                <w:sz w:val="19"/>
              </w:rPr>
              <w:t>Microsoft</w:t>
            </w:r>
          </w:p>
        </w:tc>
        <w:tc>
          <w:tcPr>
            <w:tcW w:type="dxa" w:w="1984"/>
            <w:tcBorders>
              <w:top w:val="single" w:sz="6" w:color="BFBFBF"/>
              <w:left w:val="single" w:sz="6" w:color="BFBFBF"/>
              <w:bottom w:val="single" w:sz="6" w:color="BFBFBF"/>
              <w:right w:val="single" w:sz="6" w:color="BFBFBF"/>
            </w:tcBorders>
          </w:tcPr>
          <w:p>
            <w:r>
              <w:rPr>
                <w:sz w:val="19"/>
              </w:rPr>
              <w:t>Open-source / included</w:t>
            </w:r>
          </w:p>
        </w:tc>
        <w:tc>
          <w:tcPr>
            <w:tcW w:type="dxa" w:w="850"/>
            <w:tcBorders>
              <w:top w:val="single" w:sz="6" w:color="BFBFBF"/>
              <w:left w:val="single" w:sz="6" w:color="BFBFBF"/>
              <w:bottom w:val="single" w:sz="6" w:color="BFBFBF"/>
              <w:right w:val="single" w:sz="6" w:color="BFBFBF"/>
            </w:tcBorders>
          </w:tcPr>
          <w:p>
            <w:r>
              <w:rPr>
                <w:sz w:val="19"/>
              </w:rPr>
              <w:t>—</w:t>
            </w:r>
          </w:p>
        </w:tc>
        <w:tc>
          <w:tcPr>
            <w:tcW w:type="dxa" w:w="2268"/>
            <w:tcBorders>
              <w:top w:val="single" w:sz="6" w:color="BFBFBF"/>
              <w:left w:val="single" w:sz="6" w:color="BFBFBF"/>
              <w:bottom w:val="single" w:sz="6" w:color="BFBFBF"/>
              <w:right w:val="single" w:sz="6" w:color="BFBFBF"/>
            </w:tcBorders>
          </w:tcPr>
          <w:p>
            <w:r>
              <w:rPr>
                <w:sz w:val="19"/>
              </w:rPr>
              <w:t>AED 0</w:t>
            </w:r>
          </w:p>
        </w:tc>
      </w:tr>
      <w:tr>
        <w:tc>
          <w:tcPr>
            <w:tcW w:type="dxa" w:w="3118"/>
            <w:tcBorders>
              <w:top w:val="single" w:sz="6" w:color="BFBFBF"/>
              <w:left w:val="single" w:sz="6" w:color="BFBFBF"/>
              <w:bottom w:val="single" w:sz="6" w:color="BFBFBF"/>
              <w:right w:val="single" w:sz="6" w:color="BFBFBF"/>
            </w:tcBorders>
            <w:shd w:val="clear" w:color="auto" w:fill="F5F8FD"/>
          </w:tcPr>
          <w:p>
            <w:r>
              <w:rPr>
                <w:sz w:val="19"/>
              </w:rPr>
              <w:t>Visual Studio Enterprise (dev seats)</w:t>
            </w:r>
          </w:p>
        </w:tc>
        <w:tc>
          <w:tcPr>
            <w:tcW w:type="dxa" w:w="1701"/>
            <w:tcBorders>
              <w:top w:val="single" w:sz="6" w:color="BFBFBF"/>
              <w:left w:val="single" w:sz="6" w:color="BFBFBF"/>
              <w:bottom w:val="single" w:sz="6" w:color="BFBFBF"/>
              <w:right w:val="single" w:sz="6" w:color="BFBFBF"/>
            </w:tcBorders>
            <w:shd w:val="clear" w:color="auto" w:fill="F5F8FD"/>
          </w:tcPr>
          <w:p>
            <w:r>
              <w:rPr>
                <w:sz w:val="19"/>
              </w:rPr>
              <w:t>Microsoft</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12,800 / seat / yr</w:t>
            </w:r>
          </w:p>
        </w:tc>
        <w:tc>
          <w:tcPr>
            <w:tcW w:type="dxa" w:w="850"/>
            <w:tcBorders>
              <w:top w:val="single" w:sz="6" w:color="BFBFBF"/>
              <w:left w:val="single" w:sz="6" w:color="BFBFBF"/>
              <w:bottom w:val="single" w:sz="6" w:color="BFBFBF"/>
              <w:right w:val="single" w:sz="6" w:color="BFBFBF"/>
            </w:tcBorders>
            <w:shd w:val="clear" w:color="auto" w:fill="F5F8FD"/>
          </w:tcPr>
          <w:p>
            <w:r>
              <w:rPr>
                <w:sz w:val="19"/>
              </w:rPr>
              <w:t>5</w:t>
            </w:r>
          </w:p>
        </w:tc>
        <w:tc>
          <w:tcPr>
            <w:tcW w:type="dxa" w:w="2268"/>
            <w:tcBorders>
              <w:top w:val="single" w:sz="6" w:color="BFBFBF"/>
              <w:left w:val="single" w:sz="6" w:color="BFBFBF"/>
              <w:bottom w:val="single" w:sz="6" w:color="BFBFBF"/>
              <w:right w:val="single" w:sz="6" w:color="BFBFBF"/>
            </w:tcBorders>
            <w:shd w:val="clear" w:color="auto" w:fill="F5F8FD"/>
          </w:tcPr>
          <w:p>
            <w:r>
              <w:rPr>
                <w:sz w:val="19"/>
              </w:rPr>
              <w:t>AED 64,000</w:t>
            </w:r>
          </w:p>
        </w:tc>
      </w:tr>
      <w:tr>
        <w:tc>
          <w:tcPr>
            <w:tcW w:type="dxa" w:w="3118"/>
            <w:tcBorders>
              <w:top w:val="single" w:sz="6" w:color="BFBFBF"/>
              <w:left w:val="single" w:sz="6" w:color="BFBFBF"/>
              <w:bottom w:val="single" w:sz="6" w:color="BFBFBF"/>
              <w:right w:val="single" w:sz="6" w:color="BFBFBF"/>
            </w:tcBorders>
          </w:tcPr>
          <w:p>
            <w:r>
              <w:rPr>
                <w:sz w:val="19"/>
              </w:rPr>
              <w:t>Hangfire Pro</w:t>
            </w:r>
          </w:p>
        </w:tc>
        <w:tc>
          <w:tcPr>
            <w:tcW w:type="dxa" w:w="1701"/>
            <w:tcBorders>
              <w:top w:val="single" w:sz="6" w:color="BFBFBF"/>
              <w:left w:val="single" w:sz="6" w:color="BFBFBF"/>
              <w:bottom w:val="single" w:sz="6" w:color="BFBFBF"/>
              <w:right w:val="single" w:sz="6" w:color="BFBFBF"/>
            </w:tcBorders>
          </w:tcPr>
          <w:p>
            <w:r>
              <w:rPr>
                <w:sz w:val="19"/>
              </w:rPr>
              <w:t>HangfireIO</w:t>
            </w:r>
          </w:p>
        </w:tc>
        <w:tc>
          <w:tcPr>
            <w:tcW w:type="dxa" w:w="1984"/>
            <w:tcBorders>
              <w:top w:val="single" w:sz="6" w:color="BFBFBF"/>
              <w:left w:val="single" w:sz="6" w:color="BFBFBF"/>
              <w:bottom w:val="single" w:sz="6" w:color="BFBFBF"/>
              <w:right w:val="single" w:sz="6" w:color="BFBFBF"/>
            </w:tcBorders>
          </w:tcPr>
          <w:p>
            <w:r>
              <w:rPr>
                <w:sz w:val="19"/>
              </w:rPr>
              <w:t>AED 7,200 / server / yr</w:t>
            </w:r>
          </w:p>
        </w:tc>
        <w:tc>
          <w:tcPr>
            <w:tcW w:type="dxa" w:w="850"/>
            <w:tcBorders>
              <w:top w:val="single" w:sz="6" w:color="BFBFBF"/>
              <w:left w:val="single" w:sz="6" w:color="BFBFBF"/>
              <w:bottom w:val="single" w:sz="6" w:color="BFBFBF"/>
              <w:right w:val="single" w:sz="6" w:color="BFBFBF"/>
            </w:tcBorders>
          </w:tcPr>
          <w:p>
            <w:r>
              <w:rPr>
                <w:sz w:val="19"/>
              </w:rPr>
              <w:t>2</w:t>
            </w:r>
          </w:p>
        </w:tc>
        <w:tc>
          <w:tcPr>
            <w:tcW w:type="dxa" w:w="2268"/>
            <w:tcBorders>
              <w:top w:val="single" w:sz="6" w:color="BFBFBF"/>
              <w:left w:val="single" w:sz="6" w:color="BFBFBF"/>
              <w:bottom w:val="single" w:sz="6" w:color="BFBFBF"/>
              <w:right w:val="single" w:sz="6" w:color="BFBFBF"/>
            </w:tcBorders>
          </w:tcPr>
          <w:p>
            <w:r>
              <w:rPr>
                <w:sz w:val="19"/>
              </w:rPr>
              <w:t>AED 14,400</w:t>
            </w:r>
          </w:p>
        </w:tc>
      </w:tr>
      <w:tr>
        <w:tc>
          <w:tcPr>
            <w:tcW w:type="dxa" w:w="3118"/>
            <w:tcBorders>
              <w:top w:val="single" w:sz="6" w:color="BFBFBF"/>
              <w:left w:val="single" w:sz="6" w:color="BFBFBF"/>
              <w:bottom w:val="single" w:sz="6" w:color="BFBFBF"/>
              <w:right w:val="single" w:sz="6" w:color="BFBFBF"/>
            </w:tcBorders>
            <w:shd w:val="clear" w:color="auto" w:fill="F5F8FD"/>
          </w:tcPr>
          <w:p>
            <w:r>
              <w:rPr>
                <w:sz w:val="19"/>
              </w:rPr>
              <w:t>Azure OpenAI Service (tokens)</w:t>
            </w:r>
          </w:p>
        </w:tc>
        <w:tc>
          <w:tcPr>
            <w:tcW w:type="dxa" w:w="1701"/>
            <w:tcBorders>
              <w:top w:val="single" w:sz="6" w:color="BFBFBF"/>
              <w:left w:val="single" w:sz="6" w:color="BFBFBF"/>
              <w:bottom w:val="single" w:sz="6" w:color="BFBFBF"/>
              <w:right w:val="single" w:sz="6" w:color="BFBFBF"/>
            </w:tcBorders>
            <w:shd w:val="clear" w:color="auto" w:fill="F5F8FD"/>
          </w:tcPr>
          <w:p>
            <w:r>
              <w:rPr>
                <w:sz w:val="19"/>
              </w:rPr>
              <w:t>Microsoft</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Consumption-based</w:t>
            </w:r>
          </w:p>
        </w:tc>
        <w:tc>
          <w:tcPr>
            <w:tcW w:type="dxa" w:w="850"/>
            <w:tcBorders>
              <w:top w:val="single" w:sz="6" w:color="BFBFBF"/>
              <w:left w:val="single" w:sz="6" w:color="BFBFBF"/>
              <w:bottom w:val="single" w:sz="6" w:color="BFBFBF"/>
              <w:right w:val="single" w:sz="6" w:color="BFBFBF"/>
            </w:tcBorders>
            <w:shd w:val="clear" w:color="auto" w:fill="F5F8FD"/>
          </w:tcPr>
          <w:p>
            <w:r>
              <w:rPr>
                <w:sz w:val="19"/>
              </w:rPr>
              <w:t>—</w:t>
            </w:r>
          </w:p>
        </w:tc>
        <w:tc>
          <w:tcPr>
            <w:tcW w:type="dxa" w:w="2268"/>
            <w:tcBorders>
              <w:top w:val="single" w:sz="6" w:color="BFBFBF"/>
              <w:left w:val="single" w:sz="6" w:color="BFBFBF"/>
              <w:bottom w:val="single" w:sz="6" w:color="BFBFBF"/>
              <w:right w:val="single" w:sz="6" w:color="BFBFBF"/>
            </w:tcBorders>
            <w:shd w:val="clear" w:color="auto" w:fill="F5F8FD"/>
          </w:tcPr>
          <w:p>
            <w:r>
              <w:rPr>
                <w:sz w:val="19"/>
              </w:rPr>
              <w:t>AED 90,000 est.</w:t>
            </w:r>
          </w:p>
        </w:tc>
      </w:tr>
      <w:tr>
        <w:tc>
          <w:tcPr>
            <w:tcW w:type="dxa" w:w="3118"/>
            <w:tcBorders>
              <w:top w:val="single" w:sz="6" w:color="BFBFBF"/>
              <w:left w:val="single" w:sz="6" w:color="BFBFBF"/>
              <w:bottom w:val="single" w:sz="6" w:color="BFBFBF"/>
              <w:right w:val="single" w:sz="6" w:color="BFBFBF"/>
            </w:tcBorders>
          </w:tcPr>
          <w:p>
            <w:r>
              <w:rPr>
                <w:sz w:val="19"/>
              </w:rPr>
              <w:t>AI fallback model (Anthropic API)</w:t>
            </w:r>
          </w:p>
        </w:tc>
        <w:tc>
          <w:tcPr>
            <w:tcW w:type="dxa" w:w="1701"/>
            <w:tcBorders>
              <w:top w:val="single" w:sz="6" w:color="BFBFBF"/>
              <w:left w:val="single" w:sz="6" w:color="BFBFBF"/>
              <w:bottom w:val="single" w:sz="6" w:color="BFBFBF"/>
              <w:right w:val="single" w:sz="6" w:color="BFBFBF"/>
            </w:tcBorders>
          </w:tcPr>
          <w:p>
            <w:r>
              <w:rPr>
                <w:sz w:val="19"/>
              </w:rPr>
              <w:t>Anthropic</w:t>
            </w:r>
          </w:p>
        </w:tc>
        <w:tc>
          <w:tcPr>
            <w:tcW w:type="dxa" w:w="1984"/>
            <w:tcBorders>
              <w:top w:val="single" w:sz="6" w:color="BFBFBF"/>
              <w:left w:val="single" w:sz="6" w:color="BFBFBF"/>
              <w:bottom w:val="single" w:sz="6" w:color="BFBFBF"/>
              <w:right w:val="single" w:sz="6" w:color="BFBFBF"/>
            </w:tcBorders>
          </w:tcPr>
          <w:p>
            <w:r>
              <w:rPr>
                <w:sz w:val="19"/>
              </w:rPr>
              <w:t>Consumption-based</w:t>
            </w:r>
          </w:p>
        </w:tc>
        <w:tc>
          <w:tcPr>
            <w:tcW w:type="dxa" w:w="850"/>
            <w:tcBorders>
              <w:top w:val="single" w:sz="6" w:color="BFBFBF"/>
              <w:left w:val="single" w:sz="6" w:color="BFBFBF"/>
              <w:bottom w:val="single" w:sz="6" w:color="BFBFBF"/>
              <w:right w:val="single" w:sz="6" w:color="BFBFBF"/>
            </w:tcBorders>
          </w:tcPr>
          <w:p>
            <w:r>
              <w:rPr>
                <w:sz w:val="19"/>
              </w:rPr>
              <w:t>—</w:t>
            </w:r>
          </w:p>
        </w:tc>
        <w:tc>
          <w:tcPr>
            <w:tcW w:type="dxa" w:w="2268"/>
            <w:tcBorders>
              <w:top w:val="single" w:sz="6" w:color="BFBFBF"/>
              <w:left w:val="single" w:sz="6" w:color="BFBFBF"/>
              <w:bottom w:val="single" w:sz="6" w:color="BFBFBF"/>
              <w:right w:val="single" w:sz="6" w:color="BFBFBF"/>
            </w:tcBorders>
          </w:tcPr>
          <w:p>
            <w:r>
              <w:rPr>
                <w:sz w:val="19"/>
              </w:rPr>
              <w:t>AED 40,000 est.</w:t>
            </w:r>
          </w:p>
        </w:tc>
      </w:tr>
      <w:tr>
        <w:tc>
          <w:tcPr>
            <w:tcW w:type="dxa" w:w="3118"/>
            <w:tcBorders>
              <w:top w:val="single" w:sz="6" w:color="BFBFBF"/>
              <w:left w:val="single" w:sz="6" w:color="BFBFBF"/>
              <w:bottom w:val="single" w:sz="6" w:color="BFBFBF"/>
              <w:right w:val="single" w:sz="6" w:color="BFBFBF"/>
            </w:tcBorders>
            <w:shd w:val="clear" w:color="auto" w:fill="F5F8FD"/>
          </w:tcPr>
          <w:p>
            <w:r>
              <w:rPr>
                <w:sz w:val="19"/>
              </w:rPr>
              <w:t>SMTP relay (SendGrid / Postmark)</w:t>
            </w:r>
          </w:p>
        </w:tc>
        <w:tc>
          <w:tcPr>
            <w:tcW w:type="dxa" w:w="1701"/>
            <w:tcBorders>
              <w:top w:val="single" w:sz="6" w:color="BFBFBF"/>
              <w:left w:val="single" w:sz="6" w:color="BFBFBF"/>
              <w:bottom w:val="single" w:sz="6" w:color="BFBFBF"/>
              <w:right w:val="single" w:sz="6" w:color="BFBFBF"/>
            </w:tcBorders>
            <w:shd w:val="clear" w:color="auto" w:fill="F5F8FD"/>
          </w:tcPr>
          <w:p>
            <w:r>
              <w:rPr>
                <w:sz w:val="19"/>
              </w:rPr>
              <w:t>Twilio/Postmark</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2,400 / yr</w:t>
            </w:r>
          </w:p>
        </w:tc>
        <w:tc>
          <w:tcPr>
            <w:tcW w:type="dxa" w:w="850"/>
            <w:tcBorders>
              <w:top w:val="single" w:sz="6" w:color="BFBFBF"/>
              <w:left w:val="single" w:sz="6" w:color="BFBFBF"/>
              <w:bottom w:val="single" w:sz="6" w:color="BFBFBF"/>
              <w:right w:val="single" w:sz="6" w:color="BFBFBF"/>
            </w:tcBorders>
            <w:shd w:val="clear" w:color="auto" w:fill="F5F8FD"/>
          </w:tcPr>
          <w:p>
            <w:r>
              <w:rPr>
                <w:sz w:val="19"/>
              </w:rPr>
              <w:t>1</w:t>
            </w:r>
          </w:p>
        </w:tc>
        <w:tc>
          <w:tcPr>
            <w:tcW w:type="dxa" w:w="2268"/>
            <w:tcBorders>
              <w:top w:val="single" w:sz="6" w:color="BFBFBF"/>
              <w:left w:val="single" w:sz="6" w:color="BFBFBF"/>
              <w:bottom w:val="single" w:sz="6" w:color="BFBFBF"/>
              <w:right w:val="single" w:sz="6" w:color="BFBFBF"/>
            </w:tcBorders>
            <w:shd w:val="clear" w:color="auto" w:fill="F5F8FD"/>
          </w:tcPr>
          <w:p>
            <w:r>
              <w:rPr>
                <w:sz w:val="19"/>
              </w:rPr>
              <w:t>AED 2,400</w:t>
            </w:r>
          </w:p>
        </w:tc>
      </w:tr>
      <w:tr>
        <w:tc>
          <w:tcPr>
            <w:tcW w:type="dxa" w:w="3118"/>
            <w:tcBorders>
              <w:top w:val="single" w:sz="6" w:color="BFBFBF"/>
              <w:left w:val="single" w:sz="6" w:color="BFBFBF"/>
              <w:bottom w:val="single" w:sz="6" w:color="BFBFBF"/>
              <w:right w:val="single" w:sz="6" w:color="BFBFBF"/>
            </w:tcBorders>
          </w:tcPr>
          <w:p>
            <w:r>
              <w:rPr>
                <w:sz w:val="19"/>
              </w:rPr>
              <w:t>SMS gateway (UAE operator)</w:t>
            </w:r>
          </w:p>
        </w:tc>
        <w:tc>
          <w:tcPr>
            <w:tcW w:type="dxa" w:w="1701"/>
            <w:tcBorders>
              <w:top w:val="single" w:sz="6" w:color="BFBFBF"/>
              <w:left w:val="single" w:sz="6" w:color="BFBFBF"/>
              <w:bottom w:val="single" w:sz="6" w:color="BFBFBF"/>
              <w:right w:val="single" w:sz="6" w:color="BFBFBF"/>
            </w:tcBorders>
          </w:tcPr>
          <w:p>
            <w:r>
              <w:rPr>
                <w:sz w:val="19"/>
              </w:rPr>
              <w:t>Operator</w:t>
            </w:r>
          </w:p>
        </w:tc>
        <w:tc>
          <w:tcPr>
            <w:tcW w:type="dxa" w:w="1984"/>
            <w:tcBorders>
              <w:top w:val="single" w:sz="6" w:color="BFBFBF"/>
              <w:left w:val="single" w:sz="6" w:color="BFBFBF"/>
              <w:bottom w:val="single" w:sz="6" w:color="BFBFBF"/>
              <w:right w:val="single" w:sz="6" w:color="BFBFBF"/>
            </w:tcBorders>
          </w:tcPr>
          <w:p>
            <w:r>
              <w:rPr>
                <w:sz w:val="19"/>
              </w:rPr>
              <w:t>Per-message</w:t>
            </w:r>
          </w:p>
        </w:tc>
        <w:tc>
          <w:tcPr>
            <w:tcW w:type="dxa" w:w="850"/>
            <w:tcBorders>
              <w:top w:val="single" w:sz="6" w:color="BFBFBF"/>
              <w:left w:val="single" w:sz="6" w:color="BFBFBF"/>
              <w:bottom w:val="single" w:sz="6" w:color="BFBFBF"/>
              <w:right w:val="single" w:sz="6" w:color="BFBFBF"/>
            </w:tcBorders>
          </w:tcPr>
          <w:p>
            <w:r>
              <w:rPr>
                <w:sz w:val="19"/>
              </w:rPr>
              <w:t>—</w:t>
            </w:r>
          </w:p>
        </w:tc>
        <w:tc>
          <w:tcPr>
            <w:tcW w:type="dxa" w:w="2268"/>
            <w:tcBorders>
              <w:top w:val="single" w:sz="6" w:color="BFBFBF"/>
              <w:left w:val="single" w:sz="6" w:color="BFBFBF"/>
              <w:bottom w:val="single" w:sz="6" w:color="BFBFBF"/>
              <w:right w:val="single" w:sz="6" w:color="BFBFBF"/>
            </w:tcBorders>
          </w:tcPr>
          <w:p>
            <w:r>
              <w:rPr>
                <w:sz w:val="19"/>
              </w:rPr>
              <w:t>AED 18,000 est.</w:t>
            </w:r>
          </w:p>
        </w:tc>
      </w:tr>
      <w:tr>
        <w:tc>
          <w:tcPr>
            <w:tcW w:type="dxa" w:w="3118"/>
            <w:tcBorders>
              <w:top w:val="single" w:sz="6" w:color="BFBFBF"/>
              <w:left w:val="single" w:sz="6" w:color="BFBFBF"/>
              <w:bottom w:val="single" w:sz="6" w:color="BFBFBF"/>
              <w:right w:val="single" w:sz="6" w:color="BFBFBF"/>
            </w:tcBorders>
            <w:shd w:val="clear" w:color="auto" w:fill="F5F8FD"/>
          </w:tcPr>
          <w:p>
            <w:r>
              <w:rPr>
                <w:sz w:val="19"/>
              </w:rPr>
              <w:t>PDF generation library (QuestPDF)</w:t>
            </w:r>
          </w:p>
        </w:tc>
        <w:tc>
          <w:tcPr>
            <w:tcW w:type="dxa" w:w="1701"/>
            <w:tcBorders>
              <w:top w:val="single" w:sz="6" w:color="BFBFBF"/>
              <w:left w:val="single" w:sz="6" w:color="BFBFBF"/>
              <w:bottom w:val="single" w:sz="6" w:color="BFBFBF"/>
              <w:right w:val="single" w:sz="6" w:color="BFBFBF"/>
            </w:tcBorders>
            <w:shd w:val="clear" w:color="auto" w:fill="F5F8FD"/>
          </w:tcPr>
          <w:p>
            <w:r>
              <w:rPr>
                <w:sz w:val="19"/>
              </w:rPr>
              <w:t>QuestPDF</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2,800 / yr</w:t>
            </w:r>
          </w:p>
        </w:tc>
        <w:tc>
          <w:tcPr>
            <w:tcW w:type="dxa" w:w="850"/>
            <w:tcBorders>
              <w:top w:val="single" w:sz="6" w:color="BFBFBF"/>
              <w:left w:val="single" w:sz="6" w:color="BFBFBF"/>
              <w:bottom w:val="single" w:sz="6" w:color="BFBFBF"/>
              <w:right w:val="single" w:sz="6" w:color="BFBFBF"/>
            </w:tcBorders>
            <w:shd w:val="clear" w:color="auto" w:fill="F5F8FD"/>
          </w:tcPr>
          <w:p>
            <w:r>
              <w:rPr>
                <w:sz w:val="19"/>
              </w:rPr>
              <w:t>1</w:t>
            </w:r>
          </w:p>
        </w:tc>
        <w:tc>
          <w:tcPr>
            <w:tcW w:type="dxa" w:w="2268"/>
            <w:tcBorders>
              <w:top w:val="single" w:sz="6" w:color="BFBFBF"/>
              <w:left w:val="single" w:sz="6" w:color="BFBFBF"/>
              <w:bottom w:val="single" w:sz="6" w:color="BFBFBF"/>
              <w:right w:val="single" w:sz="6" w:color="BFBFBF"/>
            </w:tcBorders>
            <w:shd w:val="clear" w:color="auto" w:fill="F5F8FD"/>
          </w:tcPr>
          <w:p>
            <w:r>
              <w:rPr>
                <w:sz w:val="19"/>
              </w:rPr>
              <w:t>AED 2,800</w:t>
            </w:r>
          </w:p>
        </w:tc>
      </w:tr>
      <w:tr>
        <w:tc>
          <w:tcPr>
            <w:tcW w:type="dxa" w:w="3118"/>
            <w:tcBorders>
              <w:top w:val="single" w:sz="6" w:color="BFBFBF"/>
              <w:left w:val="single" w:sz="6" w:color="BFBFBF"/>
              <w:bottom w:val="single" w:sz="6" w:color="BFBFBF"/>
              <w:right w:val="single" w:sz="6" w:color="BFBFBF"/>
            </w:tcBorders>
          </w:tcPr>
          <w:p>
            <w:r>
              <w:rPr>
                <w:sz w:val="19"/>
              </w:rPr>
              <w:t>Seq log server (cloud)</w:t>
            </w:r>
          </w:p>
        </w:tc>
        <w:tc>
          <w:tcPr>
            <w:tcW w:type="dxa" w:w="1701"/>
            <w:tcBorders>
              <w:top w:val="single" w:sz="6" w:color="BFBFBF"/>
              <w:left w:val="single" w:sz="6" w:color="BFBFBF"/>
              <w:bottom w:val="single" w:sz="6" w:color="BFBFBF"/>
              <w:right w:val="single" w:sz="6" w:color="BFBFBF"/>
            </w:tcBorders>
          </w:tcPr>
          <w:p>
            <w:r>
              <w:rPr>
                <w:sz w:val="19"/>
              </w:rPr>
              <w:t>Datalust</w:t>
            </w:r>
          </w:p>
        </w:tc>
        <w:tc>
          <w:tcPr>
            <w:tcW w:type="dxa" w:w="1984"/>
            <w:tcBorders>
              <w:top w:val="single" w:sz="6" w:color="BFBFBF"/>
              <w:left w:val="single" w:sz="6" w:color="BFBFBF"/>
              <w:bottom w:val="single" w:sz="6" w:color="BFBFBF"/>
              <w:right w:val="single" w:sz="6" w:color="BFBFBF"/>
            </w:tcBorders>
          </w:tcPr>
          <w:p>
            <w:r>
              <w:rPr>
                <w:sz w:val="19"/>
              </w:rPr>
              <w:t>AED 3,600 / yr</w:t>
            </w:r>
          </w:p>
        </w:tc>
        <w:tc>
          <w:tcPr>
            <w:tcW w:type="dxa" w:w="850"/>
            <w:tcBorders>
              <w:top w:val="single" w:sz="6" w:color="BFBFBF"/>
              <w:left w:val="single" w:sz="6" w:color="BFBFBF"/>
              <w:bottom w:val="single" w:sz="6" w:color="BFBFBF"/>
              <w:right w:val="single" w:sz="6" w:color="BFBFBF"/>
            </w:tcBorders>
          </w:tcPr>
          <w:p>
            <w:r>
              <w:rPr>
                <w:sz w:val="19"/>
              </w:rPr>
              <w:t>1</w:t>
            </w:r>
          </w:p>
        </w:tc>
        <w:tc>
          <w:tcPr>
            <w:tcW w:type="dxa" w:w="2268"/>
            <w:tcBorders>
              <w:top w:val="single" w:sz="6" w:color="BFBFBF"/>
              <w:left w:val="single" w:sz="6" w:color="BFBFBF"/>
              <w:bottom w:val="single" w:sz="6" w:color="BFBFBF"/>
              <w:right w:val="single" w:sz="6" w:color="BFBFBF"/>
            </w:tcBorders>
          </w:tcPr>
          <w:p>
            <w:r>
              <w:rPr>
                <w:sz w:val="19"/>
              </w:rPr>
              <w:t>AED 3,600</w:t>
            </w:r>
          </w:p>
        </w:tc>
      </w:tr>
      <w:tr>
        <w:tc>
          <w:tcPr>
            <w:tcW w:type="dxa" w:w="3118"/>
            <w:tcBorders>
              <w:top w:val="single" w:sz="6" w:color="BFBFBF"/>
              <w:left w:val="single" w:sz="6" w:color="BFBFBF"/>
              <w:bottom w:val="single" w:sz="6" w:color="BFBFBF"/>
              <w:right w:val="single" w:sz="6" w:color="BFBFBF"/>
            </w:tcBorders>
            <w:shd w:val="clear" w:color="auto" w:fill="E6EEF8"/>
          </w:tcPr>
          <w:p>
            <w:r>
              <w:rPr>
                <w:b/>
                <w:sz w:val="19"/>
              </w:rPr>
              <w:t>TOTAL SW LICENCES (indicative)</w:t>
            </w:r>
          </w:p>
        </w:tc>
        <w:tc>
          <w:tcPr>
            <w:tcW w:type="dxa" w:w="1701"/>
            <w:tcBorders>
              <w:top w:val="single" w:sz="6" w:color="BFBFBF"/>
              <w:left w:val="single" w:sz="6" w:color="BFBFBF"/>
              <w:bottom w:val="single" w:sz="6" w:color="BFBFBF"/>
              <w:right w:val="single" w:sz="6" w:color="BFBFBF"/>
            </w:tcBorders>
            <w:shd w:val="clear" w:color="auto" w:fill="E6EEF8"/>
          </w:tcPr>
          <w:p>
            <w:r>
              <w:rPr>
                <w:b/>
                <w:sz w:val="19"/>
              </w:rPr>
            </w:r>
          </w:p>
        </w:tc>
        <w:tc>
          <w:tcPr>
            <w:tcW w:type="dxa" w:w="1984"/>
            <w:tcBorders>
              <w:top w:val="single" w:sz="6" w:color="BFBFBF"/>
              <w:left w:val="single" w:sz="6" w:color="BFBFBF"/>
              <w:bottom w:val="single" w:sz="6" w:color="BFBFBF"/>
              <w:right w:val="single" w:sz="6" w:color="BFBFBF"/>
            </w:tcBorders>
            <w:shd w:val="clear" w:color="auto" w:fill="E6EEF8"/>
          </w:tcPr>
          <w:p>
            <w:r>
              <w:rPr>
                <w:b/>
                <w:sz w:val="19"/>
              </w:rPr>
            </w:r>
          </w:p>
        </w:tc>
        <w:tc>
          <w:tcPr>
            <w:tcW w:type="dxa" w:w="850"/>
            <w:tcBorders>
              <w:top w:val="single" w:sz="6" w:color="BFBFBF"/>
              <w:left w:val="single" w:sz="6" w:color="BFBFBF"/>
              <w:bottom w:val="single" w:sz="6" w:color="BFBFBF"/>
              <w:right w:val="single" w:sz="6" w:color="BFBFBF"/>
            </w:tcBorders>
            <w:shd w:val="clear" w:color="auto" w:fill="E6EEF8"/>
          </w:tcPr>
          <w:p>
            <w:r>
              <w:rPr>
                <w:b/>
                <w:sz w:val="19"/>
              </w:rPr>
            </w:r>
          </w:p>
        </w:tc>
        <w:tc>
          <w:tcPr>
            <w:tcW w:type="dxa" w:w="2268"/>
            <w:tcBorders>
              <w:top w:val="single" w:sz="6" w:color="BFBFBF"/>
              <w:left w:val="single" w:sz="6" w:color="BFBFBF"/>
              <w:bottom w:val="single" w:sz="6" w:color="BFBFBF"/>
              <w:right w:val="single" w:sz="6" w:color="BFBFBF"/>
            </w:tcBorders>
            <w:shd w:val="clear" w:color="auto" w:fill="E6EEF8"/>
          </w:tcPr>
          <w:p>
            <w:r>
              <w:rPr>
                <w:b/>
                <w:sz w:val="19"/>
              </w:rPr>
              <w:t>AED 235,200</w:t>
            </w:r>
          </w:p>
        </w:tc>
      </w:tr>
    </w:tbl>
    <w:p/>
    <w:p>
      <w:pPr>
        <w:pStyle w:val="Heading1"/>
      </w:pPr>
      <w:r>
        <w:t>5. Application Development &amp; Implementation (RFP §14.3 — By Phase)</w:t>
      </w:r>
    </w:p>
    <w:p>
      <w:r>
        <w:rPr>
          <w:b w:val="0"/>
          <w:i w:val="0"/>
          <w:sz w:val="21"/>
        </w:rPr>
        <w:t>Development costs are broken down by phase gate deliverable. Rates are based on UAE-market blended day rates: Architect AED 2,200/day, Senior Developer AED 1,800/day, Mid Developer AED 1,500/day, QA/DevOps AED 1,400/day.</w:t>
      </w:r>
    </w:p>
    <w:tbl>
      <w:tblPr>
        <w:tblW w:type="auto" w:w="0"/>
        <w:tblLayout w:type="fixed"/>
        <w:tblLook w:firstColumn="1" w:firstRow="1" w:lastColumn="0" w:lastRow="0" w:noHBand="0" w:noVBand="1" w:val="04A0"/>
      </w:tblPr>
      <w:tblGrid>
        <w:gridCol w:w="1949"/>
        <w:gridCol w:w="1949"/>
        <w:gridCol w:w="1949"/>
        <w:gridCol w:w="1949"/>
        <w:gridCol w:w="1949"/>
      </w:tblGrid>
      <w:tr>
        <w:tc>
          <w:tcPr>
            <w:tcW w:type="dxa" w:w="4252"/>
            <w:shd w:val="clear" w:color="auto" w:fill="0B3D91"/>
            <w:tcBorders>
              <w:top w:val="single" w:sz="6" w:color="BFBFBF"/>
              <w:left w:val="single" w:sz="6" w:color="BFBFBF"/>
              <w:bottom w:val="single" w:sz="6" w:color="BFBFBF"/>
              <w:right w:val="single" w:sz="6" w:color="BFBFBF"/>
            </w:tcBorders>
          </w:tcPr>
          <w:p>
            <w:r>
              <w:rPr>
                <w:b/>
                <w:color w:val="FFFFFF"/>
                <w:sz w:val="19"/>
              </w:rPr>
              <w:t>Deliverable</w:t>
            </w:r>
          </w:p>
        </w:tc>
        <w:tc>
          <w:tcPr>
            <w:tcW w:type="dxa" w:w="794"/>
            <w:shd w:val="clear" w:color="auto" w:fill="0B3D91"/>
            <w:tcBorders>
              <w:top w:val="single" w:sz="6" w:color="BFBFBF"/>
              <w:left w:val="single" w:sz="6" w:color="BFBFBF"/>
              <w:bottom w:val="single" w:sz="6" w:color="BFBFBF"/>
              <w:right w:val="single" w:sz="6" w:color="BFBFBF"/>
            </w:tcBorders>
          </w:tcPr>
          <w:p>
            <w:r>
              <w:rPr>
                <w:b/>
                <w:color w:val="FFFFFF"/>
                <w:sz w:val="19"/>
              </w:rPr>
              <w:t>Phase</w:t>
            </w:r>
          </w:p>
        </w:tc>
        <w:tc>
          <w:tcPr>
            <w:tcW w:type="dxa" w:w="907"/>
            <w:shd w:val="clear" w:color="auto" w:fill="0B3D91"/>
            <w:tcBorders>
              <w:top w:val="single" w:sz="6" w:color="BFBFBF"/>
              <w:left w:val="single" w:sz="6" w:color="BFBFBF"/>
              <w:bottom w:val="single" w:sz="6" w:color="BFBFBF"/>
              <w:right w:val="single" w:sz="6" w:color="BFBFBF"/>
            </w:tcBorders>
          </w:tcPr>
          <w:p>
            <w:r>
              <w:rPr>
                <w:b/>
                <w:color w:val="FFFFFF"/>
                <w:sz w:val="19"/>
              </w:rPr>
              <w:t>Duration</w:t>
            </w:r>
          </w:p>
        </w:tc>
        <w:tc>
          <w:tcPr>
            <w:tcW w:type="dxa" w:w="1587"/>
            <w:shd w:val="clear" w:color="auto" w:fill="0B3D91"/>
            <w:tcBorders>
              <w:top w:val="single" w:sz="6" w:color="BFBFBF"/>
              <w:left w:val="single" w:sz="6" w:color="BFBFBF"/>
              <w:bottom w:val="single" w:sz="6" w:color="BFBFBF"/>
              <w:right w:val="single" w:sz="6" w:color="BFBFBF"/>
            </w:tcBorders>
          </w:tcPr>
          <w:p>
            <w:r>
              <w:rPr>
                <w:b/>
                <w:color w:val="FFFFFF"/>
                <w:sz w:val="19"/>
              </w:rPr>
              <w:t>Effort (person-days)</w:t>
            </w:r>
          </w:p>
        </w:tc>
        <w:tc>
          <w:tcPr>
            <w:tcW w:type="dxa" w:w="1814"/>
            <w:shd w:val="clear" w:color="auto" w:fill="0B3D91"/>
            <w:tcBorders>
              <w:top w:val="single" w:sz="6" w:color="BFBFBF"/>
              <w:left w:val="single" w:sz="6" w:color="BFBFBF"/>
              <w:bottom w:val="single" w:sz="6" w:color="BFBFBF"/>
              <w:right w:val="single" w:sz="6" w:color="BFBFBF"/>
            </w:tcBorders>
          </w:tcPr>
          <w:p>
            <w:r>
              <w:rPr>
                <w:b/>
                <w:color w:val="FFFFFF"/>
                <w:sz w:val="19"/>
              </w:rPr>
              <w:t>Cost (AED)</w:t>
            </w:r>
          </w:p>
        </w:tc>
      </w:tr>
      <w:tr>
        <w:tc>
          <w:tcPr>
            <w:tcW w:type="dxa" w:w="4252"/>
            <w:tcBorders>
              <w:top w:val="single" w:sz="6" w:color="BFBFBF"/>
              <w:left w:val="single" w:sz="6" w:color="BFBFBF"/>
              <w:bottom w:val="single" w:sz="6" w:color="BFBFBF"/>
              <w:right w:val="single" w:sz="6" w:color="BFBFBF"/>
            </w:tcBorders>
          </w:tcPr>
          <w:p>
            <w:r>
              <w:rPr>
                <w:sz w:val="19"/>
              </w:rPr>
              <w:t>External Public Portal (CMS, Dashboard, Transactions, Map, PriceIndex, RentalIndex)</w:t>
            </w:r>
          </w:p>
        </w:tc>
        <w:tc>
          <w:tcPr>
            <w:tcW w:type="dxa" w:w="794"/>
            <w:tcBorders>
              <w:top w:val="single" w:sz="6" w:color="BFBFBF"/>
              <w:left w:val="single" w:sz="6" w:color="BFBFBF"/>
              <w:bottom w:val="single" w:sz="6" w:color="BFBFBF"/>
              <w:right w:val="single" w:sz="6" w:color="BFBFBF"/>
            </w:tcBorders>
          </w:tcPr>
          <w:p>
            <w:r>
              <w:rPr>
                <w:sz w:val="19"/>
              </w:rPr>
              <w:t>P1</w:t>
            </w:r>
          </w:p>
        </w:tc>
        <w:tc>
          <w:tcPr>
            <w:tcW w:type="dxa" w:w="907"/>
            <w:tcBorders>
              <w:top w:val="single" w:sz="6" w:color="BFBFBF"/>
              <w:left w:val="single" w:sz="6" w:color="BFBFBF"/>
              <w:bottom w:val="single" w:sz="6" w:color="BFBFBF"/>
              <w:right w:val="single" w:sz="6" w:color="BFBFBF"/>
            </w:tcBorders>
          </w:tcPr>
          <w:p>
            <w:r>
              <w:rPr>
                <w:sz w:val="19"/>
              </w:rPr>
              <w:t>M1–3</w:t>
            </w:r>
          </w:p>
        </w:tc>
        <w:tc>
          <w:tcPr>
            <w:tcW w:type="dxa" w:w="1587"/>
            <w:tcBorders>
              <w:top w:val="single" w:sz="6" w:color="BFBFBF"/>
              <w:left w:val="single" w:sz="6" w:color="BFBFBF"/>
              <w:bottom w:val="single" w:sz="6" w:color="BFBFBF"/>
              <w:right w:val="single" w:sz="6" w:color="BFBFBF"/>
            </w:tcBorders>
          </w:tcPr>
          <w:p>
            <w:r>
              <w:rPr>
                <w:sz w:val="19"/>
              </w:rPr>
              <w:t>120</w:t>
            </w:r>
          </w:p>
        </w:tc>
        <w:tc>
          <w:tcPr>
            <w:tcW w:type="dxa" w:w="1814"/>
            <w:tcBorders>
              <w:top w:val="single" w:sz="6" w:color="BFBFBF"/>
              <w:left w:val="single" w:sz="6" w:color="BFBFBF"/>
              <w:bottom w:val="single" w:sz="6" w:color="BFBFBF"/>
              <w:right w:val="single" w:sz="6" w:color="BFBFBF"/>
            </w:tcBorders>
          </w:tcPr>
          <w:p>
            <w:r>
              <w:rPr>
                <w:sz w:val="19"/>
              </w:rPr>
              <w:t>AED 216,000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Bilingual EN/AR RTL + i18n resource pipeline</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P1</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M1–2</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40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72,000</w:t>
            </w:r>
          </w:p>
        </w:tc>
      </w:tr>
      <w:tr>
        <w:tc>
          <w:tcPr>
            <w:tcW w:type="dxa" w:w="4252"/>
            <w:tcBorders>
              <w:top w:val="single" w:sz="6" w:color="BFBFBF"/>
              <w:left w:val="single" w:sz="6" w:color="BFBFBF"/>
              <w:bottom w:val="single" w:sz="6" w:color="BFBFBF"/>
              <w:right w:val="single" w:sz="6" w:color="BFBFBF"/>
            </w:tcBorders>
          </w:tcPr>
          <w:p>
            <w:r>
              <w:rPr>
                <w:sz w:val="19"/>
              </w:rPr>
              <w:t>Slice &amp; Dice Analytics Engine</w:t>
            </w:r>
          </w:p>
        </w:tc>
        <w:tc>
          <w:tcPr>
            <w:tcW w:type="dxa" w:w="794"/>
            <w:tcBorders>
              <w:top w:val="single" w:sz="6" w:color="BFBFBF"/>
              <w:left w:val="single" w:sz="6" w:color="BFBFBF"/>
              <w:bottom w:val="single" w:sz="6" w:color="BFBFBF"/>
              <w:right w:val="single" w:sz="6" w:color="BFBFBF"/>
            </w:tcBorders>
          </w:tcPr>
          <w:p>
            <w:r>
              <w:rPr>
                <w:sz w:val="19"/>
              </w:rPr>
              <w:t>P1</w:t>
            </w:r>
          </w:p>
        </w:tc>
        <w:tc>
          <w:tcPr>
            <w:tcW w:type="dxa" w:w="907"/>
            <w:tcBorders>
              <w:top w:val="single" w:sz="6" w:color="BFBFBF"/>
              <w:left w:val="single" w:sz="6" w:color="BFBFBF"/>
              <w:bottom w:val="single" w:sz="6" w:color="BFBFBF"/>
              <w:right w:val="single" w:sz="6" w:color="BFBFBF"/>
            </w:tcBorders>
          </w:tcPr>
          <w:p>
            <w:r>
              <w:rPr>
                <w:sz w:val="19"/>
              </w:rPr>
              <w:t>M2–3</w:t>
            </w:r>
          </w:p>
        </w:tc>
        <w:tc>
          <w:tcPr>
            <w:tcW w:type="dxa" w:w="1587"/>
            <w:tcBorders>
              <w:top w:val="single" w:sz="6" w:color="BFBFBF"/>
              <w:left w:val="single" w:sz="6" w:color="BFBFBF"/>
              <w:bottom w:val="single" w:sz="6" w:color="BFBFBF"/>
              <w:right w:val="single" w:sz="6" w:color="BFBFBF"/>
            </w:tcBorders>
          </w:tcPr>
          <w:p>
            <w:r>
              <w:rPr>
                <w:sz w:val="19"/>
              </w:rPr>
              <w:t>60</w:t>
            </w:r>
          </w:p>
        </w:tc>
        <w:tc>
          <w:tcPr>
            <w:tcW w:type="dxa" w:w="1814"/>
            <w:tcBorders>
              <w:top w:val="single" w:sz="6" w:color="BFBFBF"/>
              <w:left w:val="single" w:sz="6" w:color="BFBFBF"/>
              <w:bottom w:val="single" w:sz="6" w:color="BFBFBF"/>
              <w:right w:val="single" w:sz="6" w:color="BFBFBF"/>
            </w:tcBorders>
          </w:tcPr>
          <w:p>
            <w:r>
              <w:rPr>
                <w:sz w:val="19"/>
              </w:rPr>
              <w:t>AED 108,000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Real Estate AI Agent (AIOrchestrator, RAG, guardrails, Admin/AIModels)</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P1</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M2–4</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100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180,000</w:t>
            </w:r>
          </w:p>
        </w:tc>
      </w:tr>
      <w:tr>
        <w:tc>
          <w:tcPr>
            <w:tcW w:type="dxa" w:w="4252"/>
            <w:tcBorders>
              <w:top w:val="single" w:sz="6" w:color="BFBFBF"/>
              <w:left w:val="single" w:sz="6" w:color="BFBFBF"/>
              <w:bottom w:val="single" w:sz="6" w:color="BFBFBF"/>
              <w:right w:val="single" w:sz="6" w:color="BFBFBF"/>
            </w:tcBorders>
          </w:tcPr>
          <w:p>
            <w:r>
              <w:rPr>
                <w:sz w:val="19"/>
              </w:rPr>
              <w:t>Investor Notification &amp; Alert System (email/SMS/in-platform)</w:t>
            </w:r>
          </w:p>
        </w:tc>
        <w:tc>
          <w:tcPr>
            <w:tcW w:type="dxa" w:w="794"/>
            <w:tcBorders>
              <w:top w:val="single" w:sz="6" w:color="BFBFBF"/>
              <w:left w:val="single" w:sz="6" w:color="BFBFBF"/>
              <w:bottom w:val="single" w:sz="6" w:color="BFBFBF"/>
              <w:right w:val="single" w:sz="6" w:color="BFBFBF"/>
            </w:tcBorders>
          </w:tcPr>
          <w:p>
            <w:r>
              <w:rPr>
                <w:sz w:val="19"/>
              </w:rPr>
              <w:t>P1</w:t>
            </w:r>
          </w:p>
        </w:tc>
        <w:tc>
          <w:tcPr>
            <w:tcW w:type="dxa" w:w="907"/>
            <w:tcBorders>
              <w:top w:val="single" w:sz="6" w:color="BFBFBF"/>
              <w:left w:val="single" w:sz="6" w:color="BFBFBF"/>
              <w:bottom w:val="single" w:sz="6" w:color="BFBFBF"/>
              <w:right w:val="single" w:sz="6" w:color="BFBFBF"/>
            </w:tcBorders>
          </w:tcPr>
          <w:p>
            <w:r>
              <w:rPr>
                <w:sz w:val="19"/>
              </w:rPr>
              <w:t>M3–4</w:t>
            </w:r>
          </w:p>
        </w:tc>
        <w:tc>
          <w:tcPr>
            <w:tcW w:type="dxa" w:w="1587"/>
            <w:tcBorders>
              <w:top w:val="single" w:sz="6" w:color="BFBFBF"/>
              <w:left w:val="single" w:sz="6" w:color="BFBFBF"/>
              <w:bottom w:val="single" w:sz="6" w:color="BFBFBF"/>
              <w:right w:val="single" w:sz="6" w:color="BFBFBF"/>
            </w:tcBorders>
          </w:tcPr>
          <w:p>
            <w:r>
              <w:rPr>
                <w:sz w:val="19"/>
              </w:rPr>
              <w:t>60</w:t>
            </w:r>
          </w:p>
        </w:tc>
        <w:tc>
          <w:tcPr>
            <w:tcW w:type="dxa" w:w="1814"/>
            <w:tcBorders>
              <w:top w:val="single" w:sz="6" w:color="BFBFBF"/>
              <w:left w:val="single" w:sz="6" w:color="BFBFBF"/>
              <w:bottom w:val="single" w:sz="6" w:color="BFBFBF"/>
              <w:right w:val="single" w:sz="6" w:color="BFBFBF"/>
            </w:tcBorders>
          </w:tcPr>
          <w:p>
            <w:r>
              <w:rPr>
                <w:sz w:val="19"/>
              </w:rPr>
              <w:t>AED 108,000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Open Data API + Developer Portal + API key management</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P1</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M4–5</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50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90,000</w:t>
            </w:r>
          </w:p>
        </w:tc>
      </w:tr>
      <w:tr>
        <w:tc>
          <w:tcPr>
            <w:tcW w:type="dxa" w:w="4252"/>
            <w:tcBorders>
              <w:top w:val="single" w:sz="6" w:color="BFBFBF"/>
              <w:left w:val="single" w:sz="6" w:color="BFBFBF"/>
              <w:bottom w:val="single" w:sz="6" w:color="BFBFBF"/>
              <w:right w:val="single" w:sz="6" w:color="BFBFBF"/>
            </w:tcBorders>
          </w:tcPr>
          <w:p>
            <w:r>
              <w:rPr>
                <w:sz w:val="19"/>
              </w:rPr>
              <w:t>Performance hardening (Redis cache, caching behavior, EF tuning)</w:t>
            </w:r>
          </w:p>
        </w:tc>
        <w:tc>
          <w:tcPr>
            <w:tcW w:type="dxa" w:w="794"/>
            <w:tcBorders>
              <w:top w:val="single" w:sz="6" w:color="BFBFBF"/>
              <w:left w:val="single" w:sz="6" w:color="BFBFBF"/>
              <w:bottom w:val="single" w:sz="6" w:color="BFBFBF"/>
              <w:right w:val="single" w:sz="6" w:color="BFBFBF"/>
            </w:tcBorders>
          </w:tcPr>
          <w:p>
            <w:r>
              <w:rPr>
                <w:sz w:val="19"/>
              </w:rPr>
              <w:t>P1</w:t>
            </w:r>
          </w:p>
        </w:tc>
        <w:tc>
          <w:tcPr>
            <w:tcW w:type="dxa" w:w="907"/>
            <w:tcBorders>
              <w:top w:val="single" w:sz="6" w:color="BFBFBF"/>
              <w:left w:val="single" w:sz="6" w:color="BFBFBF"/>
              <w:bottom w:val="single" w:sz="6" w:color="BFBFBF"/>
              <w:right w:val="single" w:sz="6" w:color="BFBFBF"/>
            </w:tcBorders>
          </w:tcPr>
          <w:p>
            <w:r>
              <w:rPr>
                <w:sz w:val="19"/>
              </w:rPr>
              <w:t>M5–6</w:t>
            </w:r>
          </w:p>
        </w:tc>
        <w:tc>
          <w:tcPr>
            <w:tcW w:type="dxa" w:w="1587"/>
            <w:tcBorders>
              <w:top w:val="single" w:sz="6" w:color="BFBFBF"/>
              <w:left w:val="single" w:sz="6" w:color="BFBFBF"/>
              <w:bottom w:val="single" w:sz="6" w:color="BFBFBF"/>
              <w:right w:val="single" w:sz="6" w:color="BFBFBF"/>
            </w:tcBorders>
          </w:tcPr>
          <w:p>
            <w:r>
              <w:rPr>
                <w:sz w:val="19"/>
              </w:rPr>
              <w:t>30</w:t>
            </w:r>
          </w:p>
        </w:tc>
        <w:tc>
          <w:tcPr>
            <w:tcW w:type="dxa" w:w="1814"/>
            <w:tcBorders>
              <w:top w:val="single" w:sz="6" w:color="BFBFBF"/>
              <w:left w:val="single" w:sz="6" w:color="BFBFBF"/>
              <w:bottom w:val="single" w:sz="6" w:color="BFBFBF"/>
              <w:right w:val="single" w:sz="6" w:color="BFBFBF"/>
            </w:tcBorders>
          </w:tcPr>
          <w:p>
            <w:r>
              <w:rPr>
                <w:sz w:val="19"/>
              </w:rPr>
              <w:t>AED 54,000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1 QA, UAT support, security review</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P1</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M6</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30</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54,000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1 SUBTOTAL</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P1</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M1–6</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490</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882,000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Watchlist v2, ESG indicators, GRETI sub-index tracker</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P2</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M6–8</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80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144,000</w:t>
            </w:r>
          </w:p>
        </w:tc>
      </w:tr>
      <w:tr>
        <w:tc>
          <w:tcPr>
            <w:tcW w:type="dxa" w:w="4252"/>
            <w:tcBorders>
              <w:top w:val="single" w:sz="6" w:color="BFBFBF"/>
              <w:left w:val="single" w:sz="6" w:color="BFBFBF"/>
              <w:bottom w:val="single" w:sz="6" w:color="BFBFBF"/>
              <w:right w:val="single" w:sz="6" w:color="BFBFBF"/>
            </w:tcBorders>
          </w:tcPr>
          <w:p>
            <w:r>
              <w:rPr>
                <w:sz w:val="19"/>
              </w:rPr>
              <w:t>Analytics enhancements, saved-view sharing, embed improvements</w:t>
            </w:r>
          </w:p>
        </w:tc>
        <w:tc>
          <w:tcPr>
            <w:tcW w:type="dxa" w:w="794"/>
            <w:tcBorders>
              <w:top w:val="single" w:sz="6" w:color="BFBFBF"/>
              <w:left w:val="single" w:sz="6" w:color="BFBFBF"/>
              <w:bottom w:val="single" w:sz="6" w:color="BFBFBF"/>
              <w:right w:val="single" w:sz="6" w:color="BFBFBF"/>
            </w:tcBorders>
          </w:tcPr>
          <w:p>
            <w:r>
              <w:rPr>
                <w:sz w:val="19"/>
              </w:rPr>
              <w:t>P2</w:t>
            </w:r>
          </w:p>
        </w:tc>
        <w:tc>
          <w:tcPr>
            <w:tcW w:type="dxa" w:w="907"/>
            <w:tcBorders>
              <w:top w:val="single" w:sz="6" w:color="BFBFBF"/>
              <w:left w:val="single" w:sz="6" w:color="BFBFBF"/>
              <w:bottom w:val="single" w:sz="6" w:color="BFBFBF"/>
              <w:right w:val="single" w:sz="6" w:color="BFBFBF"/>
            </w:tcBorders>
          </w:tcPr>
          <w:p>
            <w:r>
              <w:rPr>
                <w:sz w:val="19"/>
              </w:rPr>
              <w:t>M7–8</w:t>
            </w:r>
          </w:p>
        </w:tc>
        <w:tc>
          <w:tcPr>
            <w:tcW w:type="dxa" w:w="1587"/>
            <w:tcBorders>
              <w:top w:val="single" w:sz="6" w:color="BFBFBF"/>
              <w:left w:val="single" w:sz="6" w:color="BFBFBF"/>
              <w:bottom w:val="single" w:sz="6" w:color="BFBFBF"/>
              <w:right w:val="single" w:sz="6" w:color="BFBFBF"/>
            </w:tcBorders>
          </w:tcPr>
          <w:p>
            <w:r>
              <w:rPr>
                <w:sz w:val="19"/>
              </w:rPr>
              <w:t>40</w:t>
            </w:r>
          </w:p>
        </w:tc>
        <w:tc>
          <w:tcPr>
            <w:tcW w:type="dxa" w:w="1814"/>
            <w:tcBorders>
              <w:top w:val="single" w:sz="6" w:color="BFBFBF"/>
              <w:left w:val="single" w:sz="6" w:color="BFBFBF"/>
              <w:bottom w:val="single" w:sz="6" w:color="BFBFBF"/>
              <w:right w:val="single" w:sz="6" w:color="BFBFBF"/>
            </w:tcBorders>
          </w:tcPr>
          <w:p>
            <w:r>
              <w:rPr>
                <w:sz w:val="19"/>
              </w:rPr>
              <w:t>AED 72,000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Performance hardening (load-testing P95 sign-off, OpenTelemetry)</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P2</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M8–9</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30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54,000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2 QA &amp; UAT</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P2</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M9</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20</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36,000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2 SUBTOTAL</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P2</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M6–9</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170</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306,000</w:t>
            </w:r>
          </w:p>
        </w:tc>
      </w:tr>
      <w:tr>
        <w:tc>
          <w:tcPr>
            <w:tcW w:type="dxa" w:w="4252"/>
            <w:tcBorders>
              <w:top w:val="single" w:sz="6" w:color="BFBFBF"/>
              <w:left w:val="single" w:sz="6" w:color="BFBFBF"/>
              <w:bottom w:val="single" w:sz="6" w:color="BFBFBF"/>
              <w:right w:val="single" w:sz="6" w:color="BFBFBF"/>
            </w:tcBorders>
          </w:tcPr>
          <w:p>
            <w:r>
              <w:rPr>
                <w:sz w:val="19"/>
              </w:rPr>
              <w:t>EWRS (risk engine, escalation L1–L4, dashboard, playbooks)</w:t>
            </w:r>
          </w:p>
        </w:tc>
        <w:tc>
          <w:tcPr>
            <w:tcW w:type="dxa" w:w="794"/>
            <w:tcBorders>
              <w:top w:val="single" w:sz="6" w:color="BFBFBF"/>
              <w:left w:val="single" w:sz="6" w:color="BFBFBF"/>
              <w:bottom w:val="single" w:sz="6" w:color="BFBFBF"/>
              <w:right w:val="single" w:sz="6" w:color="BFBFBF"/>
            </w:tcBorders>
          </w:tcPr>
          <w:p>
            <w:r>
              <w:rPr>
                <w:sz w:val="19"/>
              </w:rPr>
              <w:t>P3</w:t>
            </w:r>
          </w:p>
        </w:tc>
        <w:tc>
          <w:tcPr>
            <w:tcW w:type="dxa" w:w="907"/>
            <w:tcBorders>
              <w:top w:val="single" w:sz="6" w:color="BFBFBF"/>
              <w:left w:val="single" w:sz="6" w:color="BFBFBF"/>
              <w:bottom w:val="single" w:sz="6" w:color="BFBFBF"/>
              <w:right w:val="single" w:sz="6" w:color="BFBFBF"/>
            </w:tcBorders>
          </w:tcPr>
          <w:p>
            <w:r>
              <w:rPr>
                <w:sz w:val="19"/>
              </w:rPr>
              <w:t>M9–10</w:t>
            </w:r>
          </w:p>
        </w:tc>
        <w:tc>
          <w:tcPr>
            <w:tcW w:type="dxa" w:w="1587"/>
            <w:tcBorders>
              <w:top w:val="single" w:sz="6" w:color="BFBFBF"/>
              <w:left w:val="single" w:sz="6" w:color="BFBFBF"/>
              <w:bottom w:val="single" w:sz="6" w:color="BFBFBF"/>
              <w:right w:val="single" w:sz="6" w:color="BFBFBF"/>
            </w:tcBorders>
          </w:tcPr>
          <w:p>
            <w:r>
              <w:rPr>
                <w:sz w:val="19"/>
              </w:rPr>
              <w:t>100</w:t>
            </w:r>
          </w:p>
        </w:tc>
        <w:tc>
          <w:tcPr>
            <w:tcW w:type="dxa" w:w="1814"/>
            <w:tcBorders>
              <w:top w:val="single" w:sz="6" w:color="BFBFBF"/>
              <w:left w:val="single" w:sz="6" w:color="BFBFBF"/>
              <w:bottom w:val="single" w:sz="6" w:color="BFBFBF"/>
              <w:right w:val="single" w:sz="6" w:color="BFBFBF"/>
            </w:tcBorders>
          </w:tcPr>
          <w:p>
            <w:r>
              <w:rPr>
                <w:sz w:val="19"/>
              </w:rPr>
              <w:t>AED 180,000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Developer Performance &amp; Rating + Escrow Monitoring</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P3</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M10–11</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80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144,000</w:t>
            </w:r>
          </w:p>
        </w:tc>
      </w:tr>
      <w:tr>
        <w:tc>
          <w:tcPr>
            <w:tcW w:type="dxa" w:w="4252"/>
            <w:tcBorders>
              <w:top w:val="single" w:sz="6" w:color="BFBFBF"/>
              <w:left w:val="single" w:sz="6" w:color="BFBFBF"/>
              <w:bottom w:val="single" w:sz="6" w:color="BFBFBF"/>
              <w:right w:val="single" w:sz="6" w:color="BFBFBF"/>
            </w:tcBorders>
          </w:tcPr>
          <w:p>
            <w:r>
              <w:rPr>
                <w:sz w:val="19"/>
              </w:rPr>
              <w:t>Beneficial Ownership, Mortgage Analytics, Name Validation</w:t>
            </w:r>
          </w:p>
        </w:tc>
        <w:tc>
          <w:tcPr>
            <w:tcW w:type="dxa" w:w="794"/>
            <w:tcBorders>
              <w:top w:val="single" w:sz="6" w:color="BFBFBF"/>
              <w:left w:val="single" w:sz="6" w:color="BFBFBF"/>
              <w:bottom w:val="single" w:sz="6" w:color="BFBFBF"/>
              <w:right w:val="single" w:sz="6" w:color="BFBFBF"/>
            </w:tcBorders>
          </w:tcPr>
          <w:p>
            <w:r>
              <w:rPr>
                <w:sz w:val="19"/>
              </w:rPr>
              <w:t>P3</w:t>
            </w:r>
          </w:p>
        </w:tc>
        <w:tc>
          <w:tcPr>
            <w:tcW w:type="dxa" w:w="907"/>
            <w:tcBorders>
              <w:top w:val="single" w:sz="6" w:color="BFBFBF"/>
              <w:left w:val="single" w:sz="6" w:color="BFBFBF"/>
              <w:bottom w:val="single" w:sz="6" w:color="BFBFBF"/>
              <w:right w:val="single" w:sz="6" w:color="BFBFBF"/>
            </w:tcBorders>
          </w:tcPr>
          <w:p>
            <w:r>
              <w:rPr>
                <w:sz w:val="19"/>
              </w:rPr>
              <w:t>M11</w:t>
            </w:r>
          </w:p>
        </w:tc>
        <w:tc>
          <w:tcPr>
            <w:tcW w:type="dxa" w:w="1587"/>
            <w:tcBorders>
              <w:top w:val="single" w:sz="6" w:color="BFBFBF"/>
              <w:left w:val="single" w:sz="6" w:color="BFBFBF"/>
              <w:bottom w:val="single" w:sz="6" w:color="BFBFBF"/>
              <w:right w:val="single" w:sz="6" w:color="BFBFBF"/>
            </w:tcBorders>
          </w:tcPr>
          <w:p>
            <w:r>
              <w:rPr>
                <w:sz w:val="19"/>
              </w:rPr>
              <w:t>40</w:t>
            </w:r>
          </w:p>
        </w:tc>
        <w:tc>
          <w:tcPr>
            <w:tcW w:type="dxa" w:w="1814"/>
            <w:tcBorders>
              <w:top w:val="single" w:sz="6" w:color="BFBFBF"/>
              <w:left w:val="single" w:sz="6" w:color="BFBFBF"/>
              <w:bottom w:val="single" w:sz="6" w:color="BFBFBF"/>
              <w:right w:val="single" w:sz="6" w:color="BFBFBF"/>
            </w:tcBorders>
          </w:tcPr>
          <w:p>
            <w:r>
              <w:rPr>
                <w:sz w:val="19"/>
              </w:rPr>
              <w:t>AED 72,000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DESC ISR v3 hardening + VAPT (external consultant)</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P3</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M11–12</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30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90,000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3 QA, UAT, security acceptance</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P3</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M12</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25</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45,000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3 SUBTOTAL</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P3</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M9–12</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275</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531,000</w:t>
            </w:r>
          </w:p>
        </w:tc>
      </w:tr>
      <w:tr>
        <w:tc>
          <w:tcPr>
            <w:tcW w:type="dxa" w:w="4252"/>
            <w:tcBorders>
              <w:top w:val="single" w:sz="6" w:color="BFBFBF"/>
              <w:left w:val="single" w:sz="6" w:color="BFBFBF"/>
              <w:bottom w:val="single" w:sz="6" w:color="BFBFBF"/>
              <w:right w:val="single" w:sz="6" w:color="BFBFBF"/>
            </w:tcBorders>
          </w:tcPr>
          <w:p>
            <w:r>
              <w:rPr>
                <w:sz w:val="19"/>
              </w:rPr>
              <w:t>Multilingual extension (ZH, RU, UR, FR, HI, DE) + AI multi-language</w:t>
            </w:r>
          </w:p>
        </w:tc>
        <w:tc>
          <w:tcPr>
            <w:tcW w:type="dxa" w:w="794"/>
            <w:tcBorders>
              <w:top w:val="single" w:sz="6" w:color="BFBFBF"/>
              <w:left w:val="single" w:sz="6" w:color="BFBFBF"/>
              <w:bottom w:val="single" w:sz="6" w:color="BFBFBF"/>
              <w:right w:val="single" w:sz="6" w:color="BFBFBF"/>
            </w:tcBorders>
          </w:tcPr>
          <w:p>
            <w:r>
              <w:rPr>
                <w:sz w:val="19"/>
              </w:rPr>
              <w:t>P4</w:t>
            </w:r>
          </w:p>
        </w:tc>
        <w:tc>
          <w:tcPr>
            <w:tcW w:type="dxa" w:w="907"/>
            <w:tcBorders>
              <w:top w:val="single" w:sz="6" w:color="BFBFBF"/>
              <w:left w:val="single" w:sz="6" w:color="BFBFBF"/>
              <w:bottom w:val="single" w:sz="6" w:color="BFBFBF"/>
              <w:right w:val="single" w:sz="6" w:color="BFBFBF"/>
            </w:tcBorders>
          </w:tcPr>
          <w:p>
            <w:r>
              <w:rPr>
                <w:sz w:val="19"/>
              </w:rPr>
              <w:t>M12–14</w:t>
            </w:r>
          </w:p>
        </w:tc>
        <w:tc>
          <w:tcPr>
            <w:tcW w:type="dxa" w:w="1587"/>
            <w:tcBorders>
              <w:top w:val="single" w:sz="6" w:color="BFBFBF"/>
              <w:left w:val="single" w:sz="6" w:color="BFBFBF"/>
              <w:bottom w:val="single" w:sz="6" w:color="BFBFBF"/>
              <w:right w:val="single" w:sz="6" w:color="BFBFBF"/>
            </w:tcBorders>
          </w:tcPr>
          <w:p>
            <w:r>
              <w:rPr>
                <w:sz w:val="19"/>
              </w:rPr>
              <w:t>90</w:t>
            </w:r>
          </w:p>
        </w:tc>
        <w:tc>
          <w:tcPr>
            <w:tcW w:type="dxa" w:w="1814"/>
            <w:tcBorders>
              <w:top w:val="single" w:sz="6" w:color="BFBFBF"/>
              <w:left w:val="single" w:sz="6" w:color="BFBFBF"/>
              <w:bottom w:val="single" w:sz="6" w:color="BFBFBF"/>
              <w:right w:val="single" w:sz="6" w:color="BFBFBF"/>
            </w:tcBorders>
          </w:tcPr>
          <w:p>
            <w:r>
              <w:rPr>
                <w:sz w:val="19"/>
              </w:rPr>
              <w:t>AED 162,000</w:t>
            </w:r>
          </w:p>
        </w:tc>
      </w:tr>
      <w:tr>
        <w:tc>
          <w:tcPr>
            <w:tcW w:type="dxa" w:w="4252"/>
            <w:tcBorders>
              <w:top w:val="single" w:sz="6" w:color="BFBFBF"/>
              <w:left w:val="single" w:sz="6" w:color="BFBFBF"/>
              <w:bottom w:val="single" w:sz="6" w:color="BFBFBF"/>
              <w:right w:val="single" w:sz="6" w:color="BFBFBF"/>
            </w:tcBorders>
            <w:shd w:val="clear" w:color="auto" w:fill="F5F8FD"/>
          </w:tcPr>
          <w:p>
            <w:r>
              <w:rPr>
                <w:sz w:val="19"/>
              </w:rPr>
              <w:t>Advanced analytics, AI fine-tuning pipeline</w:t>
            </w:r>
          </w:p>
        </w:tc>
        <w:tc>
          <w:tcPr>
            <w:tcW w:type="dxa" w:w="794"/>
            <w:tcBorders>
              <w:top w:val="single" w:sz="6" w:color="BFBFBF"/>
              <w:left w:val="single" w:sz="6" w:color="BFBFBF"/>
              <w:bottom w:val="single" w:sz="6" w:color="BFBFBF"/>
              <w:right w:val="single" w:sz="6" w:color="BFBFBF"/>
            </w:tcBorders>
            <w:shd w:val="clear" w:color="auto" w:fill="F5F8FD"/>
          </w:tcPr>
          <w:p>
            <w:r>
              <w:rPr>
                <w:sz w:val="19"/>
              </w:rPr>
              <w:t>P4</w:t>
            </w:r>
          </w:p>
        </w:tc>
        <w:tc>
          <w:tcPr>
            <w:tcW w:type="dxa" w:w="907"/>
            <w:tcBorders>
              <w:top w:val="single" w:sz="6" w:color="BFBFBF"/>
              <w:left w:val="single" w:sz="6" w:color="BFBFBF"/>
              <w:bottom w:val="single" w:sz="6" w:color="BFBFBF"/>
              <w:right w:val="single" w:sz="6" w:color="BFBFBF"/>
            </w:tcBorders>
            <w:shd w:val="clear" w:color="auto" w:fill="F5F8FD"/>
          </w:tcPr>
          <w:p>
            <w:r>
              <w:rPr>
                <w:sz w:val="19"/>
              </w:rPr>
              <w:t>M13–14</w:t>
            </w:r>
          </w:p>
        </w:tc>
        <w:tc>
          <w:tcPr>
            <w:tcW w:type="dxa" w:w="1587"/>
            <w:tcBorders>
              <w:top w:val="single" w:sz="6" w:color="BFBFBF"/>
              <w:left w:val="single" w:sz="6" w:color="BFBFBF"/>
              <w:bottom w:val="single" w:sz="6" w:color="BFBFBF"/>
              <w:right w:val="single" w:sz="6" w:color="BFBFBF"/>
            </w:tcBorders>
            <w:shd w:val="clear" w:color="auto" w:fill="F5F8FD"/>
          </w:tcPr>
          <w:p>
            <w:r>
              <w:rPr>
                <w:sz w:val="19"/>
              </w:rPr>
              <w:t>50</w:t>
            </w:r>
          </w:p>
        </w:tc>
        <w:tc>
          <w:tcPr>
            <w:tcW w:type="dxa" w:w="1814"/>
            <w:tcBorders>
              <w:top w:val="single" w:sz="6" w:color="BFBFBF"/>
              <w:left w:val="single" w:sz="6" w:color="BFBFBF"/>
              <w:bottom w:val="single" w:sz="6" w:color="BFBFBF"/>
              <w:right w:val="single" w:sz="6" w:color="BFBFBF"/>
            </w:tcBorders>
            <w:shd w:val="clear" w:color="auto" w:fill="F5F8FD"/>
          </w:tcPr>
          <w:p>
            <w:r>
              <w:rPr>
                <w:sz w:val="19"/>
              </w:rPr>
              <w:t>AED 90,000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4 QA, UAT, language acceptance</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P4</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M15</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20</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36,000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PHASE 4 SUBTOTAL</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P4</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M12–15</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160</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288,000</w:t>
            </w:r>
          </w:p>
        </w:tc>
      </w:tr>
      <w:tr>
        <w:tc>
          <w:tcPr>
            <w:tcW w:type="dxa" w:w="4252"/>
            <w:tcBorders>
              <w:top w:val="single" w:sz="6" w:color="BFBFBF"/>
              <w:left w:val="single" w:sz="6" w:color="BFBFBF"/>
              <w:bottom w:val="single" w:sz="6" w:color="BFBFBF"/>
              <w:right w:val="single" w:sz="6" w:color="BFBFBF"/>
            </w:tcBorders>
            <w:shd w:val="clear" w:color="auto" w:fill="E6EEF8"/>
          </w:tcPr>
          <w:p>
            <w:r>
              <w:rPr>
                <w:b/>
                <w:sz w:val="19"/>
              </w:rPr>
              <w:t>TOTAL DEVELOPMENT CAPEX</w:t>
            </w:r>
          </w:p>
        </w:tc>
        <w:tc>
          <w:tcPr>
            <w:tcW w:type="dxa" w:w="794"/>
            <w:tcBorders>
              <w:top w:val="single" w:sz="6" w:color="BFBFBF"/>
              <w:left w:val="single" w:sz="6" w:color="BFBFBF"/>
              <w:bottom w:val="single" w:sz="6" w:color="BFBFBF"/>
              <w:right w:val="single" w:sz="6" w:color="BFBFBF"/>
            </w:tcBorders>
            <w:shd w:val="clear" w:color="auto" w:fill="E6EEF8"/>
          </w:tcPr>
          <w:p>
            <w:r>
              <w:rPr>
                <w:b/>
                <w:sz w:val="19"/>
              </w:rPr>
              <w:t>P1–P4</w:t>
            </w:r>
          </w:p>
        </w:tc>
        <w:tc>
          <w:tcPr>
            <w:tcW w:type="dxa" w:w="907"/>
            <w:tcBorders>
              <w:top w:val="single" w:sz="6" w:color="BFBFBF"/>
              <w:left w:val="single" w:sz="6" w:color="BFBFBF"/>
              <w:bottom w:val="single" w:sz="6" w:color="BFBFBF"/>
              <w:right w:val="single" w:sz="6" w:color="BFBFBF"/>
            </w:tcBorders>
            <w:shd w:val="clear" w:color="auto" w:fill="E6EEF8"/>
          </w:tcPr>
          <w:p>
            <w:r>
              <w:rPr>
                <w:b/>
                <w:sz w:val="19"/>
              </w:rPr>
              <w:t>M1–15</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1,095</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2,007,000</w:t>
            </w:r>
          </w:p>
        </w:tc>
      </w:tr>
    </w:tbl>
    <w:p/>
    <w:p>
      <w:pPr>
        <w:pStyle w:val="Heading1"/>
      </w:pPr>
      <w:r>
        <w:t>6. Annual Recurring Costs (RFP §14.4 — OPEX)</w:t>
      </w:r>
    </w:p>
    <w:p>
      <w:r>
        <w:rPr>
          <w:b w:val="0"/>
          <w:i w:val="0"/>
          <w:sz w:val="21"/>
        </w:rPr>
        <w:t>Annual operating costs including hosting, AI model consumption, software renewals, notification channels, monitoring, security scanning and the 12-month post-go-live warranty &amp; support package.</w:t>
      </w:r>
    </w:p>
    <w:tbl>
      <w:tblPr>
        <w:tblW w:type="auto" w:w="0"/>
        <w:tblLayout w:type="fixed"/>
        <w:tblLook w:firstColumn="1" w:firstRow="1" w:lastColumn="0" w:lastRow="0" w:noHBand="0" w:noVBand="1" w:val="04A0"/>
      </w:tblPr>
      <w:tblGrid>
        <w:gridCol w:w="2436"/>
        <w:gridCol w:w="2436"/>
        <w:gridCol w:w="2436"/>
        <w:gridCol w:w="2436"/>
      </w:tblGrid>
      <w:tr>
        <w:tc>
          <w:tcPr>
            <w:tcW w:type="dxa" w:w="3685"/>
            <w:shd w:val="clear" w:color="auto" w:fill="0B3D91"/>
            <w:tcBorders>
              <w:top w:val="single" w:sz="6" w:color="BFBFBF"/>
              <w:left w:val="single" w:sz="6" w:color="BFBFBF"/>
              <w:bottom w:val="single" w:sz="6" w:color="BFBFBF"/>
              <w:right w:val="single" w:sz="6" w:color="BFBFBF"/>
            </w:tcBorders>
          </w:tcPr>
          <w:p>
            <w:r>
              <w:rPr>
                <w:b/>
                <w:color w:val="FFFFFF"/>
                <w:sz w:val="19"/>
              </w:rPr>
              <w:t>OPEX Item</w:t>
            </w:r>
          </w:p>
        </w:tc>
        <w:tc>
          <w:tcPr>
            <w:tcW w:type="dxa" w:w="1984"/>
            <w:shd w:val="clear" w:color="auto" w:fill="0B3D91"/>
            <w:tcBorders>
              <w:top w:val="single" w:sz="6" w:color="BFBFBF"/>
              <w:left w:val="single" w:sz="6" w:color="BFBFBF"/>
              <w:bottom w:val="single" w:sz="6" w:color="BFBFBF"/>
              <w:right w:val="single" w:sz="6" w:color="BFBFBF"/>
            </w:tcBorders>
          </w:tcPr>
          <w:p>
            <w:r>
              <w:rPr>
                <w:b/>
                <w:color w:val="FFFFFF"/>
                <w:sz w:val="19"/>
              </w:rPr>
              <w:t>Option A: Azure UAE</w:t>
            </w:r>
          </w:p>
        </w:tc>
        <w:tc>
          <w:tcPr>
            <w:tcW w:type="dxa" w:w="2154"/>
            <w:shd w:val="clear" w:color="auto" w:fill="0B3D91"/>
            <w:tcBorders>
              <w:top w:val="single" w:sz="6" w:color="BFBFBF"/>
              <w:left w:val="single" w:sz="6" w:color="BFBFBF"/>
              <w:bottom w:val="single" w:sz="6" w:color="BFBFBF"/>
              <w:right w:val="single" w:sz="6" w:color="BFBFBF"/>
            </w:tcBorders>
          </w:tcPr>
          <w:p>
            <w:r>
              <w:rPr>
                <w:b/>
                <w:color w:val="FFFFFF"/>
                <w:sz w:val="19"/>
              </w:rPr>
              <w:t>Option B: On-Premises</w:t>
            </w:r>
          </w:p>
        </w:tc>
        <w:tc>
          <w:tcPr>
            <w:tcW w:type="dxa" w:w="2098"/>
            <w:shd w:val="clear" w:color="auto" w:fill="0B3D91"/>
            <w:tcBorders>
              <w:top w:val="single" w:sz="6" w:color="BFBFBF"/>
              <w:left w:val="single" w:sz="6" w:color="BFBFBF"/>
              <w:bottom w:val="single" w:sz="6" w:color="BFBFBF"/>
              <w:right w:val="single" w:sz="6" w:color="BFBFBF"/>
            </w:tcBorders>
          </w:tcPr>
          <w:p>
            <w:r>
              <w:rPr>
                <w:b/>
                <w:color w:val="FFFFFF"/>
                <w:sz w:val="19"/>
              </w:rPr>
              <w:t>Option C: Hybrid</w:t>
            </w:r>
          </w:p>
        </w:tc>
      </w:tr>
      <w:tr>
        <w:tc>
          <w:tcPr>
            <w:tcW w:type="dxa" w:w="3685"/>
            <w:tcBorders>
              <w:top w:val="single" w:sz="6" w:color="BFBFBF"/>
              <w:left w:val="single" w:sz="6" w:color="BFBFBF"/>
              <w:bottom w:val="single" w:sz="6" w:color="BFBFBF"/>
              <w:right w:val="single" w:sz="6" w:color="BFBFBF"/>
            </w:tcBorders>
          </w:tcPr>
          <w:p>
            <w:r>
              <w:rPr>
                <w:sz w:val="19"/>
              </w:rPr>
              <w:t>Compute / VM / App Service (annual)</w:t>
            </w:r>
          </w:p>
        </w:tc>
        <w:tc>
          <w:tcPr>
            <w:tcW w:type="dxa" w:w="1984"/>
            <w:tcBorders>
              <w:top w:val="single" w:sz="6" w:color="BFBFBF"/>
              <w:left w:val="single" w:sz="6" w:color="BFBFBF"/>
              <w:bottom w:val="single" w:sz="6" w:color="BFBFBF"/>
              <w:right w:val="single" w:sz="6" w:color="BFBFBF"/>
            </w:tcBorders>
          </w:tcPr>
          <w:p>
            <w:r>
              <w:rPr>
                <w:sz w:val="19"/>
              </w:rPr>
              <w:t>AED 48,000</w:t>
            </w:r>
          </w:p>
        </w:tc>
        <w:tc>
          <w:tcPr>
            <w:tcW w:type="dxa" w:w="2154"/>
            <w:tcBorders>
              <w:top w:val="single" w:sz="6" w:color="BFBFBF"/>
              <w:left w:val="single" w:sz="6" w:color="BFBFBF"/>
              <w:bottom w:val="single" w:sz="6" w:color="BFBFBF"/>
              <w:right w:val="single" w:sz="6" w:color="BFBFBF"/>
            </w:tcBorders>
          </w:tcPr>
          <w:p>
            <w:r>
              <w:rPr>
                <w:sz w:val="19"/>
              </w:rPr>
              <w:t>AED 85,000</w:t>
            </w:r>
          </w:p>
        </w:tc>
        <w:tc>
          <w:tcPr>
            <w:tcW w:type="dxa" w:w="2098"/>
            <w:tcBorders>
              <w:top w:val="single" w:sz="6" w:color="BFBFBF"/>
              <w:left w:val="single" w:sz="6" w:color="BFBFBF"/>
              <w:bottom w:val="single" w:sz="6" w:color="BFBFBF"/>
              <w:right w:val="single" w:sz="6" w:color="BFBFBF"/>
            </w:tcBorders>
          </w:tcPr>
          <w:p>
            <w:r>
              <w:rPr>
                <w:sz w:val="19"/>
              </w:rPr>
              <w:t>AED 48,000</w:t>
            </w:r>
          </w:p>
        </w:tc>
      </w:tr>
      <w:tr>
        <w:tc>
          <w:tcPr>
            <w:tcW w:type="dxa" w:w="3685"/>
            <w:tcBorders>
              <w:top w:val="single" w:sz="6" w:color="BFBFBF"/>
              <w:left w:val="single" w:sz="6" w:color="BFBFBF"/>
              <w:bottom w:val="single" w:sz="6" w:color="BFBFBF"/>
              <w:right w:val="single" w:sz="6" w:color="BFBFBF"/>
            </w:tcBorders>
            <w:shd w:val="clear" w:color="auto" w:fill="F5F8FD"/>
          </w:tcPr>
          <w:p>
            <w:r>
              <w:rPr>
                <w:sz w:val="19"/>
              </w:rPr>
              <w:t>SQL Server managed annual</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36,000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24,000</w:t>
            </w:r>
          </w:p>
        </w:tc>
        <w:tc>
          <w:tcPr>
            <w:tcW w:type="dxa" w:w="2098"/>
            <w:tcBorders>
              <w:top w:val="single" w:sz="6" w:color="BFBFBF"/>
              <w:left w:val="single" w:sz="6" w:color="BFBFBF"/>
              <w:bottom w:val="single" w:sz="6" w:color="BFBFBF"/>
              <w:right w:val="single" w:sz="6" w:color="BFBFBF"/>
            </w:tcBorders>
            <w:shd w:val="clear" w:color="auto" w:fill="F5F8FD"/>
          </w:tcPr>
          <w:p>
            <w:r>
              <w:rPr>
                <w:sz w:val="19"/>
              </w:rPr>
              <w:t>AED 36,000</w:t>
            </w:r>
          </w:p>
        </w:tc>
      </w:tr>
      <w:tr>
        <w:tc>
          <w:tcPr>
            <w:tcW w:type="dxa" w:w="3685"/>
            <w:tcBorders>
              <w:top w:val="single" w:sz="6" w:color="BFBFBF"/>
              <w:left w:val="single" w:sz="6" w:color="BFBFBF"/>
              <w:bottom w:val="single" w:sz="6" w:color="BFBFBF"/>
              <w:right w:val="single" w:sz="6" w:color="BFBFBF"/>
            </w:tcBorders>
          </w:tcPr>
          <w:p>
            <w:r>
              <w:rPr>
                <w:sz w:val="19"/>
              </w:rPr>
              <w:t>Redis / caching annual</w:t>
            </w:r>
          </w:p>
        </w:tc>
        <w:tc>
          <w:tcPr>
            <w:tcW w:type="dxa" w:w="1984"/>
            <w:tcBorders>
              <w:top w:val="single" w:sz="6" w:color="BFBFBF"/>
              <w:left w:val="single" w:sz="6" w:color="BFBFBF"/>
              <w:bottom w:val="single" w:sz="6" w:color="BFBFBF"/>
              <w:right w:val="single" w:sz="6" w:color="BFBFBF"/>
            </w:tcBorders>
          </w:tcPr>
          <w:p>
            <w:r>
              <w:rPr>
                <w:sz w:val="19"/>
              </w:rPr>
              <w:t>AED 18,000</w:t>
            </w:r>
          </w:p>
        </w:tc>
        <w:tc>
          <w:tcPr>
            <w:tcW w:type="dxa" w:w="2154"/>
            <w:tcBorders>
              <w:top w:val="single" w:sz="6" w:color="BFBFBF"/>
              <w:left w:val="single" w:sz="6" w:color="BFBFBF"/>
              <w:bottom w:val="single" w:sz="6" w:color="BFBFBF"/>
              <w:right w:val="single" w:sz="6" w:color="BFBFBF"/>
            </w:tcBorders>
          </w:tcPr>
          <w:p>
            <w:r>
              <w:rPr>
                <w:sz w:val="19"/>
              </w:rPr>
              <w:t>AED 12,000</w:t>
            </w:r>
          </w:p>
        </w:tc>
        <w:tc>
          <w:tcPr>
            <w:tcW w:type="dxa" w:w="2098"/>
            <w:tcBorders>
              <w:top w:val="single" w:sz="6" w:color="BFBFBF"/>
              <w:left w:val="single" w:sz="6" w:color="BFBFBF"/>
              <w:bottom w:val="single" w:sz="6" w:color="BFBFBF"/>
              <w:right w:val="single" w:sz="6" w:color="BFBFBF"/>
            </w:tcBorders>
          </w:tcPr>
          <w:p>
            <w:r>
              <w:rPr>
                <w:sz w:val="19"/>
              </w:rPr>
              <w:t>AED 18,000</w:t>
            </w:r>
          </w:p>
        </w:tc>
      </w:tr>
      <w:tr>
        <w:tc>
          <w:tcPr>
            <w:tcW w:type="dxa" w:w="3685"/>
            <w:tcBorders>
              <w:top w:val="single" w:sz="6" w:color="BFBFBF"/>
              <w:left w:val="single" w:sz="6" w:color="BFBFBF"/>
              <w:bottom w:val="single" w:sz="6" w:color="BFBFBF"/>
              <w:right w:val="single" w:sz="6" w:color="BFBFBF"/>
            </w:tcBorders>
            <w:shd w:val="clear" w:color="auto" w:fill="F5F8FD"/>
          </w:tcPr>
          <w:p>
            <w:r>
              <w:rPr>
                <w:sz w:val="19"/>
              </w:rPr>
              <w:t>AI model API consumption (annual est.)</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130,000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130,000</w:t>
            </w:r>
          </w:p>
        </w:tc>
        <w:tc>
          <w:tcPr>
            <w:tcW w:type="dxa" w:w="2098"/>
            <w:tcBorders>
              <w:top w:val="single" w:sz="6" w:color="BFBFBF"/>
              <w:left w:val="single" w:sz="6" w:color="BFBFBF"/>
              <w:bottom w:val="single" w:sz="6" w:color="BFBFBF"/>
              <w:right w:val="single" w:sz="6" w:color="BFBFBF"/>
            </w:tcBorders>
            <w:shd w:val="clear" w:color="auto" w:fill="F5F8FD"/>
          </w:tcPr>
          <w:p>
            <w:r>
              <w:rPr>
                <w:sz w:val="19"/>
              </w:rPr>
              <w:t>AED 130,000</w:t>
            </w:r>
          </w:p>
        </w:tc>
      </w:tr>
      <w:tr>
        <w:tc>
          <w:tcPr>
            <w:tcW w:type="dxa" w:w="3685"/>
            <w:tcBorders>
              <w:top w:val="single" w:sz="6" w:color="BFBFBF"/>
              <w:left w:val="single" w:sz="6" w:color="BFBFBF"/>
              <w:bottom w:val="single" w:sz="6" w:color="BFBFBF"/>
              <w:right w:val="single" w:sz="6" w:color="BFBFBF"/>
            </w:tcBorders>
          </w:tcPr>
          <w:p>
            <w:r>
              <w:rPr>
                <w:sz w:val="19"/>
              </w:rPr>
              <w:t>OneLake / Fabric storage &amp; compute</w:t>
            </w:r>
          </w:p>
        </w:tc>
        <w:tc>
          <w:tcPr>
            <w:tcW w:type="dxa" w:w="1984"/>
            <w:tcBorders>
              <w:top w:val="single" w:sz="6" w:color="BFBFBF"/>
              <w:left w:val="single" w:sz="6" w:color="BFBFBF"/>
              <w:bottom w:val="single" w:sz="6" w:color="BFBFBF"/>
              <w:right w:val="single" w:sz="6" w:color="BFBFBF"/>
            </w:tcBorders>
          </w:tcPr>
          <w:p>
            <w:r>
              <w:rPr>
                <w:sz w:val="19"/>
              </w:rPr>
              <w:t>AED 42,000</w:t>
            </w:r>
          </w:p>
        </w:tc>
        <w:tc>
          <w:tcPr>
            <w:tcW w:type="dxa" w:w="2154"/>
            <w:tcBorders>
              <w:top w:val="single" w:sz="6" w:color="BFBFBF"/>
              <w:left w:val="single" w:sz="6" w:color="BFBFBF"/>
              <w:bottom w:val="single" w:sz="6" w:color="BFBFBF"/>
              <w:right w:val="single" w:sz="6" w:color="BFBFBF"/>
            </w:tcBorders>
          </w:tcPr>
          <w:p>
            <w:r>
              <w:rPr>
                <w:sz w:val="19"/>
              </w:rPr>
              <w:t>AED 68,000</w:t>
            </w:r>
          </w:p>
        </w:tc>
        <w:tc>
          <w:tcPr>
            <w:tcW w:type="dxa" w:w="2098"/>
            <w:tcBorders>
              <w:top w:val="single" w:sz="6" w:color="BFBFBF"/>
              <w:left w:val="single" w:sz="6" w:color="BFBFBF"/>
              <w:bottom w:val="single" w:sz="6" w:color="BFBFBF"/>
              <w:right w:val="single" w:sz="6" w:color="BFBFBF"/>
            </w:tcBorders>
          </w:tcPr>
          <w:p>
            <w:r>
              <w:rPr>
                <w:sz w:val="19"/>
              </w:rPr>
              <w:t>AED 42,000</w:t>
            </w:r>
          </w:p>
        </w:tc>
      </w:tr>
      <w:tr>
        <w:tc>
          <w:tcPr>
            <w:tcW w:type="dxa" w:w="3685"/>
            <w:tcBorders>
              <w:top w:val="single" w:sz="6" w:color="BFBFBF"/>
              <w:left w:val="single" w:sz="6" w:color="BFBFBF"/>
              <w:bottom w:val="single" w:sz="6" w:color="BFBFBF"/>
              <w:right w:val="single" w:sz="6" w:color="BFBFBF"/>
            </w:tcBorders>
            <w:shd w:val="clear" w:color="auto" w:fill="F5F8FD"/>
          </w:tcPr>
          <w:p>
            <w:r>
              <w:rPr>
                <w:sz w:val="19"/>
              </w:rPr>
              <w:t>Monitoring &amp; SIEM</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16,000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28,000</w:t>
            </w:r>
          </w:p>
        </w:tc>
        <w:tc>
          <w:tcPr>
            <w:tcW w:type="dxa" w:w="2098"/>
            <w:tcBorders>
              <w:top w:val="single" w:sz="6" w:color="BFBFBF"/>
              <w:left w:val="single" w:sz="6" w:color="BFBFBF"/>
              <w:bottom w:val="single" w:sz="6" w:color="BFBFBF"/>
              <w:right w:val="single" w:sz="6" w:color="BFBFBF"/>
            </w:tcBorders>
            <w:shd w:val="clear" w:color="auto" w:fill="F5F8FD"/>
          </w:tcPr>
          <w:p>
            <w:r>
              <w:rPr>
                <w:sz w:val="19"/>
              </w:rPr>
              <w:t>AED 16,000</w:t>
            </w:r>
          </w:p>
        </w:tc>
      </w:tr>
      <w:tr>
        <w:tc>
          <w:tcPr>
            <w:tcW w:type="dxa" w:w="3685"/>
            <w:tcBorders>
              <w:top w:val="single" w:sz="6" w:color="BFBFBF"/>
              <w:left w:val="single" w:sz="6" w:color="BFBFBF"/>
              <w:bottom w:val="single" w:sz="6" w:color="BFBFBF"/>
              <w:right w:val="single" w:sz="6" w:color="BFBFBF"/>
            </w:tcBorders>
          </w:tcPr>
          <w:p>
            <w:r>
              <w:rPr>
                <w:sz w:val="19"/>
              </w:rPr>
              <w:t>SMTP / SMS channels</w:t>
            </w:r>
          </w:p>
        </w:tc>
        <w:tc>
          <w:tcPr>
            <w:tcW w:type="dxa" w:w="1984"/>
            <w:tcBorders>
              <w:top w:val="single" w:sz="6" w:color="BFBFBF"/>
              <w:left w:val="single" w:sz="6" w:color="BFBFBF"/>
              <w:bottom w:val="single" w:sz="6" w:color="BFBFBF"/>
              <w:right w:val="single" w:sz="6" w:color="BFBFBF"/>
            </w:tcBorders>
          </w:tcPr>
          <w:p>
            <w:r>
              <w:rPr>
                <w:sz w:val="19"/>
              </w:rPr>
              <w:t>AED 20,400</w:t>
            </w:r>
          </w:p>
        </w:tc>
        <w:tc>
          <w:tcPr>
            <w:tcW w:type="dxa" w:w="2154"/>
            <w:tcBorders>
              <w:top w:val="single" w:sz="6" w:color="BFBFBF"/>
              <w:left w:val="single" w:sz="6" w:color="BFBFBF"/>
              <w:bottom w:val="single" w:sz="6" w:color="BFBFBF"/>
              <w:right w:val="single" w:sz="6" w:color="BFBFBF"/>
            </w:tcBorders>
          </w:tcPr>
          <w:p>
            <w:r>
              <w:rPr>
                <w:sz w:val="19"/>
              </w:rPr>
              <w:t>AED 20,400</w:t>
            </w:r>
          </w:p>
        </w:tc>
        <w:tc>
          <w:tcPr>
            <w:tcW w:type="dxa" w:w="2098"/>
            <w:tcBorders>
              <w:top w:val="single" w:sz="6" w:color="BFBFBF"/>
              <w:left w:val="single" w:sz="6" w:color="BFBFBF"/>
              <w:bottom w:val="single" w:sz="6" w:color="BFBFBF"/>
              <w:right w:val="single" w:sz="6" w:color="BFBFBF"/>
            </w:tcBorders>
          </w:tcPr>
          <w:p>
            <w:r>
              <w:rPr>
                <w:sz w:val="19"/>
              </w:rPr>
              <w:t>AED 20,400</w:t>
            </w:r>
          </w:p>
        </w:tc>
      </w:tr>
      <w:tr>
        <w:tc>
          <w:tcPr>
            <w:tcW w:type="dxa" w:w="3685"/>
            <w:tcBorders>
              <w:top w:val="single" w:sz="6" w:color="BFBFBF"/>
              <w:left w:val="single" w:sz="6" w:color="BFBFBF"/>
              <w:bottom w:val="single" w:sz="6" w:color="BFBFBF"/>
              <w:right w:val="single" w:sz="6" w:color="BFBFBF"/>
            </w:tcBorders>
            <w:shd w:val="clear" w:color="auto" w:fill="F5F8FD"/>
          </w:tcPr>
          <w:p>
            <w:r>
              <w:rPr>
                <w:sz w:val="19"/>
              </w:rPr>
              <w:t>Software licences (annual renewal)</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84,800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84,800</w:t>
            </w:r>
          </w:p>
        </w:tc>
        <w:tc>
          <w:tcPr>
            <w:tcW w:type="dxa" w:w="2098"/>
            <w:tcBorders>
              <w:top w:val="single" w:sz="6" w:color="BFBFBF"/>
              <w:left w:val="single" w:sz="6" w:color="BFBFBF"/>
              <w:bottom w:val="single" w:sz="6" w:color="BFBFBF"/>
              <w:right w:val="single" w:sz="6" w:color="BFBFBF"/>
            </w:tcBorders>
            <w:shd w:val="clear" w:color="auto" w:fill="F5F8FD"/>
          </w:tcPr>
          <w:p>
            <w:r>
              <w:rPr>
                <w:sz w:val="19"/>
              </w:rPr>
              <w:t>AED 84,800</w:t>
            </w:r>
          </w:p>
        </w:tc>
      </w:tr>
      <w:tr>
        <w:tc>
          <w:tcPr>
            <w:tcW w:type="dxa" w:w="3685"/>
            <w:tcBorders>
              <w:top w:val="single" w:sz="6" w:color="BFBFBF"/>
              <w:left w:val="single" w:sz="6" w:color="BFBFBF"/>
              <w:bottom w:val="single" w:sz="6" w:color="BFBFBF"/>
              <w:right w:val="single" w:sz="6" w:color="BFBFBF"/>
            </w:tcBorders>
          </w:tcPr>
          <w:p>
            <w:r>
              <w:rPr>
                <w:sz w:val="19"/>
              </w:rPr>
              <w:t>Warranty &amp; support (12 months post go-live)</w:t>
            </w:r>
          </w:p>
        </w:tc>
        <w:tc>
          <w:tcPr>
            <w:tcW w:type="dxa" w:w="1984"/>
            <w:tcBorders>
              <w:top w:val="single" w:sz="6" w:color="BFBFBF"/>
              <w:left w:val="single" w:sz="6" w:color="BFBFBF"/>
              <w:bottom w:val="single" w:sz="6" w:color="BFBFBF"/>
              <w:right w:val="single" w:sz="6" w:color="BFBFBF"/>
            </w:tcBorders>
          </w:tcPr>
          <w:p>
            <w:r>
              <w:rPr>
                <w:sz w:val="19"/>
              </w:rPr>
              <w:t>AED 180,000</w:t>
            </w:r>
          </w:p>
        </w:tc>
        <w:tc>
          <w:tcPr>
            <w:tcW w:type="dxa" w:w="2154"/>
            <w:tcBorders>
              <w:top w:val="single" w:sz="6" w:color="BFBFBF"/>
              <w:left w:val="single" w:sz="6" w:color="BFBFBF"/>
              <w:bottom w:val="single" w:sz="6" w:color="BFBFBF"/>
              <w:right w:val="single" w:sz="6" w:color="BFBFBF"/>
            </w:tcBorders>
          </w:tcPr>
          <w:p>
            <w:r>
              <w:rPr>
                <w:sz w:val="19"/>
              </w:rPr>
              <w:t>AED 180,000</w:t>
            </w:r>
          </w:p>
        </w:tc>
        <w:tc>
          <w:tcPr>
            <w:tcW w:type="dxa" w:w="2098"/>
            <w:tcBorders>
              <w:top w:val="single" w:sz="6" w:color="BFBFBF"/>
              <w:left w:val="single" w:sz="6" w:color="BFBFBF"/>
              <w:bottom w:val="single" w:sz="6" w:color="BFBFBF"/>
              <w:right w:val="single" w:sz="6" w:color="BFBFBF"/>
            </w:tcBorders>
          </w:tcPr>
          <w:p>
            <w:r>
              <w:rPr>
                <w:sz w:val="19"/>
              </w:rPr>
              <w:t>AED 180,000</w:t>
            </w:r>
          </w:p>
        </w:tc>
      </w:tr>
      <w:tr>
        <w:tc>
          <w:tcPr>
            <w:tcW w:type="dxa" w:w="3685"/>
            <w:tcBorders>
              <w:top w:val="single" w:sz="6" w:color="BFBFBF"/>
              <w:left w:val="single" w:sz="6" w:color="BFBFBF"/>
              <w:bottom w:val="single" w:sz="6" w:color="BFBFBF"/>
              <w:right w:val="single" w:sz="6" w:color="BFBFBF"/>
            </w:tcBorders>
            <w:shd w:val="clear" w:color="auto" w:fill="F5F8FD"/>
          </w:tcPr>
          <w:p>
            <w:r>
              <w:rPr>
                <w:sz w:val="19"/>
              </w:rPr>
              <w:t>Security patching &amp; monthly pen-test scans</w:t>
            </w:r>
          </w:p>
        </w:tc>
        <w:tc>
          <w:tcPr>
            <w:tcW w:type="dxa" w:w="1984"/>
            <w:tcBorders>
              <w:top w:val="single" w:sz="6" w:color="BFBFBF"/>
              <w:left w:val="single" w:sz="6" w:color="BFBFBF"/>
              <w:bottom w:val="single" w:sz="6" w:color="BFBFBF"/>
              <w:right w:val="single" w:sz="6" w:color="BFBFBF"/>
            </w:tcBorders>
            <w:shd w:val="clear" w:color="auto" w:fill="F5F8FD"/>
          </w:tcPr>
          <w:p>
            <w:r>
              <w:rPr>
                <w:sz w:val="19"/>
              </w:rPr>
              <w:t>AED 36,000</w:t>
            </w:r>
          </w:p>
        </w:tc>
        <w:tc>
          <w:tcPr>
            <w:tcW w:type="dxa" w:w="2154"/>
            <w:tcBorders>
              <w:top w:val="single" w:sz="6" w:color="BFBFBF"/>
              <w:left w:val="single" w:sz="6" w:color="BFBFBF"/>
              <w:bottom w:val="single" w:sz="6" w:color="BFBFBF"/>
              <w:right w:val="single" w:sz="6" w:color="BFBFBF"/>
            </w:tcBorders>
            <w:shd w:val="clear" w:color="auto" w:fill="F5F8FD"/>
          </w:tcPr>
          <w:p>
            <w:r>
              <w:rPr>
                <w:sz w:val="19"/>
              </w:rPr>
              <w:t>AED 36,000</w:t>
            </w:r>
          </w:p>
        </w:tc>
        <w:tc>
          <w:tcPr>
            <w:tcW w:type="dxa" w:w="2098"/>
            <w:tcBorders>
              <w:top w:val="single" w:sz="6" w:color="BFBFBF"/>
              <w:left w:val="single" w:sz="6" w:color="BFBFBF"/>
              <w:bottom w:val="single" w:sz="6" w:color="BFBFBF"/>
              <w:right w:val="single" w:sz="6" w:color="BFBFBF"/>
            </w:tcBorders>
            <w:shd w:val="clear" w:color="auto" w:fill="F5F8FD"/>
          </w:tcPr>
          <w:p>
            <w:r>
              <w:rPr>
                <w:sz w:val="19"/>
              </w:rPr>
              <w:t>AED 36,000</w:t>
            </w:r>
          </w:p>
        </w:tc>
      </w:tr>
      <w:tr>
        <w:tc>
          <w:tcPr>
            <w:tcW w:type="dxa" w:w="3685"/>
            <w:tcBorders>
              <w:top w:val="single" w:sz="6" w:color="BFBFBF"/>
              <w:left w:val="single" w:sz="6" w:color="BFBFBF"/>
              <w:bottom w:val="single" w:sz="6" w:color="BFBFBF"/>
              <w:right w:val="single" w:sz="6" w:color="BFBFBF"/>
            </w:tcBorders>
          </w:tcPr>
          <w:p>
            <w:r>
              <w:rPr>
                <w:sz w:val="19"/>
              </w:rPr>
              <w:t>Data quality &amp; reconciliation tooling</w:t>
            </w:r>
          </w:p>
        </w:tc>
        <w:tc>
          <w:tcPr>
            <w:tcW w:type="dxa" w:w="1984"/>
            <w:tcBorders>
              <w:top w:val="single" w:sz="6" w:color="BFBFBF"/>
              <w:left w:val="single" w:sz="6" w:color="BFBFBF"/>
              <w:bottom w:val="single" w:sz="6" w:color="BFBFBF"/>
              <w:right w:val="single" w:sz="6" w:color="BFBFBF"/>
            </w:tcBorders>
          </w:tcPr>
          <w:p>
            <w:r>
              <w:rPr>
                <w:sz w:val="19"/>
              </w:rPr>
              <w:t>AED 18,000</w:t>
            </w:r>
          </w:p>
        </w:tc>
        <w:tc>
          <w:tcPr>
            <w:tcW w:type="dxa" w:w="2154"/>
            <w:tcBorders>
              <w:top w:val="single" w:sz="6" w:color="BFBFBF"/>
              <w:left w:val="single" w:sz="6" w:color="BFBFBF"/>
              <w:bottom w:val="single" w:sz="6" w:color="BFBFBF"/>
              <w:right w:val="single" w:sz="6" w:color="BFBFBF"/>
            </w:tcBorders>
          </w:tcPr>
          <w:p>
            <w:r>
              <w:rPr>
                <w:sz w:val="19"/>
              </w:rPr>
              <w:t>AED 18,000</w:t>
            </w:r>
          </w:p>
        </w:tc>
        <w:tc>
          <w:tcPr>
            <w:tcW w:type="dxa" w:w="2098"/>
            <w:tcBorders>
              <w:top w:val="single" w:sz="6" w:color="BFBFBF"/>
              <w:left w:val="single" w:sz="6" w:color="BFBFBF"/>
              <w:bottom w:val="single" w:sz="6" w:color="BFBFBF"/>
              <w:right w:val="single" w:sz="6" w:color="BFBFBF"/>
            </w:tcBorders>
          </w:tcPr>
          <w:p>
            <w:r>
              <w:rPr>
                <w:sz w:val="19"/>
              </w:rPr>
              <w:t>AED 18,000</w:t>
            </w:r>
          </w:p>
        </w:tc>
      </w:tr>
      <w:tr>
        <w:tc>
          <w:tcPr>
            <w:tcW w:type="dxa" w:w="3685"/>
            <w:tcBorders>
              <w:top w:val="single" w:sz="6" w:color="BFBFBF"/>
              <w:left w:val="single" w:sz="6" w:color="BFBFBF"/>
              <w:bottom w:val="single" w:sz="6" w:color="BFBFBF"/>
              <w:right w:val="single" w:sz="6" w:color="BFBFBF"/>
            </w:tcBorders>
            <w:shd w:val="clear" w:color="auto" w:fill="E6EEF8"/>
          </w:tcPr>
          <w:p>
            <w:r>
              <w:rPr>
                <w:b/>
                <w:sz w:val="19"/>
              </w:rPr>
              <w:t>TOTAL ANNUAL OPEX (indicative)</w:t>
            </w:r>
          </w:p>
        </w:tc>
        <w:tc>
          <w:tcPr>
            <w:tcW w:type="dxa" w:w="1984"/>
            <w:tcBorders>
              <w:top w:val="single" w:sz="6" w:color="BFBFBF"/>
              <w:left w:val="single" w:sz="6" w:color="BFBFBF"/>
              <w:bottom w:val="single" w:sz="6" w:color="BFBFBF"/>
              <w:right w:val="single" w:sz="6" w:color="BFBFBF"/>
            </w:tcBorders>
            <w:shd w:val="clear" w:color="auto" w:fill="E6EEF8"/>
          </w:tcPr>
          <w:p>
            <w:r>
              <w:rPr>
                <w:b/>
                <w:sz w:val="19"/>
              </w:rPr>
              <w:t>AED 629,200</w:t>
            </w:r>
          </w:p>
        </w:tc>
        <w:tc>
          <w:tcPr>
            <w:tcW w:type="dxa" w:w="2154"/>
            <w:tcBorders>
              <w:top w:val="single" w:sz="6" w:color="BFBFBF"/>
              <w:left w:val="single" w:sz="6" w:color="BFBFBF"/>
              <w:bottom w:val="single" w:sz="6" w:color="BFBFBF"/>
              <w:right w:val="single" w:sz="6" w:color="BFBFBF"/>
            </w:tcBorders>
            <w:shd w:val="clear" w:color="auto" w:fill="E6EEF8"/>
          </w:tcPr>
          <w:p>
            <w:r>
              <w:rPr>
                <w:b/>
                <w:sz w:val="19"/>
              </w:rPr>
              <w:t>AED 686,200</w:t>
            </w:r>
          </w:p>
        </w:tc>
        <w:tc>
          <w:tcPr>
            <w:tcW w:type="dxa" w:w="2098"/>
            <w:tcBorders>
              <w:top w:val="single" w:sz="6" w:color="BFBFBF"/>
              <w:left w:val="single" w:sz="6" w:color="BFBFBF"/>
              <w:bottom w:val="single" w:sz="6" w:color="BFBFBF"/>
              <w:right w:val="single" w:sz="6" w:color="BFBFBF"/>
            </w:tcBorders>
            <w:shd w:val="clear" w:color="auto" w:fill="E6EEF8"/>
          </w:tcPr>
          <w:p>
            <w:r>
              <w:rPr>
                <w:b/>
                <w:sz w:val="19"/>
              </w:rPr>
              <w:t>AED 629,200</w:t>
            </w:r>
          </w:p>
        </w:tc>
      </w:tr>
    </w:tbl>
    <w:p/>
    <w:p>
      <w:pPr>
        <w:pStyle w:val="Heading1"/>
      </w:pPr>
      <w:r>
        <w:t>7. Payment Milestone Schedule</w:t>
      </w:r>
    </w:p>
    <w:p>
      <w:r>
        <w:rPr>
          <w:b w:val="0"/>
          <w:i w:val="0"/>
          <w:sz w:val="21"/>
        </w:rPr>
        <w:t>Payments are tied to DLD-signed acceptance certificates at each phase gate, ensuring the vendor is financially motivated to deliver on time and to the acceptance criteria defined in RFP §17.</w:t>
      </w:r>
    </w:p>
    <w:tbl>
      <w:tblPr>
        <w:tblW w:type="auto" w:w="0"/>
        <w:tblLayout w:type="fixed"/>
        <w:tblLook w:firstColumn="1" w:firstRow="1" w:lastColumn="0" w:lastRow="0" w:noHBand="0" w:noVBand="1" w:val="04A0"/>
      </w:tblPr>
      <w:tblGrid>
        <w:gridCol w:w="2436"/>
        <w:gridCol w:w="2436"/>
        <w:gridCol w:w="2436"/>
        <w:gridCol w:w="2436"/>
      </w:tblGrid>
      <w:tr>
        <w:tc>
          <w:tcPr>
            <w:tcW w:type="dxa" w:w="850"/>
            <w:shd w:val="clear" w:color="auto" w:fill="0B3D91"/>
            <w:tcBorders>
              <w:top w:val="single" w:sz="6" w:color="BFBFBF"/>
              <w:left w:val="single" w:sz="6" w:color="BFBFBF"/>
              <w:bottom w:val="single" w:sz="6" w:color="BFBFBF"/>
              <w:right w:val="single" w:sz="6" w:color="BFBFBF"/>
            </w:tcBorders>
          </w:tcPr>
          <w:p>
            <w:r>
              <w:rPr>
                <w:b/>
                <w:color w:val="FFFFFF"/>
                <w:sz w:val="19"/>
              </w:rPr>
              <w:t>Milestone</w:t>
            </w:r>
          </w:p>
        </w:tc>
        <w:tc>
          <w:tcPr>
            <w:tcW w:type="dxa" w:w="5102"/>
            <w:shd w:val="clear" w:color="auto" w:fill="0B3D91"/>
            <w:tcBorders>
              <w:top w:val="single" w:sz="6" w:color="BFBFBF"/>
              <w:left w:val="single" w:sz="6" w:color="BFBFBF"/>
              <w:bottom w:val="single" w:sz="6" w:color="BFBFBF"/>
              <w:right w:val="single" w:sz="6" w:color="BFBFBF"/>
            </w:tcBorders>
          </w:tcPr>
          <w:p>
            <w:r>
              <w:rPr>
                <w:b/>
                <w:color w:val="FFFFFF"/>
                <w:sz w:val="19"/>
              </w:rPr>
              <w:t>Trigger Event</w:t>
            </w:r>
          </w:p>
        </w:tc>
        <w:tc>
          <w:tcPr>
            <w:tcW w:type="dxa" w:w="1587"/>
            <w:shd w:val="clear" w:color="auto" w:fill="0B3D91"/>
            <w:tcBorders>
              <w:top w:val="single" w:sz="6" w:color="BFBFBF"/>
              <w:left w:val="single" w:sz="6" w:color="BFBFBF"/>
              <w:bottom w:val="single" w:sz="6" w:color="BFBFBF"/>
              <w:right w:val="single" w:sz="6" w:color="BFBFBF"/>
            </w:tcBorders>
          </w:tcPr>
          <w:p>
            <w:r>
              <w:rPr>
                <w:b/>
                <w:color w:val="FFFFFF"/>
                <w:sz w:val="19"/>
              </w:rPr>
              <w:t>% of Dev CAPEX</w:t>
            </w:r>
          </w:p>
        </w:tc>
        <w:tc>
          <w:tcPr>
            <w:tcW w:type="dxa" w:w="1814"/>
            <w:shd w:val="clear" w:color="auto" w:fill="0B3D91"/>
            <w:tcBorders>
              <w:top w:val="single" w:sz="6" w:color="BFBFBF"/>
              <w:left w:val="single" w:sz="6" w:color="BFBFBF"/>
              <w:bottom w:val="single" w:sz="6" w:color="BFBFBF"/>
              <w:right w:val="single" w:sz="6" w:color="BFBFBF"/>
            </w:tcBorders>
          </w:tcPr>
          <w:p>
            <w:r>
              <w:rPr>
                <w:b/>
                <w:color w:val="FFFFFF"/>
                <w:sz w:val="19"/>
              </w:rPr>
              <w:t>Amount (AED)</w:t>
            </w:r>
          </w:p>
        </w:tc>
      </w:tr>
      <w:tr>
        <w:tc>
          <w:tcPr>
            <w:tcW w:type="dxa" w:w="850"/>
            <w:tcBorders>
              <w:top w:val="single" w:sz="6" w:color="BFBFBF"/>
              <w:left w:val="single" w:sz="6" w:color="BFBFBF"/>
              <w:bottom w:val="single" w:sz="6" w:color="BFBFBF"/>
              <w:right w:val="single" w:sz="6" w:color="BFBFBF"/>
            </w:tcBorders>
          </w:tcPr>
          <w:p>
            <w:r>
              <w:rPr>
                <w:sz w:val="19"/>
              </w:rPr>
              <w:t>M0</w:t>
            </w:r>
          </w:p>
        </w:tc>
        <w:tc>
          <w:tcPr>
            <w:tcW w:type="dxa" w:w="5102"/>
            <w:tcBorders>
              <w:top w:val="single" w:sz="6" w:color="BFBFBF"/>
              <w:left w:val="single" w:sz="6" w:color="BFBFBF"/>
              <w:bottom w:val="single" w:sz="6" w:color="BFBFBF"/>
              <w:right w:val="single" w:sz="6" w:color="BFBFBF"/>
            </w:tcBorders>
          </w:tcPr>
          <w:p>
            <w:r>
              <w:rPr>
                <w:sz w:val="19"/>
              </w:rPr>
              <w:t>Contract signature</w:t>
            </w:r>
          </w:p>
        </w:tc>
        <w:tc>
          <w:tcPr>
            <w:tcW w:type="dxa" w:w="1587"/>
            <w:tcBorders>
              <w:top w:val="single" w:sz="6" w:color="BFBFBF"/>
              <w:left w:val="single" w:sz="6" w:color="BFBFBF"/>
              <w:bottom w:val="single" w:sz="6" w:color="BFBFBF"/>
              <w:right w:val="single" w:sz="6" w:color="BFBFBF"/>
            </w:tcBorders>
          </w:tcPr>
          <w:p>
            <w:r>
              <w:rPr>
                <w:sz w:val="19"/>
              </w:rPr>
              <w:t>10 %</w:t>
            </w:r>
          </w:p>
        </w:tc>
        <w:tc>
          <w:tcPr>
            <w:tcW w:type="dxa" w:w="1814"/>
            <w:tcBorders>
              <w:top w:val="single" w:sz="6" w:color="BFBFBF"/>
              <w:left w:val="single" w:sz="6" w:color="BFBFBF"/>
              <w:bottom w:val="single" w:sz="6" w:color="BFBFBF"/>
              <w:right w:val="single" w:sz="6" w:color="BFBFBF"/>
            </w:tcBorders>
          </w:tcPr>
          <w:p>
            <w:r>
              <w:rPr>
                <w:sz w:val="19"/>
              </w:rPr>
              <w:t>AED 200,700</w:t>
            </w:r>
          </w:p>
        </w:tc>
      </w:tr>
      <w:tr>
        <w:tc>
          <w:tcPr>
            <w:tcW w:type="dxa" w:w="850"/>
            <w:tcBorders>
              <w:top w:val="single" w:sz="6" w:color="BFBFBF"/>
              <w:left w:val="single" w:sz="6" w:color="BFBFBF"/>
              <w:bottom w:val="single" w:sz="6" w:color="BFBFBF"/>
              <w:right w:val="single" w:sz="6" w:color="BFBFBF"/>
            </w:tcBorders>
            <w:shd w:val="clear" w:color="auto" w:fill="E6EEF8"/>
          </w:tcPr>
          <w:p>
            <w:r>
              <w:rPr>
                <w:b/>
                <w:sz w:val="19"/>
              </w:rPr>
              <w:t>M1</w:t>
            </w:r>
          </w:p>
        </w:tc>
        <w:tc>
          <w:tcPr>
            <w:tcW w:type="dxa" w:w="5102"/>
            <w:tcBorders>
              <w:top w:val="single" w:sz="6" w:color="BFBFBF"/>
              <w:left w:val="single" w:sz="6" w:color="BFBFBF"/>
              <w:bottom w:val="single" w:sz="6" w:color="BFBFBF"/>
              <w:right w:val="single" w:sz="6" w:color="BFBFBF"/>
            </w:tcBorders>
            <w:shd w:val="clear" w:color="auto" w:fill="E6EEF8"/>
          </w:tcPr>
          <w:p>
            <w:r>
              <w:rPr>
                <w:b/>
                <w:sz w:val="19"/>
              </w:rPr>
              <w:t>Phase 1 mobilisation complete (infrastructure live, team onboard)</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10 %</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200,700</w:t>
            </w:r>
          </w:p>
        </w:tc>
      </w:tr>
      <w:tr>
        <w:tc>
          <w:tcPr>
            <w:tcW w:type="dxa" w:w="850"/>
            <w:tcBorders>
              <w:top w:val="single" w:sz="6" w:color="BFBFBF"/>
              <w:left w:val="single" w:sz="6" w:color="BFBFBF"/>
              <w:bottom w:val="single" w:sz="6" w:color="BFBFBF"/>
              <w:right w:val="single" w:sz="6" w:color="BFBFBF"/>
            </w:tcBorders>
            <w:shd w:val="clear" w:color="auto" w:fill="E6EEF8"/>
          </w:tcPr>
          <w:p>
            <w:r>
              <w:rPr>
                <w:b/>
                <w:sz w:val="19"/>
              </w:rPr>
              <w:t>M2</w:t>
            </w:r>
          </w:p>
        </w:tc>
        <w:tc>
          <w:tcPr>
            <w:tcW w:type="dxa" w:w="5102"/>
            <w:tcBorders>
              <w:top w:val="single" w:sz="6" w:color="BFBFBF"/>
              <w:left w:val="single" w:sz="6" w:color="BFBFBF"/>
              <w:bottom w:val="single" w:sz="6" w:color="BFBFBF"/>
              <w:right w:val="single" w:sz="6" w:color="BFBFBF"/>
            </w:tcBorders>
            <w:shd w:val="clear" w:color="auto" w:fill="E6EEF8"/>
          </w:tcPr>
          <w:p>
            <w:r>
              <w:rPr>
                <w:b/>
                <w:sz w:val="19"/>
              </w:rPr>
              <w:t>Phase 1 UAT sign-off (External Portal + AI Agent + Open Data API)</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25 %</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501,750</w:t>
            </w:r>
          </w:p>
        </w:tc>
      </w:tr>
      <w:tr>
        <w:tc>
          <w:tcPr>
            <w:tcW w:type="dxa" w:w="850"/>
            <w:tcBorders>
              <w:top w:val="single" w:sz="6" w:color="BFBFBF"/>
              <w:left w:val="single" w:sz="6" w:color="BFBFBF"/>
              <w:bottom w:val="single" w:sz="6" w:color="BFBFBF"/>
              <w:right w:val="single" w:sz="6" w:color="BFBFBF"/>
            </w:tcBorders>
            <w:shd w:val="clear" w:color="auto" w:fill="E6EEF8"/>
          </w:tcPr>
          <w:p>
            <w:r>
              <w:rPr>
                <w:b/>
                <w:sz w:val="19"/>
              </w:rPr>
              <w:t>M3</w:t>
            </w:r>
          </w:p>
        </w:tc>
        <w:tc>
          <w:tcPr>
            <w:tcW w:type="dxa" w:w="5102"/>
            <w:tcBorders>
              <w:top w:val="single" w:sz="6" w:color="BFBFBF"/>
              <w:left w:val="single" w:sz="6" w:color="BFBFBF"/>
              <w:bottom w:val="single" w:sz="6" w:color="BFBFBF"/>
              <w:right w:val="single" w:sz="6" w:color="BFBFBF"/>
            </w:tcBorders>
            <w:shd w:val="clear" w:color="auto" w:fill="E6EEF8"/>
          </w:tcPr>
          <w:p>
            <w:r>
              <w:rPr>
                <w:b/>
                <w:sz w:val="19"/>
              </w:rPr>
              <w:t>Phase 2 UAT sign-off (ESG, GRETI, Analytics v2)</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15 %</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301,050</w:t>
            </w:r>
          </w:p>
        </w:tc>
      </w:tr>
      <w:tr>
        <w:tc>
          <w:tcPr>
            <w:tcW w:type="dxa" w:w="850"/>
            <w:tcBorders>
              <w:top w:val="single" w:sz="6" w:color="BFBFBF"/>
              <w:left w:val="single" w:sz="6" w:color="BFBFBF"/>
              <w:bottom w:val="single" w:sz="6" w:color="BFBFBF"/>
              <w:right w:val="single" w:sz="6" w:color="BFBFBF"/>
            </w:tcBorders>
            <w:shd w:val="clear" w:color="auto" w:fill="E6EEF8"/>
          </w:tcPr>
          <w:p>
            <w:r>
              <w:rPr>
                <w:b/>
                <w:sz w:val="19"/>
              </w:rPr>
              <w:t>M4</w:t>
            </w:r>
          </w:p>
        </w:tc>
        <w:tc>
          <w:tcPr>
            <w:tcW w:type="dxa" w:w="5102"/>
            <w:tcBorders>
              <w:top w:val="single" w:sz="6" w:color="BFBFBF"/>
              <w:left w:val="single" w:sz="6" w:color="BFBFBF"/>
              <w:bottom w:val="single" w:sz="6" w:color="BFBFBF"/>
              <w:right w:val="single" w:sz="6" w:color="BFBFBF"/>
            </w:tcBorders>
            <w:shd w:val="clear" w:color="auto" w:fill="E6EEF8"/>
          </w:tcPr>
          <w:p>
            <w:r>
              <w:rPr>
                <w:b/>
                <w:sz w:val="19"/>
              </w:rPr>
              <w:t>Phase 3 UAT sign-off (EWRS, Developer Rating, Escrow; VAPT clean)</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25 %</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501,750</w:t>
            </w:r>
          </w:p>
        </w:tc>
      </w:tr>
      <w:tr>
        <w:tc>
          <w:tcPr>
            <w:tcW w:type="dxa" w:w="850"/>
            <w:tcBorders>
              <w:top w:val="single" w:sz="6" w:color="BFBFBF"/>
              <w:left w:val="single" w:sz="6" w:color="BFBFBF"/>
              <w:bottom w:val="single" w:sz="6" w:color="BFBFBF"/>
              <w:right w:val="single" w:sz="6" w:color="BFBFBF"/>
            </w:tcBorders>
            <w:shd w:val="clear" w:color="auto" w:fill="E6EEF8"/>
          </w:tcPr>
          <w:p>
            <w:r>
              <w:rPr>
                <w:b/>
                <w:sz w:val="19"/>
              </w:rPr>
              <w:t>M5</w:t>
            </w:r>
          </w:p>
        </w:tc>
        <w:tc>
          <w:tcPr>
            <w:tcW w:type="dxa" w:w="5102"/>
            <w:tcBorders>
              <w:top w:val="single" w:sz="6" w:color="BFBFBF"/>
              <w:left w:val="single" w:sz="6" w:color="BFBFBF"/>
              <w:bottom w:val="single" w:sz="6" w:color="BFBFBF"/>
              <w:right w:val="single" w:sz="6" w:color="BFBFBF"/>
            </w:tcBorders>
            <w:shd w:val="clear" w:color="auto" w:fill="E6EEF8"/>
          </w:tcPr>
          <w:p>
            <w:r>
              <w:rPr>
                <w:b/>
                <w:sz w:val="19"/>
              </w:rPr>
              <w:t>Phase 4 UAT sign-off (Multilingual + Advanced Analytics)</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15 %</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301,050</w:t>
            </w:r>
          </w:p>
        </w:tc>
      </w:tr>
      <w:tr>
        <w:tc>
          <w:tcPr>
            <w:tcW w:type="dxa" w:w="850"/>
            <w:tcBorders>
              <w:top w:val="single" w:sz="6" w:color="BFBFBF"/>
              <w:left w:val="single" w:sz="6" w:color="BFBFBF"/>
              <w:bottom w:val="single" w:sz="6" w:color="BFBFBF"/>
              <w:right w:val="single" w:sz="6" w:color="BFBFBF"/>
            </w:tcBorders>
            <w:shd w:val="clear" w:color="auto" w:fill="E6EEF8"/>
          </w:tcPr>
          <w:p>
            <w:r>
              <w:rPr>
                <w:b/>
                <w:sz w:val="19"/>
              </w:rPr>
            </w:r>
          </w:p>
        </w:tc>
        <w:tc>
          <w:tcPr>
            <w:tcW w:type="dxa" w:w="5102"/>
            <w:tcBorders>
              <w:top w:val="single" w:sz="6" w:color="BFBFBF"/>
              <w:left w:val="single" w:sz="6" w:color="BFBFBF"/>
              <w:bottom w:val="single" w:sz="6" w:color="BFBFBF"/>
              <w:right w:val="single" w:sz="6" w:color="BFBFBF"/>
            </w:tcBorders>
            <w:shd w:val="clear" w:color="auto" w:fill="E6EEF8"/>
          </w:tcPr>
          <w:p>
            <w:r>
              <w:rPr>
                <w:b/>
                <w:sz w:val="19"/>
              </w:rPr>
              <w:t>TOTAL DEVELOPMENT CAPEX (AED)</w:t>
            </w:r>
          </w:p>
        </w:tc>
        <w:tc>
          <w:tcPr>
            <w:tcW w:type="dxa" w:w="1587"/>
            <w:tcBorders>
              <w:top w:val="single" w:sz="6" w:color="BFBFBF"/>
              <w:left w:val="single" w:sz="6" w:color="BFBFBF"/>
              <w:bottom w:val="single" w:sz="6" w:color="BFBFBF"/>
              <w:right w:val="single" w:sz="6" w:color="BFBFBF"/>
            </w:tcBorders>
            <w:shd w:val="clear" w:color="auto" w:fill="E6EEF8"/>
          </w:tcPr>
          <w:p>
            <w:r>
              <w:rPr>
                <w:b/>
                <w:sz w:val="19"/>
              </w:rPr>
              <w:t>100 %</w:t>
            </w:r>
          </w:p>
        </w:tc>
        <w:tc>
          <w:tcPr>
            <w:tcW w:type="dxa" w:w="1814"/>
            <w:tcBorders>
              <w:top w:val="single" w:sz="6" w:color="BFBFBF"/>
              <w:left w:val="single" w:sz="6" w:color="BFBFBF"/>
              <w:bottom w:val="single" w:sz="6" w:color="BFBFBF"/>
              <w:right w:val="single" w:sz="6" w:color="BFBFBF"/>
            </w:tcBorders>
            <w:shd w:val="clear" w:color="auto" w:fill="E6EEF8"/>
          </w:tcPr>
          <w:p>
            <w:r>
              <w:rPr>
                <w:b/>
                <w:sz w:val="19"/>
              </w:rPr>
              <w:t>AED 2,007,000</w:t>
            </w:r>
          </w:p>
        </w:tc>
      </w:tr>
    </w:tbl>
    <w:p/>
    <w:p>
      <w:pPr>
        <w:pStyle w:val="Heading1"/>
      </w:pPr>
      <w:r>
        <w:t>8. Value-Add Items (Included at No Extra Charge)</w:t>
      </w:r>
    </w:p>
    <w:p>
      <w:r>
        <w:rPr>
          <w:b w:val="0"/>
          <w:i w:val="0"/>
          <w:sz w:val="21"/>
        </w:rPr>
        <w:t>The 15 engineering improvements listed in the Technical Proposal (§18) — MediatR validation behavior, global exception handler, Redis caching, domain events, outbox pattern, SignalR hub, AI streaming, Polly resilience, Hangfire idempotency, OpenTelemetry, health checks, security headers, architecture tests, CI/CD pipelines, resource-based authorization — are included within the Phase 1 development budget and carry no additional line cost.</w:t>
      </w:r>
    </w:p>
    <w:tbl>
      <w:tblPr>
        <w:tblW w:type="auto" w:w="0"/>
        <w:tblLook w:firstColumn="1" w:firstRow="1" w:lastColumn="0" w:lastRow="0" w:noHBand="0" w:noVBand="1" w:val="04A0"/>
      </w:tblPr>
      <w:tblGrid>
        <w:gridCol w:w="9746"/>
      </w:tblGrid>
      <w:tr>
        <w:tc>
          <w:tcPr>
            <w:tcW w:type="dxa" w:w="9354"/>
            <w:shd w:val="clear" w:color="auto" w:fill="E6EEF8"/>
            <w:tcBorders>
              <w:top w:val="single" w:sz="6" w:color="BFBFBF"/>
              <w:left w:val="single" w:sz="6" w:color="BFBFBF"/>
              <w:bottom w:val="single" w:sz="6" w:color="BFBFBF"/>
              <w:right w:val="single" w:sz="6" w:color="BFBFBF"/>
            </w:tcBorders>
          </w:tcPr>
          <w:p>
            <w:r>
              <w:rPr>
                <w:b/>
                <w:color w:val="0B3D91"/>
                <w:sz w:val="22"/>
              </w:rPr>
              <w:t>Value delivered</w:t>
            </w:r>
          </w:p>
          <w:p>
            <w:r>
              <w:rPr>
                <w:sz w:val="20"/>
              </w:rPr>
              <w:t>At the indicative total CAPEX of AED 2,577,700 (Option A), DLD receives a production-ready, enterprise-grade IRETP platform that satisfies every clause of the RFP, with 15 additional engineering commitments that protect the platform's long-term operability — all within a phase-gated, pay-on-acceptance payment model.</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