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Statuts de la Société à Responsabilité Limitée ORINYX</w:t>
      </w:r>
    </w:p>
    <w:p>
      <w:r>
        <w:t>Entre les soussignés :</w:t>
      </w:r>
    </w:p>
    <w:p>
      <w:r>
        <w:t>1. [Nom Prénom 1], né le [JJ/MM/AAAA], à [Ville], domicilié à [Adresse complète]</w:t>
      </w:r>
    </w:p>
    <w:p>
      <w:r>
        <w:t>2. [Nom Prénom 2], né le [JJ/MM/AAAA], à [Ville], domicilié à [Adresse complète]</w:t>
      </w:r>
    </w:p>
    <w:p>
      <w:r>
        <w:t>3. [Nom Prénom 3], né le [JJ/MM/AAAA], à [Ville], domicilié à [Adresse complète]</w:t>
      </w:r>
    </w:p>
    <w:p>
      <w:r>
        <w:t>4. [Nom Prénom 4], né le [JJ/MM/AAAA], à [Ville], domicilié à [Adresse complète]</w:t>
      </w:r>
    </w:p>
    <w:p>
      <w:r>
        <w:t>5. [Nom Prénom 5], né le [JJ/MM/AAAA], à [Ville], domicilié à [Adresse complète]</w:t>
      </w:r>
    </w:p>
    <w:p>
      <w:r>
        <w:t>Il a été établi ainsi qu’il suit les statuts d’une Société À Responsabilité Limitée.</w:t>
      </w:r>
    </w:p>
    <w:p>
      <w:pPr>
        <w:pStyle w:val="Heading1"/>
      </w:pPr>
      <w:r>
        <w:t>Article 1 – Forme</w:t>
      </w:r>
    </w:p>
    <w:p>
      <w:r>
        <w:t>Il est formé entre les soussignés une Société À Responsabilité Limitée (SARL) régie par les lois en vigueur au Sénégal.</w:t>
      </w:r>
    </w:p>
    <w:p>
      <w:pPr>
        <w:pStyle w:val="Heading1"/>
      </w:pPr>
      <w:r>
        <w:t>Article 2 – Dénomination</w:t>
      </w:r>
    </w:p>
    <w:p>
      <w:r>
        <w:t>La société prend la dénomination suivante : ORINYX SARL.</w:t>
      </w:r>
    </w:p>
    <w:p>
      <w:pPr>
        <w:pStyle w:val="Heading1"/>
      </w:pPr>
      <w:r>
        <w:t>Article 3 – Objet social</w:t>
      </w:r>
    </w:p>
    <w:p>
      <w:r>
        <w:t>La société a pour objet :</w:t>
      </w:r>
    </w:p>
    <w:p>
      <w:r>
        <w:t>- Le conseil en nouvelles technologies ;</w:t>
      </w:r>
    </w:p>
    <w:p>
      <w:r>
        <w:t>- La cybersécurité ;</w:t>
      </w:r>
    </w:p>
    <w:p>
      <w:r>
        <w:t>- Le développement de logiciels ;</w:t>
      </w:r>
    </w:p>
    <w:p>
      <w:r>
        <w:t>- L'intégration de solutions informatiques ;</w:t>
      </w:r>
    </w:p>
    <w:p>
      <w:r>
        <w:t>- Toute activité connexe ou complémentaire.</w:t>
      </w:r>
    </w:p>
    <w:p>
      <w:pPr>
        <w:pStyle w:val="Heading1"/>
      </w:pPr>
      <w:r>
        <w:t>Article 4 – Siège social</w:t>
      </w:r>
    </w:p>
    <w:p>
      <w:r>
        <w:t>Le siège social est fixé à : [Adresse complète à Dakar]. Il pourra être transféré en tout autre lieu par décision des associés.</w:t>
      </w:r>
    </w:p>
    <w:p>
      <w:pPr>
        <w:pStyle w:val="Heading1"/>
      </w:pPr>
      <w:r>
        <w:t>Article 5 – Durée</w:t>
      </w:r>
    </w:p>
    <w:p>
      <w:r>
        <w:t>La durée de la société est fixée à 99 ans à compter de son immatriculation au Registre du Commerce et du Crédit Mobilier.</w:t>
      </w:r>
    </w:p>
    <w:p>
      <w:pPr>
        <w:pStyle w:val="Heading1"/>
      </w:pPr>
      <w:r>
        <w:t>Article 6 – Capital social</w:t>
      </w:r>
    </w:p>
    <w:p>
      <w:r>
        <w:t>Le capital social est fixé à la somme de 1 000 000 FCFA, divisé en 100 parts sociales de 10 000 FCFA chacune, réparties de la manière suivante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Associé</w:t>
            </w:r>
          </w:p>
        </w:tc>
        <w:tc>
          <w:tcPr>
            <w:tcW w:type="dxa" w:w="4320"/>
          </w:tcPr>
          <w:p>
            <w:r>
              <w:t>Parts sociales (%)</w:t>
            </w:r>
          </w:p>
        </w:tc>
      </w:tr>
      <w:tr>
        <w:tc>
          <w:tcPr>
            <w:tcW w:type="dxa" w:w="4320"/>
          </w:tcPr>
          <w:p>
            <w:r>
              <w:t>Nom 1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Nom 2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Nom 3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Nom 4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Nom 5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</w:tbl>
    <w:p>
      <w:pPr>
        <w:pStyle w:val="Heading1"/>
      </w:pPr>
      <w:r>
        <w:t>Article 7 – Apports</w:t>
      </w:r>
    </w:p>
    <w:p>
      <w:r>
        <w:t>Les associés effectuent exclusivement des apports en numéraire. Aucun apport en nature ou en industrie n’a été effectué à ce jour.</w:t>
      </w:r>
    </w:p>
    <w:p>
      <w:pPr>
        <w:pStyle w:val="Heading1"/>
      </w:pPr>
      <w:r>
        <w:t>Article 8 – Gérance</w:t>
      </w:r>
    </w:p>
    <w:p>
      <w:r>
        <w:t>La société est dirigée par un Gérant, nommé par l’assemblée des associés. Le premier Gérant est : [Nom du Gérant], nommé pour une durée indéterminée.</w:t>
      </w:r>
    </w:p>
    <w:p>
      <w:pPr>
        <w:pStyle w:val="Heading1"/>
      </w:pPr>
      <w:r>
        <w:t>Article 9 – Assemblées – Décisions collectives</w:t>
      </w:r>
    </w:p>
    <w:p>
      <w:r>
        <w:t>Les décisions collectives sont prises par les associés représentant au moins la moitié du capital social, sauf disposition contraire.</w:t>
      </w:r>
    </w:p>
    <w:p>
      <w:pPr>
        <w:pStyle w:val="Heading1"/>
      </w:pPr>
      <w:r>
        <w:t>Article 10 – Affectation des résultats</w:t>
      </w:r>
    </w:p>
    <w:p>
      <w:r>
        <w:t>Les bénéfices nets sont répartis entre les associés proportionnellement à leurs parts sociales ou mis en réserve selon la décision de l'assemblée.</w:t>
      </w:r>
    </w:p>
    <w:p>
      <w:pPr>
        <w:pStyle w:val="Heading1"/>
      </w:pPr>
      <w:r>
        <w:t>Article 11 – Clause d’agrément</w:t>
      </w:r>
    </w:p>
    <w:p>
      <w:r>
        <w:t>Toute cession de parts à un tiers est soumise à l’agrément préalable de la majorité des associés représentant au moins la moitié des parts.</w:t>
      </w:r>
    </w:p>
    <w:p>
      <w:pPr>
        <w:pStyle w:val="Heading1"/>
      </w:pPr>
      <w:r>
        <w:t>Article 12 – Clause de non-concurrence</w:t>
      </w:r>
    </w:p>
    <w:p>
      <w:r>
        <w:t>Tout associé s’interdit, pendant la durée de son engagement dans la société et pendant deux ans après sa sortie, d’exercer une activité concurrente.</w:t>
      </w:r>
    </w:p>
    <w:p>
      <w:pPr>
        <w:pStyle w:val="Heading1"/>
      </w:pPr>
      <w:r>
        <w:t>Article 13 – Dissolution</w:t>
      </w:r>
    </w:p>
    <w:p>
      <w:r>
        <w:t>La société peut être dissoute par décision collective des associés selon les modalités prévues par la loi.</w:t>
      </w:r>
    </w:p>
    <w:p>
      <w:r>
        <w:br/>
        <w:t>Fait à Dakar, le 20/05/2025</w:t>
      </w:r>
    </w:p>
    <w:p>
      <w:r>
        <w:t>En 5 exemplaires originaux</w:t>
        <w:br/>
      </w:r>
    </w:p>
    <w:p>
      <w:r>
        <w:t>1. ___________________________</w:t>
      </w:r>
    </w:p>
    <w:p>
      <w:r>
        <w:t>2. ___________________________</w:t>
      </w:r>
    </w:p>
    <w:p>
      <w:r>
        <w:t>3. ___________________________</w:t>
      </w:r>
    </w:p>
    <w:p>
      <w:r>
        <w:t>4. ___________________________</w:t>
      </w:r>
    </w:p>
    <w:p>
      <w:r>
        <w:t>5.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