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/>
          <w:sz w:val="24"/>
        </w:rPr>
        <w:t>Supplementary Table 1. Biochemical IC</w:t>
      </w:r>
      <w:r>
        <w:rPr>
          <w:rFonts w:ascii="Times New Roman" w:hAnsi="Times New Roman"/>
          <w:b/>
          <w:sz w:val="24"/>
          <w:vertAlign w:val="subscript"/>
        </w:rPr>
        <w:t>50</w:t>
      </w:r>
      <w:r>
        <w:rPr>
          <w:rFonts w:ascii="Times New Roman" w:hAnsi="Times New Roman"/>
          <w:b/>
          <w:sz w:val="24"/>
        </w:rPr>
        <w:t xml:space="preserve"> determinations against CDK2/Cyclin E1 — Hill slope constrained to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40"/>
        <w:gridCol w:w="1886"/>
        <w:gridCol w:w="1907"/>
        <w:gridCol w:w="827"/>
        <w:gridCol w:w="827"/>
        <w:gridCol w:w="827"/>
        <w:gridCol w:w="787"/>
        <w:gridCol w:w="827"/>
      </w:tblGrid>
      <w:tr>
        <w:tc>
          <w:tcPr>
            <w:tcW w:type="dxa" w:w="1140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886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IC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>50</w:t>
            </w:r>
            <w:r>
              <w:rPr>
                <w:rFonts w:ascii="Times New Roman" w:hAnsi="Times New Roman"/>
                <w:b/>
                <w:sz w:val="24"/>
              </w:rPr>
              <w:t xml:space="preserve"> (µM) [95% CI]</w:t>
            </w:r>
          </w:p>
        </w:tc>
        <w:tc>
          <w:tcPr>
            <w:tcW w:type="dxa" w:w="1907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Per-expt. IC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>50</w:t>
            </w:r>
            <w:r>
              <w:rPr>
                <w:rFonts w:ascii="Times New Roman" w:hAnsi="Times New Roman"/>
                <w:b/>
                <w:sz w:val="24"/>
              </w:rPr>
              <w:t xml:space="preserve"> (µM)</w:t>
            </w:r>
          </w:p>
        </w:tc>
        <w:tc>
          <w:tcPr>
            <w:tcW w:type="dxa" w:w="827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pIC</w:t>
            </w:r>
            <w:r>
              <w:rPr>
                <w:rFonts w:ascii="Times New Roman" w:hAnsi="Times New Roman"/>
                <w:b/>
                <w:sz w:val="24"/>
                <w:vertAlign w:val="subscript"/>
              </w:rPr>
              <w:t>50</w:t>
            </w:r>
          </w:p>
        </w:tc>
        <w:tc>
          <w:tcPr>
            <w:tcW w:type="dxa" w:w="827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Hill</w:t>
            </w:r>
          </w:p>
        </w:tc>
        <w:tc>
          <w:tcPr>
            <w:tcW w:type="dxa" w:w="827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Top (%)</w:t>
            </w:r>
          </w:p>
        </w:tc>
        <w:tc>
          <w:tcPr>
            <w:tcW w:type="dxa" w:w="787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Bot. (%)</w:t>
            </w:r>
          </w:p>
        </w:tc>
        <w:tc>
          <w:tcPr>
            <w:tcW w:type="dxa" w:w="827"/>
            <w:vAlign w:val="center"/>
            <w:tcBorders>
              <w:top w:val="single" w:sz="6" w:color="000000"/>
              <w:bottom w:val="single" w:sz="4" w:color="000000"/>
              <w:left w:val="none" w:sz="0" w:color="000000"/>
              <w:right w:val="none" w:sz="0" w:color="000000"/>
            </w:tcBorders>
            <w:shd w:val="clear" w:fill="F2F2F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</w:t>
            </w:r>
            <w:r>
              <w:rPr>
                <w:rFonts w:ascii="Times New Roman" w:hAnsi="Times New Roman"/>
                <w:b/>
                <w:sz w:val="24"/>
                <w:vertAlign w:val="superscript"/>
              </w:rPr>
              <w:t>2</w:t>
            </w:r>
          </w:p>
        </w:tc>
      </w:tr>
      <w:tr>
        <w:tc>
          <w:tcPr>
            <w:tcW w:type="dxa" w:w="1140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THQ21</w:t>
            </w:r>
          </w:p>
        </w:tc>
        <w:tc>
          <w:tcPr>
            <w:tcW w:type="dxa" w:w="1886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 [0.75–2.3]</w:t>
            </w:r>
          </w:p>
        </w:tc>
        <w:tc>
          <w:tcPr>
            <w:tcW w:type="dxa" w:w="190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1.3, 1.4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5.88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94.1</w:t>
            </w:r>
          </w:p>
        </w:tc>
        <w:tc>
          <w:tcPr>
            <w:tcW w:type="dxa" w:w="78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-3.4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0.93</w:t>
            </w:r>
          </w:p>
        </w:tc>
      </w:tr>
      <w:tr>
        <w:tc>
          <w:tcPr>
            <w:tcW w:type="dxa" w:w="1140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THQ6</w:t>
            </w:r>
          </w:p>
        </w:tc>
        <w:tc>
          <w:tcPr>
            <w:tcW w:type="dxa" w:w="1886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8.7 [2.6–28]</w:t>
            </w:r>
          </w:p>
        </w:tc>
        <w:tc>
          <w:tcPr>
            <w:tcW w:type="dxa" w:w="190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5.1, 13, 9.6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5.06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90.6</w:t>
            </w:r>
          </w:p>
        </w:tc>
        <w:tc>
          <w:tcPr>
            <w:tcW w:type="dxa" w:w="78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-0.7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0.90</w:t>
            </w:r>
          </w:p>
        </w:tc>
      </w:tr>
      <w:tr>
        <w:tc>
          <w:tcPr>
            <w:tcW w:type="dxa" w:w="1140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THQ26</w:t>
            </w:r>
          </w:p>
        </w:tc>
        <w:tc>
          <w:tcPr>
            <w:tcW w:type="dxa" w:w="1886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0.59 [0.21–1.7]</w:t>
            </w:r>
          </w:p>
        </w:tc>
        <w:tc>
          <w:tcPr>
            <w:tcW w:type="dxa" w:w="190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0.89, 0.39, 0.60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6.23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92.7</w:t>
            </w:r>
          </w:p>
        </w:tc>
        <w:tc>
          <w:tcPr>
            <w:tcW w:type="dxa" w:w="78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5.1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2" w:color="BFBFBF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0.94</w:t>
            </w:r>
          </w:p>
        </w:tc>
      </w:tr>
      <w:tr>
        <w:tc>
          <w:tcPr>
            <w:tcW w:type="dxa" w:w="1140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THQ25</w:t>
            </w:r>
          </w:p>
        </w:tc>
        <w:tc>
          <w:tcPr>
            <w:tcW w:type="dxa" w:w="1886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0.52 [0.19–1.4]</w:t>
            </w:r>
          </w:p>
        </w:tc>
        <w:tc>
          <w:tcPr>
            <w:tcW w:type="dxa" w:w="1907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0.62, 0.68, 0.33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6.29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93.2</w:t>
            </w:r>
          </w:p>
        </w:tc>
        <w:tc>
          <w:tcPr>
            <w:tcW w:type="dxa" w:w="787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6.0</w:t>
            </w:r>
          </w:p>
        </w:tc>
        <w:tc>
          <w:tcPr>
            <w:tcW w:type="dxa" w:w="827"/>
            <w:vAlign w:val="center"/>
            <w:tcBorders>
              <w:top w:val="none" w:sz="0" w:color="000000"/>
              <w:bottom w:val="single" w:sz="6" w:color="000000"/>
              <w:left w:val="none" w:sz="0" w:color="000000"/>
              <w:right w:val="none" w:sz="0" w:color="000000"/>
            </w:tcBorders>
            <w:noWrap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0.87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