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/>
          <w:b/>
          <w:sz w:val="24"/>
        </w:rPr>
        <w:t>Supplementary Table 2. Biochemical IC</w:t>
      </w:r>
      <w:r>
        <w:rPr>
          <w:rFonts w:ascii="Times New Roman" w:hAnsi="Times New Roman"/>
          <w:b/>
          <w:sz w:val="24"/>
          <w:vertAlign w:val="subscript"/>
        </w:rPr>
        <w:t>50</w:t>
      </w:r>
      <w:r>
        <w:rPr>
          <w:rFonts w:ascii="Times New Roman" w:hAnsi="Times New Roman"/>
          <w:b/>
          <w:sz w:val="24"/>
        </w:rPr>
        <w:t xml:space="preserve"> determinations against CDK2/Cyclin E1 — Hill slope unconstrained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25"/>
        <w:gridCol w:w="1871"/>
        <w:gridCol w:w="1892"/>
        <w:gridCol w:w="812"/>
        <w:gridCol w:w="812"/>
        <w:gridCol w:w="932"/>
        <w:gridCol w:w="772"/>
        <w:gridCol w:w="812"/>
      </w:tblGrid>
      <w:tr>
        <w:tc>
          <w:tcPr>
            <w:tcW w:type="dxa" w:w="1125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871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IC</w:t>
            </w:r>
            <w:r>
              <w:rPr>
                <w:rFonts w:ascii="Times New Roman" w:hAnsi="Times New Roman"/>
                <w:b/>
                <w:sz w:val="24"/>
                <w:vertAlign w:val="subscript"/>
              </w:rPr>
              <w:t>50</w:t>
            </w:r>
            <w:r>
              <w:rPr>
                <w:rFonts w:ascii="Times New Roman" w:hAnsi="Times New Roman"/>
                <w:b/>
                <w:sz w:val="24"/>
              </w:rPr>
              <w:t xml:space="preserve"> (µM) [95% CI]</w:t>
            </w:r>
          </w:p>
        </w:tc>
        <w:tc>
          <w:tcPr>
            <w:tcW w:type="dxa" w:w="1892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Per-expt. IC</w:t>
            </w:r>
            <w:r>
              <w:rPr>
                <w:rFonts w:ascii="Times New Roman" w:hAnsi="Times New Roman"/>
                <w:b/>
                <w:sz w:val="24"/>
                <w:vertAlign w:val="subscript"/>
              </w:rPr>
              <w:t>50</w:t>
            </w:r>
            <w:r>
              <w:rPr>
                <w:rFonts w:ascii="Times New Roman" w:hAnsi="Times New Roman"/>
                <w:b/>
                <w:sz w:val="24"/>
              </w:rPr>
              <w:t xml:space="preserve"> (µM)</w:t>
            </w:r>
          </w:p>
        </w:tc>
        <w:tc>
          <w:tcPr>
            <w:tcW w:type="dxa" w:w="812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pIC</w:t>
            </w:r>
            <w:r>
              <w:rPr>
                <w:rFonts w:ascii="Times New Roman" w:hAnsi="Times New Roman"/>
                <w:b/>
                <w:sz w:val="24"/>
                <w:vertAlign w:val="subscript"/>
              </w:rPr>
              <w:t>50</w:t>
            </w:r>
          </w:p>
        </w:tc>
        <w:tc>
          <w:tcPr>
            <w:tcW w:type="dxa" w:w="812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Hill</w:t>
            </w:r>
          </w:p>
        </w:tc>
        <w:tc>
          <w:tcPr>
            <w:tcW w:type="dxa" w:w="932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Top (%)</w:t>
            </w:r>
          </w:p>
        </w:tc>
        <w:tc>
          <w:tcPr>
            <w:tcW w:type="dxa" w:w="772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Bot. (%)</w:t>
            </w:r>
          </w:p>
        </w:tc>
        <w:tc>
          <w:tcPr>
            <w:tcW w:type="dxa" w:w="812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</w:t>
            </w:r>
            <w:r>
              <w:rPr>
                <w:rFonts w:ascii="Times New Roman" w:hAnsi="Times New Roman"/>
                <w:b/>
                <w:sz w:val="24"/>
                <w:vertAlign w:val="superscript"/>
              </w:rPr>
              <w:t>2</w:t>
            </w:r>
          </w:p>
        </w:tc>
      </w:tr>
      <w:tr>
        <w:tc>
          <w:tcPr>
            <w:tcW w:type="dxa" w:w="1125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THQ21</w:t>
            </w:r>
          </w:p>
        </w:tc>
        <w:tc>
          <w:tcPr>
            <w:tcW w:type="dxa" w:w="1871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 [0.90–1.7]</w:t>
            </w:r>
          </w:p>
        </w:tc>
        <w:tc>
          <w:tcPr>
            <w:tcW w:type="dxa" w:w="189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1.2, 1.3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5.91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0.73</w:t>
            </w:r>
          </w:p>
        </w:tc>
        <w:tc>
          <w:tcPr>
            <w:tcW w:type="dxa" w:w="93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99.1</w:t>
            </w:r>
          </w:p>
        </w:tc>
        <w:tc>
          <w:tcPr>
            <w:tcW w:type="dxa" w:w="77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-9.4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0.94</w:t>
            </w:r>
          </w:p>
        </w:tc>
      </w:tr>
      <w:tr>
        <w:tc>
          <w:tcPr>
            <w:tcW w:type="dxa" w:w="1125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THQ6</w:t>
            </w:r>
          </w:p>
        </w:tc>
        <w:tc>
          <w:tcPr>
            <w:tcW w:type="dxa" w:w="1871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8.5 [2.2–32]</w:t>
            </w:r>
          </w:p>
        </w:tc>
        <w:tc>
          <w:tcPr>
            <w:tcW w:type="dxa" w:w="189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4.7, 9.9, 13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5.07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1.03</w:t>
            </w:r>
          </w:p>
        </w:tc>
        <w:tc>
          <w:tcPr>
            <w:tcW w:type="dxa" w:w="93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90.5</w:t>
            </w:r>
          </w:p>
        </w:tc>
        <w:tc>
          <w:tcPr>
            <w:tcW w:type="dxa" w:w="77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0.1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0.90</w:t>
            </w:r>
          </w:p>
        </w:tc>
      </w:tr>
      <w:tr>
        <w:tc>
          <w:tcPr>
            <w:tcW w:type="dxa" w:w="1125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THQ26</w:t>
            </w:r>
          </w:p>
        </w:tc>
        <w:tc>
          <w:tcPr>
            <w:tcW w:type="dxa" w:w="1871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0.53 [0.16–1.8]</w:t>
            </w:r>
          </w:p>
        </w:tc>
        <w:tc>
          <w:tcPr>
            <w:tcW w:type="dxa" w:w="189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0.85, 0.32, 0.55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6.27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0.50</w:t>
            </w:r>
          </w:p>
        </w:tc>
        <w:tc>
          <w:tcPr>
            <w:tcW w:type="dxa" w:w="93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109.3</w:t>
            </w:r>
          </w:p>
        </w:tc>
        <w:tc>
          <w:tcPr>
            <w:tcW w:type="dxa" w:w="77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-9.2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0.97</w:t>
            </w:r>
          </w:p>
        </w:tc>
      </w:tr>
      <w:tr>
        <w:tc>
          <w:tcPr>
            <w:tcW w:type="dxa" w:w="1125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THQ25</w:t>
            </w:r>
          </w:p>
        </w:tc>
        <w:tc>
          <w:tcPr>
            <w:tcW w:type="dxa" w:w="1871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0.45 [0.14–1.4]</w:t>
            </w:r>
          </w:p>
        </w:tc>
        <w:tc>
          <w:tcPr>
            <w:tcW w:type="dxa" w:w="1892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0.62, 0.56, 0.27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6.34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0.70</w:t>
            </w:r>
          </w:p>
        </w:tc>
        <w:tc>
          <w:tcPr>
            <w:tcW w:type="dxa" w:w="932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99.9</w:t>
            </w:r>
          </w:p>
        </w:tc>
        <w:tc>
          <w:tcPr>
            <w:tcW w:type="dxa" w:w="772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0.9</w:t>
            </w:r>
          </w:p>
        </w:tc>
        <w:tc>
          <w:tcPr>
            <w:tcW w:type="dxa" w:w="812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0.87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