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t>BẢNG ĐỐI CHIẾU TRÍCH DẪN VÀ BẰNG CHỨNG XÁC THỰC 20 TÀI LIỆU THAM KHẢO</w:t>
      </w:r>
    </w:p>
    <w:p>
      <w:pPr>
        <w:spacing w:before="0" w:after="160"/>
        <w:jc w:val="center"/>
      </w:pPr>
      <w:r>
        <w:rPr>
          <w:rFonts w:ascii="Times New Roman" w:hAnsi="Times New Roman"/>
          <w:i/>
          <w:sz w:val="22"/>
        </w:rPr>
        <w:t>Công trình: “Hệ thống tự động giám sát và làm sạch tấm pin quang điện tích hợp trí tuệ nhân tạo biên, PLC Siemens S7-1200 và nền tảng IoT” (TNU Journal of Science and Technology)</w:t>
      </w: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r>
              <w:rPr>
                <w:rFonts w:ascii="Times New Roman" w:hAnsi="Times New Roman"/>
                <w:b/>
                <w:sz w:val="20"/>
              </w:rPr>
              <w:t>[1]</w:t>
            </w:r>
          </w:p>
        </w:tc>
        <w:tc>
          <w:tcPr>
            <w:tcW w:type="dxa" w:w="2700"/>
            <w:vAlign w:val="top"/>
            <w:tcMar>
              <w:top w:w="60" w:type="dxa"/>
              <w:bottom w:w="60" w:type="dxa"/>
              <w:left w:w="50" w:type="dxa"/>
              <w:right w:w="50" w:type="dxa"/>
            </w:tcMar>
          </w:tcPr>
          <w:p>
            <w:r>
              <w:rPr>
                <w:rFonts w:ascii="Times New Roman" w:hAnsi="Times New Roman"/>
                <w:sz w:val="18"/>
              </w:rPr>
              <w:t>Mục 1 (Mở đầu):</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r>
              <w:rPr>
                <w:rFonts w:ascii="Times New Roman" w:hAnsi="Times New Roman"/>
                <w:sz w:val="18"/>
              </w:rPr>
              <w:t>REN21 (2024)</w:t>
              <w:br/>
              <w:t>Renewables 2024 Global Status Report: Energy Supply Module, REN21 Secretariat, Paris, France.</w:t>
              <w:br/>
              <w:br/>
              <w:t>Link trực tiếp:</w:t>
              <w:br/>
              <w:t>Cổng dữ liệu REN21 GSR 2024 (Energy Supply Module)</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30" name="Picture 13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31" name="Picture 13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r>
              <w:rPr>
                <w:rFonts w:ascii="Times New Roman" w:hAnsi="Times New Roman"/>
                <w:b/>
                <w:sz w:val="20"/>
              </w:rPr>
              <w:t>[2]</w:t>
            </w:r>
          </w:p>
        </w:tc>
        <w:tc>
          <w:tcPr>
            <w:tcW w:type="dxa" w:w="2700"/>
            <w:vAlign w:val="top"/>
            <w:tcMar>
              <w:top w:w="60" w:type="dxa"/>
              <w:bottom w:w="60" w:type="dxa"/>
              <w:left w:w="50" w:type="dxa"/>
              <w:right w:w="50" w:type="dxa"/>
            </w:tcMar>
          </w:tcPr>
          <w:p>
            <w:r>
              <w:rPr>
                <w:rFonts w:ascii="Times New Roman" w:hAnsi="Times New Roman"/>
                <w:sz w:val="18"/>
              </w:rPr>
              <w:t>Mục 1 (Mở đầu):</w:t>
              <w:br/>
              <w:br/>
              <w:t>“Tuy nhiên, hiệu suất phát điện của các tấm pin quang điện (PV) ngoài trời suy giảm đáng kể do bụi bẩn, lá cây [2], [3] và phân chim [4].”</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r>
              <w:rPr>
                <w:rFonts w:ascii="Times New Roman" w:hAnsi="Times New Roman"/>
                <w:sz w:val="18"/>
              </w:rPr>
              <w:t>P. Lin, H. Chen, S. Cheng, X. Lu, Y. Lin, and L. Sun (2025)</w:t>
              <w:br/>
              <w:t>Renew. Energy, vol. 248, p. 122926.</w:t>
              <w:br/>
              <w:br/>
              <w:t>Link trực tiếp:</w:t>
              <w:br/>
              <w:t>DOI: 10.1016/j.renene.2025.122926</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32" name="Picture 13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33" name="Picture 133"/>
                  <wp:cNvGraphicFramePr>
                    <a:graphicFrameLocks noChangeAspect="1"/>
                  </wp:cNvGraphicFramePr>
                  <a:graphic>
                    <a:graphicData uri="http://schemas.openxmlformats.org/drawingml/2006/picture">
                      <pic:pic>
                        <pic:nvPicPr>
                          <pic:cNvPr id="0" name="test_lin_highlighted.png"/>
                          <pic:cNvPicPr/>
                        </pic:nvPicPr>
                        <pic:blipFill>
                          <a:blip r:embed="rId75"/>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r>
              <w:rPr>
                <w:rFonts w:ascii="Times New Roman" w:hAnsi="Times New Roman"/>
                <w:b/>
                <w:sz w:val="20"/>
              </w:rPr>
              <w:t>[3]</w:t>
            </w:r>
          </w:p>
        </w:tc>
        <w:tc>
          <w:tcPr>
            <w:tcW w:type="dxa" w:w="2700"/>
            <w:vAlign w:val="top"/>
            <w:tcMar>
              <w:top w:w="60" w:type="dxa"/>
              <w:bottom w:w="60" w:type="dxa"/>
              <w:left w:w="50" w:type="dxa"/>
              <w:right w:w="50" w:type="dxa"/>
            </w:tcMar>
          </w:tcPr>
          <w:p>
            <w:r>
              <w:rPr>
                <w:rFonts w:ascii="Times New Roman" w:hAnsi="Times New Roman"/>
                <w:sz w:val="18"/>
              </w:rPr>
              <w:t>Mục 1 (Mở đầu &amp; Tổng quan):</w:t>
              <w:br/>
              <w:br/>
              <w:t>Mục 1 (Mở đầu): “...suy giảm đáng kể do bụi bẩn, lá cây [2], [3] và phân chim [4].”</w:t>
              <w:br/>
              <w:br/>
              <w:t>Mục 1 (Tổng quan giải pháp):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r>
              <w:rPr>
                <w:rFonts w:ascii="Times New Roman" w:hAnsi="Times New Roman"/>
                <w:sz w:val="18"/>
              </w:rPr>
              <w:t>T. Sarver, A. Al-Qaraghuli, and L. L. Kazmerski (2013)</w:t>
              <w:br/>
              <w:t>Renew. Sustain. Energy Rev., vol. 22, pp. 698–733.</w:t>
              <w:br/>
              <w:br/>
              <w:t>Link trực tiếp:</w:t>
              <w:br/>
              <w:t>DOI: 10.1016/j.rser.2012.12.065</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34" name="Picture 1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35" name="Picture 13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36" name="Picture 1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r>
              <w:rPr>
                <w:rFonts w:ascii="Times New Roman" w:hAnsi="Times New Roman"/>
                <w:b/>
                <w:sz w:val="20"/>
              </w:rPr>
              <w:t>[4]</w:t>
            </w:r>
          </w:p>
        </w:tc>
        <w:tc>
          <w:tcPr>
            <w:tcW w:type="dxa" w:w="2700"/>
            <w:vAlign w:val="top"/>
            <w:tcMar>
              <w:top w:w="60" w:type="dxa"/>
              <w:bottom w:w="60" w:type="dxa"/>
              <w:left w:w="50" w:type="dxa"/>
              <w:right w:w="50" w:type="dxa"/>
            </w:tcMar>
          </w:tcPr>
          <w:p>
            <w:r>
              <w:rPr>
                <w:rFonts w:ascii="Times New Roman" w:hAnsi="Times New Roman"/>
                <w:sz w:val="18"/>
              </w:rPr>
              <w:t>Mục 1 (Mở đầu) &amp; Mục 3.1 (Đánh giá AI):</w:t>
              <w:br/>
              <w:br/>
              <w:t>Mục 1 (Mở đầu): “Tuy nhiên, hiệu suất phát điện của các tấm pin quang điện (PV) ngoài trời suy giảm đáng kể do bụi bẩn, lá cây [2], [3] và phân chim [4].”</w:t>
              <w:br/>
              <w:br/>
              <w:t>Mục 3.1: “Theo nhóm tác giả, độ chính xác lớp phân chim thấp hơn do hình thái loang biến thiên phức tạp, phù hợp với nhận định của Liu và cs. [4]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6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172" name="Picture 17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173" name="Picture 17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r>
        <w:tc>
          <w:tcPr>
            <w:tcW w:type="dxa" w:w="600"/>
            <w:vAlign w:val="top"/>
            <w:tcMar>
              <w:top w:w="60" w:type="dxa"/>
              <w:bottom w:w="60" w:type="dxa"/>
              <w:left w:w="50" w:type="dxa"/>
              <w:right w:w="50" w:type="dxa"/>
            </w:tcMar>
          </w:tcPr>
          <w:p>
            <w:r>
              <w:rPr>
                <w:rFonts w:ascii="Times New Roman" w:hAnsi="Times New Roman"/>
                <w:b/>
                <w:sz w:val="20"/>
              </w:rPr>
              <w:t>[5]</w:t>
            </w:r>
          </w:p>
        </w:tc>
        <w:tc>
          <w:tcPr>
            <w:tcW w:type="dxa" w:w="2700"/>
            <w:vAlign w:val="top"/>
            <w:tcMar>
              <w:top w:w="60" w:type="dxa"/>
              <w:bottom w:w="60" w:type="dxa"/>
              <w:left w:w="50" w:type="dxa"/>
              <w:right w:w="50" w:type="dxa"/>
            </w:tcMar>
          </w:tcPr>
          <w:p>
            <w:r>
              <w:rPr>
                <w:rFonts w:ascii="Times New Roman" w:hAnsi="Times New Roman"/>
                <w:sz w:val="18"/>
              </w:rPr>
              <w:t>Mục 1 (Mở đầu):</w:t>
              <w:br/>
              <w:br/>
              <w:t>“Lớp bụi bám làm suy giảm độ truyền quang của kính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4">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37" name="Picture 13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38" name="Picture 13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r>
              <w:rPr>
                <w:rFonts w:ascii="Times New Roman" w:hAnsi="Times New Roman"/>
                <w:b/>
                <w:sz w:val="20"/>
              </w:rPr>
              <w:t>[6]</w:t>
            </w:r>
          </w:p>
        </w:tc>
        <w:tc>
          <w:tcPr>
            <w:tcW w:type="dxa" w:w="2700"/>
            <w:vAlign w:val="top"/>
            <w:tcMar>
              <w:top w:w="60" w:type="dxa"/>
              <w:bottom w:w="60" w:type="dxa"/>
              <w:left w:w="50" w:type="dxa"/>
              <w:right w:w="50" w:type="dxa"/>
            </w:tcMar>
          </w:tcPr>
          <w:p>
            <w:r>
              <w:rPr>
                <w:rFonts w:ascii="Times New Roman" w:hAnsi="Times New Roman"/>
                <w:sz w:val="18"/>
              </w:rPr>
              <w:t>Mục 1 (Mở đầu) &amp; Mục 3.6 (Hạn chế):</w:t>
              <w:br/>
              <w:br/>
              <w:t>Mục 1 (Mở đầu): “...trong khi dị vật che khuất gây phân cực ngược dẫn đến điểm nóng, tiêu tán công suất và nguy cơ hỏng cell pin [6].”</w:t>
              <w:br/>
              <w:br/>
              <w:t>Mục 3.6: “...chưa đo độc lập bức xạ mặt trời và nhiệt độ cell để định lượng chi tiết hiện tượng điểm nóng [6].”</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r>
              <w:rPr>
                <w:rFonts w:ascii="Times New Roman" w:hAnsi="Times New Roman"/>
                <w:sz w:val="18"/>
              </w:rPr>
              <w:t>M. Dhimish, V. Holmes, B. Mehrdadi, M. Dales, and P. Mather (2018)</w:t>
              <w:br/>
              <w:t>Electr. Power Syst. Res., vol. 158, pp. 15–25.</w:t>
              <w:br/>
              <w:br/>
              <w:t>Link trực tiếp:</w:t>
              <w:br/>
              <w:t>DOI: 10.1016/j.epsr.2018.01.002</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39" name="Picture 13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40" name="Picture 14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41" name="Picture 14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sz w:val="18"/>
              </w:rPr>
              <w:t>Chú thích: Trang 9 (p. 23), Hình 8 - Ảnh nhiệt hồng ngoại FLIR trong bài báo Dhimish et al. minh chứng sự chênh lệch nhiệt độ cục bộ rõ rệt tại cell bị che khuất (đạt 70,6–77,1 °F so với 61,8 °F ở các cell lân cận), làm cơ sở khoa học cho nhận định tại Mục 1 và Mục 3.6.</w:t>
            </w:r>
          </w:p>
        </w:tc>
      </w:tr>
      <w:tr>
        <w:tc>
          <w:tcPr>
            <w:tcW w:type="dxa" w:w="600"/>
            <w:vAlign w:val="top"/>
            <w:tcMar>
              <w:top w:w="60" w:type="dxa"/>
              <w:bottom w:w="60" w:type="dxa"/>
              <w:left w:w="50" w:type="dxa"/>
              <w:right w:w="50" w:type="dxa"/>
            </w:tcMar>
          </w:tcPr>
          <w:p>
            <w:r>
              <w:rPr>
                <w:rFonts w:ascii="Times New Roman" w:hAnsi="Times New Roman"/>
                <w:b/>
                <w:sz w:val="20"/>
              </w:rPr>
              <w:t>[7]</w:t>
            </w:r>
          </w:p>
        </w:tc>
        <w:tc>
          <w:tcPr>
            <w:tcW w:type="dxa" w:w="2700"/>
            <w:vAlign w:val="top"/>
            <w:tcMar>
              <w:top w:w="60" w:type="dxa"/>
              <w:bottom w:w="60" w:type="dxa"/>
              <w:left w:w="50" w:type="dxa"/>
              <w:right w:w="50" w:type="dxa"/>
            </w:tcMar>
          </w:tcPr>
          <w:p>
            <w:r>
              <w:rPr>
                <w:rFonts w:ascii="Times New Roman" w:hAnsi="Times New Roman"/>
                <w:sz w:val="18"/>
              </w:rPr>
              <w:t>Mục 1 (Mở đầu) &amp; Mục 2.3 (Dữ liệu thực nghiệm):</w:t>
              <w:br/>
              <w:br/>
              <w:t>Mục 1: “Đặc biệt, hiện tượng suy giảm công suất do bụi tích tụ kết hợp cùng độ ẩm và điều kiện thời tiết môi trường đã được ghi nhận qua nhiều khảo sát thực nghiệm tại Doha [7] và Surabaya [8].”</w:t>
              <w:br/>
              <w:br/>
              <w:t>Mục 2.3: “...đây là bụi nhân tạo, không so sánh trực tiếp với mức giảm công suất do bụi tự nhiên dài hạn [7], [8].”</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r>
              <w:rPr>
                <w:rFonts w:ascii="Times New Roman" w:hAnsi="Times New Roman"/>
                <w:sz w:val="18"/>
              </w:rPr>
              <w:t>W. Javed, B. Guo, and B. Figgis (2017)</w:t>
              <w:br/>
              <w:t>Sol. Energy, vol. 157, pp. 397–407.</w:t>
              <w:br/>
              <w:br/>
              <w:t>Link trực tiếp:</w:t>
              <w:br/>
              <w:t>DOI: 10.1016/j.solener.2017.08.046</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42" name="Picture 14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43" name="Picture 14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r>
              <w:rPr>
                <w:rFonts w:ascii="Times New Roman" w:hAnsi="Times New Roman"/>
                <w:b/>
                <w:sz w:val="20"/>
              </w:rPr>
              <w:t>[8]</w:t>
            </w:r>
          </w:p>
        </w:tc>
        <w:tc>
          <w:tcPr>
            <w:tcW w:type="dxa" w:w="2700"/>
            <w:vAlign w:val="top"/>
            <w:tcMar>
              <w:top w:w="60" w:type="dxa"/>
              <w:bottom w:w="60" w:type="dxa"/>
              <w:left w:w="50" w:type="dxa"/>
              <w:right w:w="50" w:type="dxa"/>
            </w:tcMar>
          </w:tcPr>
          <w:p>
            <w:r>
              <w:rPr>
                <w:rFonts w:ascii="Times New Roman" w:hAnsi="Times New Roman"/>
                <w:sz w:val="18"/>
              </w:rPr>
              <w:t>Mục 1 (Mở đầu) &amp; Mục 2.3 (Dữ liệu thực nghiệm):</w:t>
              <w:br/>
              <w:br/>
              <w:t>Mục 1: “Đặc biệt, hiện tượng suy giảm công suất do bụi tích tụ kết hợp cùng độ ẩm và điều kiện thời tiết môi trường đã được ghi nhận qua nhiều khảo sát thực nghiệm tại Doha [7] và Surabaya [8].”</w:t>
              <w:br/>
              <w:br/>
              <w:t>Mục 2.3: “...đây là bụi nhân tạo, không so sánh trực tiếp với mức giảm công suất do bụi tự nhiên dài hạn [7], [8].”</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r>
              <w:rPr>
                <w:rFonts w:ascii="Times New Roman" w:hAnsi="Times New Roman"/>
                <w:sz w:val="18"/>
              </w:rPr>
              <w:t>M. A. M. Ramli, E. Prasetyono, R. W. Wicaksana, N. A. Windarko, K. Sedraoui, and Y. A. Al-Turki (2016)</w:t>
              <w:br/>
              <w:t>Renew. Energy, vol. 99, pp. 836–844.</w:t>
              <w:br/>
              <w:br/>
              <w:t>Link trực tiếp:</w:t>
              <w:br/>
              <w:t>DOI: 10.1016/j.renene.2016.07.063</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44" name="Picture 1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45" name="Picture 14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r>
              <w:rPr>
                <w:rFonts w:ascii="Times New Roman" w:hAnsi="Times New Roman"/>
                <w:b/>
                <w:sz w:val="20"/>
              </w:rPr>
              <w:t>[9]</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“Valerino et al. (2020) [9] Cảm biến quang học</w:t>
              <w:br/>
              <w:t>(Thị giác module PV: NR | Phân vùng chia lưới: NR | Cơ cấu làm sạch: NR | ĐK công nghiệp: NR | Kiểm chứng: NR | Đo P: ✓)”</w:t>
              <w:br/>
              <w:br/>
              <w:t>Mục 1 (Tổng quan giải pháp): “Các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78">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46" name="Picture 14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47" name="Picture 14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48" name="Picture 14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r>
              <w:rPr>
                <w:rFonts w:ascii="Times New Roman" w:hAnsi="Times New Roman"/>
                <w:b/>
                <w:sz w:val="20"/>
              </w:rPr>
              <w:t>[10]</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“Luo et al. (2025) [10] (Robot cơ học + YOLOv8)</w:t>
              <w:br/>
              <w:t>(Thị giác: ✓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r>
              <w:rPr>
                <w:rFonts w:ascii="Times New Roman" w:hAnsi="Times New Roman"/>
                <w:sz w:val="18"/>
              </w:rPr>
              <w:t>J. Luo, G. Wang, Y. Lei, D. Wang, Y. Chen, and H. Zhang (2025)</w:t>
              <w:br/>
              <w:t>Front. Robot. AI, vol. 12, p. 1606774.</w:t>
              <w:br/>
              <w:br/>
              <w:t>Link trực tiếp:</w:t>
              <w:br/>
              <w:t>DOI: 10.3389/frobt.2025.1606774</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49" name="Picture 14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sz w:val="18"/>
              </w:rPr>
              <w:t>Chú thích: Trang 1 (p. 1), Tạp chí Frontiers in Robotics and AI (Vol. 12, 2025, Article 1606774) của Jidong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50" name="Picture 15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51" name="Picture 15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r>
              <w:rPr>
                <w:rFonts w:ascii="Times New Roman" w:hAnsi="Times New Roman"/>
                <w:b/>
                <w:sz w:val="20"/>
              </w:rPr>
              <w:t>[11]</w:t>
            </w:r>
          </w:p>
        </w:tc>
        <w:tc>
          <w:tcPr>
            <w:tcW w:type="dxa" w:w="2700"/>
            <w:vAlign w:val="top"/>
            <w:tcMar>
              <w:top w:w="60" w:type="dxa"/>
              <w:bottom w:w="60" w:type="dxa"/>
              <w:left w:w="50" w:type="dxa"/>
              <w:right w:w="50" w:type="dxa"/>
            </w:tcMar>
          </w:tcPr>
          <w:p>
            <w:r>
              <w:rPr>
                <w:rFonts w:ascii="Times New Roman" w:hAnsi="Times New Roman"/>
                <w:sz w:val="18"/>
              </w:rPr>
              <w:t>Mục 1 (Tổng quan giải pháp):</w:t>
              <w:br/>
              <w:br/>
              <w:t>“Các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2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52" name="Picture 15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sz w:val="18"/>
              </w:rPr>
              <w:t>Chú thích: Trang xuất bản ScienceDirect, Tạp chí Applied Energy (Vol. 411, 2026, Article 127642, Elsevier) của Wei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53" name="Picture 15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606040" cy="1357487"/>
                          </a:xfrm>
                          <a:prstGeom prst="rect"/>
                        </pic:spPr>
                      </pic:pic>
                    </a:graphicData>
                  </a:graphic>
                </wp:inline>
              </w:drawing>
            </w:r>
          </w:p>
          <w:p>
            <w:pPr>
              <w:spacing w:before="20" w:after="80" w:line="252" w:lineRule="auto"/>
              <w:jc w:val="both"/>
            </w:pPr>
            <w:r>
              <w:t>Chú thích: Toàn văn Tóm tắt (Abstract) trên ScienceDirect minh chứng bụi bám làm suy giảm 15%–34% sản lượng điện và phân tích các cơ cấu làm sạch cơ học hiện đại.</w:t>
            </w:r>
          </w:p>
        </w:tc>
      </w:tr>
      <w:tr>
        <w:tc>
          <w:tcPr>
            <w:tcW w:type="dxa" w:w="600"/>
            <w:vAlign w:val="top"/>
            <w:tcMar>
              <w:top w:w="60" w:type="dxa"/>
              <w:bottom w:w="60" w:type="dxa"/>
              <w:left w:w="50" w:type="dxa"/>
              <w:right w:w="50" w:type="dxa"/>
            </w:tcMar>
          </w:tcPr>
          <w:p>
            <w:r>
              <w:rPr>
                <w:rFonts w:ascii="Times New Roman" w:hAnsi="Times New Roman"/>
                <w:b/>
                <w:sz w:val="20"/>
              </w:rPr>
              <w:t>[12]</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“Yang et al. (2023) [12] Robot bánh xích tự hành</w:t>
              <w:br/>
              <w:t>(Thị giác: NR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3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156" name="Picture 15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157" name="Picture 15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r>
              <w:rPr>
                <w:rFonts w:ascii="Times New Roman" w:hAnsi="Times New Roman"/>
                <w:b/>
                <w:sz w:val="20"/>
              </w:rPr>
              <w:t>[13]</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“Hossain et al. (2025) [13] (Học máy dự báo + Phun nước)</w:t>
              <w:br/>
              <w:t>(Thị giác: NR | Phân vùng: NR | Cơ cấu làm sạch: ✓ | ĐK công nghiệp: NR | Kiểm chứng: NR | Đo P: ✓)”</w:t>
              <w:br/>
              <w:br/>
              <w:t>Mục 1 (Tổng quan giải pháp): “...học máy dự báo trên dữ liệu điện – môi trường [13];...”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3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54" name="Picture 15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155" name="Picture 15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r>
              <w:rPr>
                <w:rFonts w:ascii="Times New Roman" w:hAnsi="Times New Roman"/>
                <w:b/>
                <w:sz w:val="20"/>
              </w:rPr>
              <w:t>[14]</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“Fang et al. (2024) [14] (Mạng nơ-ron DGImNet)</w:t>
              <w:br/>
              <w:t>(Thị giác: ✓ | Phân vùng chia lưới: ✓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3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158" name="Picture 15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159" name="Picture 15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r>
              <w:rPr>
                <w:rFonts w:ascii="Times New Roman" w:hAnsi="Times New Roman"/>
                <w:b/>
                <w:sz w:val="20"/>
              </w:rPr>
              <w:t>[15]</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“El Karch et al. (2024) [15] (YOLOv8 nhúng Jetson)</w:t>
              <w:br/>
              <w:t>(Thị giác: ✓ | Phân vùng chia lưới: NR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4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160" name="Picture 16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161" name="Picture 16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r>
              <w:rPr>
                <w:rFonts w:ascii="Times New Roman" w:hAnsi="Times New Roman"/>
                <w:sz w:val="20"/>
              </w:rPr>
              <w:t>[16]</w:t>
            </w:r>
          </w:p>
        </w:tc>
        <w:tc>
          <w:tcPr>
            <w:tcW w:type="dxa" w:w="2700"/>
            <w:vAlign w:val="top"/>
            <w:tcMar>
              <w:top w:w="60" w:type="dxa"/>
              <w:bottom w:w="60" w:type="dxa"/>
              <w:left w:w="50" w:type="dxa"/>
              <w:right w:w="50" w:type="dxa"/>
            </w:tcMar>
          </w:tcPr>
          <w:p>
            <w:r>
              <w:rPr>
                <w:rFonts w:ascii="Times New Roman" w:hAnsi="Times New Roman"/>
                <w:sz w:val="18"/>
              </w:rPr>
              <w:t>Mục 2.1 (Cấu hình phần cứng) &amp; Mục 2.5 (Điều khiển chu trình PLC):</w:t>
              <w:br/>
              <w:br/>
              <w:t>“...Cơ cấu chấp hành gồm ray trượt 670 mm, chổi gạt hai chiều, bơm áp lực 0,5 HP, PLC Siemens S7-1200 [16], camera giám sát 1080p...” (Mục 2.1)</w:t>
              <w:br/>
              <w:br/>
              <w:t>“PLC S7-1200 CPU 1214C [16] điều khiển chu trình theo máy trạng thái hữu hạn.” (Mục 2.5)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50">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166" name="Picture 16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167" name="Picture 16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r>
              <w:rPr>
                <w:rFonts w:ascii="Times New Roman" w:hAnsi="Times New Roman"/>
                <w:sz w:val="20"/>
              </w:rPr>
              <w:t>[17]</w:t>
            </w:r>
          </w:p>
        </w:tc>
        <w:tc>
          <w:tcPr>
            <w:tcW w:type="dxa" w:w="2700"/>
            <w:vAlign w:val="top"/>
            <w:tcMar>
              <w:top w:w="60" w:type="dxa"/>
              <w:bottom w:w="60" w:type="dxa"/>
              <w:left w:w="50" w:type="dxa"/>
              <w:right w:w="50" w:type="dxa"/>
            </w:tcMar>
          </w:tcPr>
          <w:p>
            <w:r>
              <w:rPr>
                <w:rFonts w:ascii="Times New Roman" w:hAnsi="Times New Roman"/>
                <w:sz w:val="18"/>
              </w:rPr>
              <w:t>Mục 1 (Mở đầu), Mục 2.1 (Kiến trúc hệ thống) &amp; Mục 2.5 (Điều khiển PLC):</w:t>
              <w:br/>
              <w:br/>
              <w:t>“...lệnh điều khiển được gửi tới PLC qua thư viện Snap7 [17] (cổng 102) để thực thi chu trình gạt tương ứng...” (Mục 2.1)</w:t>
              <w:br/>
              <w:br/>
              <w:t>“Máy tính biên gửi cờ qua Snap7 [17] (cổng 102): DB1.DBX0.0 (chu trình ướt xử lý bụi 30 s), DB1.DBX0.1 (chu trình khô quét lá 24 s)...” (Mục 2.5)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80">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168" name="Picture 16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169" name="Picture 16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r>
              <w:rPr>
                <w:rFonts w:ascii="Times New Roman" w:hAnsi="Times New Roman"/>
                <w:sz w:val="20"/>
              </w:rPr>
              <w:t>[18]</w:t>
            </w:r>
          </w:p>
        </w:tc>
        <w:tc>
          <w:tcPr>
            <w:tcW w:type="dxa" w:w="2700"/>
            <w:vAlign w:val="top"/>
            <w:tcMar>
              <w:top w:w="60" w:type="dxa"/>
              <w:bottom w:w="60" w:type="dxa"/>
              <w:left w:w="50" w:type="dxa"/>
              <w:right w:w="50" w:type="dxa"/>
            </w:tcMar>
          </w:tcPr>
          <w:p>
            <w:r>
              <w:rPr>
                <w:rFonts w:ascii="Times New Roman" w:hAnsi="Times New Roman"/>
                <w:sz w:val="18"/>
              </w:rPr>
              <w:t>Mục 2.1 (Kiến trúc hệ thống) &amp; Mục 3.5 (Giám sát SCADA/IoT):</w:t>
              <w:br/>
              <w:br/>
              <w:t>“Dữ liệu vận hành được lưu trữ SQLite và đồng bộ lên nền tảng SCADA/IoT qua giao thức WebSocket [18].” (Mục 2.1)</w:t>
              <w:br/>
              <w:br/>
              <w:t>“Web SCADA và ứng dụng React Native (Hình 7) kết nối máy tính biên qua WebSocket [18], hiển thị điện áp, dòng điện, công suất tức thời và trạng thái làm sạch.” (Mục 3.5)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5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170" name="Picture 17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171" name="Picture 17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tc>
          <w:tcPr>
            <w:tcW w:type="dxa" w:w="600"/>
            <w:vAlign w:val="top"/>
            <w:tcMar>
              <w:top w:w="60" w:type="dxa"/>
              <w:bottom w:w="60" w:type="dxa"/>
              <w:left w:w="50" w:type="dxa"/>
              <w:right w:w="50" w:type="dxa"/>
            </w:tcMar>
          </w:tcPr>
          <w:p>
            <w:r>
              <w:rPr>
                <w:rFonts w:ascii="Times New Roman" w:hAnsi="Times New Roman"/>
                <w:sz w:val="20"/>
              </w:rPr>
              <w:t>[19]</w:t>
            </w:r>
          </w:p>
        </w:tc>
        <w:tc>
          <w:tcPr>
            <w:tcW w:type="dxa" w:w="2700"/>
            <w:vAlign w:val="top"/>
            <w:tcMar>
              <w:top w:w="60" w:type="dxa"/>
              <w:bottom w:w="60" w:type="dxa"/>
              <w:left w:w="50" w:type="dxa"/>
              <w:right w:w="50" w:type="dxa"/>
            </w:tcMar>
          </w:tcPr>
          <w:p>
            <w:r>
              <w:rPr>
                <w:rFonts w:ascii="Times New Roman" w:hAnsi="Times New Roman"/>
                <w:sz w:val="18"/>
              </w:rPr>
              <w:t>Mục 2.4 (Kiến trúc mô hình):</w:t>
              <w:br/>
              <w:br/>
              <w:t>“Chuỗi AI gồm YOLOv8n-Seg [19] (6,8 MB, 100 chu kỳ) định vị viền và nắn phối cảnh về khung 896 × 1792 px để tạo 32 ô 224 × 224 px (Hình 3)...”</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44">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162" name="Picture 16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163" name="Picture 16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r>
              <w:rPr>
                <w:rFonts w:ascii="Times New Roman" w:hAnsi="Times New Roman"/>
                <w:sz w:val="20"/>
              </w:rPr>
              <w:t>[20]</w:t>
            </w:r>
          </w:p>
        </w:tc>
        <w:tc>
          <w:tcPr>
            <w:tcW w:type="dxa" w:w="2700"/>
            <w:vAlign w:val="top"/>
            <w:tcMar>
              <w:top w:w="60" w:type="dxa"/>
              <w:bottom w:w="60" w:type="dxa"/>
              <w:left w:w="50" w:type="dxa"/>
              <w:right w:w="50" w:type="dxa"/>
            </w:tcMar>
          </w:tcPr>
          <w:p>
            <w:r>
              <w:rPr>
                <w:rFonts w:ascii="Times New Roman" w:hAnsi="Times New Roman"/>
                <w:sz w:val="18"/>
              </w:rPr>
              <w:t>Mục 2.4 (Huấn luyện mô hình):</w:t>
              <w:br/>
              <w:br/>
              <w:t>“...EfficientNet-B0 [20] huấn luyện 15 chu kỳ (Adam, LR = 0,0001; TFLite FP16, 10,6 MB; seed = 0) (Bảng 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4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164" name="Picture 16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165" name="Picture 16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bl>
    <w:sectPr w:rsidR="00FC693F" w:rsidRPr="0006063C" w:rsidSect="00034616">
      <w:pgSz w:w="16834" w:h="11909"/>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n21.net/reports/global-status-report/" TargetMode="External"/><Relationship Id="rId10" Type="http://schemas.openxmlformats.org/officeDocument/2006/relationships/hyperlink" Target="https://doi.org/10.1016/j.renene.2024.122240" TargetMode="External"/><Relationship Id="rId11" Type="http://schemas.openxmlformats.org/officeDocument/2006/relationships/hyperlink" Target="https://doi.org/10.1016/j.rser.2013.08.048"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oi.org/10.1016/j.solener.2014.05.030"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i.org/10.1016/j.epsr.2018.01.002"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doi.org/10.1016/j.solener.2017.08.046" TargetMode="External"/><Relationship Id="rId22" Type="http://schemas.openxmlformats.org/officeDocument/2006/relationships/image" Target="media/image8.png"/><Relationship Id="rId23" Type="http://schemas.openxmlformats.org/officeDocument/2006/relationships/hyperlink" Target="https://doi.org/10.1016/j.renene.2016.07.063" TargetMode="External"/><Relationship Id="rId24" Type="http://schemas.openxmlformats.org/officeDocument/2006/relationships/image" Target="media/image9.png"/><Relationship Id="rId25" Type="http://schemas.openxmlformats.org/officeDocument/2006/relationships/hyperlink" Target="https://doi.org/10.1016/j.solener.2020.01.074" TargetMode="External"/><Relationship Id="rId26" Type="http://schemas.openxmlformats.org/officeDocument/2006/relationships/image" Target="media/image10.png"/><Relationship Id="rId27" Type="http://schemas.openxmlformats.org/officeDocument/2006/relationships/hyperlink" Target="https://doi.org/10.3389/frobt.2025.1606774" TargetMode="External"/><Relationship Id="rId28" Type="http://schemas.openxmlformats.org/officeDocument/2006/relationships/image" Target="media/image11.png"/><Relationship Id="rId29" Type="http://schemas.openxmlformats.org/officeDocument/2006/relationships/hyperlink" Target="https://doi.org/10.1016/j.apenergy.2026.127642" TargetMode="Externa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yperlink" Target="https://doi.org/10.1016/j.solener.2025.113240" TargetMode="External"/><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hyperlink" Target="https://doi.org/10.3390/app13126967" TargetMode="External"/><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hyperlink" Target="https://doi.org/10.1016/j.apenergy.2024.124335" TargetMode="External"/><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hyperlink" Target="https://doi.org/10.18280/isi.290503" TargetMode="External"/><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https://github.com/ultralytics/ultralytics" TargetMode="External"/><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hyperlink" Target="https://arxiv.org/abs/1905.11946" TargetMode="External"/><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hyperlink" Target="https://support.industry.siemens.com/cs/document/109977302" TargetMode="External"/><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hyperlink" Target="https://snap7.sourceforge.net" TargetMode="External"/><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hyperlink" Target="https://doi.org/10.1016/B978-0-12-336156-1.50061-6" TargetMode="External"/><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hyperlink" Target="https://doi.org/10.17487/RFC6455" TargetMode="External"/><Relationship Id="rId60" Type="http://schemas.openxmlformats.org/officeDocument/2006/relationships/image" Target="media/image32.png"/><Relationship Id="rId61" Type="http://schemas.openxmlformats.org/officeDocument/2006/relationships/image" Target="media/image33.png"/><Relationship Id="rId62" Type="http://schemas.openxmlformats.org/officeDocument/2006/relationships/hyperlink" Target="https://doi.org/10.3390/pr12061248" TargetMode="External"/><Relationship Id="rId63" Type="http://schemas.openxmlformats.org/officeDocument/2006/relationships/image" Target="media/image34.png"/><Relationship Id="rId64" Type="http://schemas.openxmlformats.org/officeDocument/2006/relationships/image" Target="media/image35.png"/><Relationship Id="rId65" Type="http://schemas.openxmlformats.org/officeDocument/2006/relationships/image" Target="media/image36.png"/><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image" Target="media/image39.png"/><Relationship Id="rId69" Type="http://schemas.openxmlformats.org/officeDocument/2006/relationships/image" Target="media/image40.png"/><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image" Target="media/image43.png"/><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hyperlink" Target="https://doi.org/10.1016/j.renene.2025.122926" TargetMode="External"/><Relationship Id="rId77" Type="http://schemas.openxmlformats.org/officeDocument/2006/relationships/hyperlink" Target="https://doi.org/10.1016/j.rser.2012.12.065" TargetMode="External"/><Relationship Id="rId78" Type="http://schemas.openxmlformats.org/officeDocument/2006/relationships/hyperlink" Target="https://doi.org/10.1016/j.solener.2020.03.118" TargetMode="External"/><Relationship Id="rId79" Type="http://schemas.openxmlformats.org/officeDocument/2006/relationships/hyperlink" Target="https://doi.org/10.1016/j.epsr.2017.10.016" TargetMode="External"/><Relationship Id="rId80" Type="http://schemas.openxmlformats.org/officeDocument/2006/relationships/hyperlink" Target="https://snap7.sourceforge.net/" TargetMode="External"/><Relationship Id="rId81"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