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t>BẢNG ĐỐI CHIẾU TRÍCH DẪN VÀ BẰNG CHỨNG XÁC THỰC 20 TÀI LIỆU THAM KHẢO</w:t>
      </w:r>
    </w:p>
    <w:p>
      <w:pPr>
        <w:spacing w:before="0" w:after="160"/>
        <w:jc w:val="center"/>
      </w:pPr>
      <w:r>
        <w:rPr>
          <w:rFonts w:ascii="Times New Roman" w:hAnsi="Times New Roman"/>
          <w:i/>
          <w:sz w:val="22"/>
        </w:rPr>
        <w:t>Công trình: “Hệ thống tự động giám sát và làm sạch tấm pin quang điện tích hợp trí tuệ nhân tạo biên, PLC Siemens S7-1200 và nền tảng IoT” (TNU Journal of Science and Technology)</w:t>
      </w: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rPr>
                <w:rFonts w:ascii="Times New Roman" w:hAnsi="Times New Roman"/>
                <w:b/>
                <w:sz w:val="20"/>
              </w:rPr>
              <w:t>[1]</w:t>
            </w:r>
          </w:p>
        </w:tc>
        <w:tc>
          <w:tcPr>
            <w:tcW w:type="dxa" w:w="2700"/>
            <w:vAlign w:val="top"/>
            <w:tcMar>
              <w:top w:w="60" w:type="dxa"/>
              <w:bottom w:w="60" w:type="dxa"/>
              <w:left w:w="50" w:type="dxa"/>
              <w:right w:w="50" w:type="dxa"/>
            </w:tcMar>
          </w:tcPr>
          <w:p>
            <w:r>
              <w:rPr>
                <w:rFonts w:ascii="Times New Roman" w:hAnsi="Times New Roman"/>
                <w:sz w:val="18"/>
              </w:rPr>
              <w:t>Mục 1 (Mở đầu):</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81">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30" name="Picture 13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31" name="Picture 13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rPr>
                <w:rFonts w:ascii="Times New Roman" w:hAnsi="Times New Roman"/>
                <w:b/>
                <w:sz w:val="20"/>
              </w:rPr>
              <w:t>[2]</w:t>
            </w:r>
          </w:p>
        </w:tc>
        <w:tc>
          <w:tcPr>
            <w:tcW w:type="dxa" w:w="2700"/>
            <w:vAlign w:val="top"/>
            <w:tcMar>
              <w:top w:w="60" w:type="dxa"/>
              <w:bottom w:w="60" w:type="dxa"/>
              <w:left w:w="50" w:type="dxa"/>
              <w:right w:w="50" w:type="dxa"/>
            </w:tcMar>
          </w:tcPr>
          <w:p>
            <w:r>
              <w:rPr>
                <w:rFonts w:ascii="Times New Roman" w:hAnsi="Times New Roman"/>
                <w:sz w:val="18"/>
              </w:rPr>
              <w:t>Mục 1 (Mở đầu):</w:t>
              <w:br/>
              <w:br/>
              <w:t>“Tuy nhiên, hiệu suất phát điện của các tấm pin quang điện (PV) ngoài trời suy giảm đáng kể do bụi bẩn, lá cây [2], [3] và phân chim [4].”</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76">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32" name="Picture 13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33" name="Picture 133"/>
                  <wp:cNvGraphicFramePr>
                    <a:graphicFrameLocks noChangeAspect="1"/>
                  </wp:cNvGraphicFramePr>
                  <a:graphic>
                    <a:graphicData uri="http://schemas.openxmlformats.org/drawingml/2006/picture">
                      <pic:pic>
                        <pic:nvPicPr>
                          <pic:cNvPr id="0" name="test_lin_highlighted.png"/>
                          <pic:cNvPicPr/>
                        </pic:nvPicPr>
                        <pic:blipFill>
                          <a:blip r:embed="rId75"/>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rPr>
                <w:rFonts w:ascii="Times New Roman" w:hAnsi="Times New Roman"/>
                <w:b/>
                <w:sz w:val="20"/>
              </w:rPr>
              <w:t>[3]</w:t>
            </w:r>
          </w:p>
        </w:tc>
        <w:tc>
          <w:tcPr>
            <w:tcW w:type="dxa" w:w="2700"/>
            <w:vAlign w:val="top"/>
            <w:tcMar>
              <w:top w:w="60" w:type="dxa"/>
              <w:bottom w:w="60" w:type="dxa"/>
              <w:left w:w="50" w:type="dxa"/>
              <w:right w:w="50" w:type="dxa"/>
            </w:tcMar>
          </w:tcPr>
          <w:p>
            <w:r>
              <w:rPr>
                <w:rFonts w:ascii="Times New Roman" w:hAnsi="Times New Roman"/>
                <w:sz w:val="18"/>
              </w:rPr>
              <w:t>Mục 1 (Mở đầu &amp; Tổng quan):</w:t>
              <w:br/>
              <w:br/>
              <w:t>Mục 1 (Mở đầu): “...suy giảm đáng kể do bụi bẩn, lá cây [2], [3] và phân chim [4].”</w:t>
              <w:br/>
              <w:br/>
              <w:t>Mục 1 (Tổng quan giải pháp):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77">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35" name="Picture 13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36" name="Picture 1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rPr>
                <w:rFonts w:ascii="Times New Roman" w:hAnsi="Times New Roman"/>
                <w:b/>
                <w:sz w:val="20"/>
              </w:rPr>
              <w:t>[4]</w:t>
            </w:r>
          </w:p>
        </w:tc>
        <w:tc>
          <w:tcPr>
            <w:tcW w:type="dxa" w:w="2700"/>
            <w:vAlign w:val="top"/>
            <w:tcMar>
              <w:top w:w="60" w:type="dxa"/>
              <w:bottom w:w="60" w:type="dxa"/>
              <w:left w:w="50" w:type="dxa"/>
              <w:right w:w="50" w:type="dxa"/>
            </w:tcMar>
          </w:tcPr>
          <w:p>
            <w:r>
              <w:rPr>
                <w:rFonts w:ascii="Times New Roman" w:hAnsi="Times New Roman"/>
                <w:sz w:val="18"/>
              </w:rPr>
              <w:t>Mục 1 (Mở đầu) &amp; Mục 3.1 (Đánh giá AI):</w:t>
              <w:br/>
              <w:br/>
              <w:t>Mục 1 (Mở đầu): “Tuy nhiên, hiệu suất phát điện của các tấm pin quang điện (PV) ngoài trời suy giảm đáng kể do bụi bẩn, lá cây [2], [3] và phân chim [4].”</w:t>
              <w:br/>
              <w:br/>
              <w:t>Mục 3.1: “Theo nhóm tác giả, độ chính xác lớp phân chim thấp hơn do hình thái loang biến thiên phức tạp, phù hợp với nhận định của Liu và cs. [4]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6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172" name="Picture 17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173" name="Picture 17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r>
        <w:tc>
          <w:tcPr>
            <w:tcW w:type="dxa" w:w="600"/>
            <w:vAlign w:val="top"/>
            <w:tcMar>
              <w:top w:w="60" w:type="dxa"/>
              <w:bottom w:w="60" w:type="dxa"/>
              <w:left w:w="50" w:type="dxa"/>
              <w:right w:w="50" w:type="dxa"/>
            </w:tcMar>
          </w:tcPr>
          <w:p>
            <w:r>
              <w:rPr>
                <w:rFonts w:ascii="Times New Roman" w:hAnsi="Times New Roman"/>
                <w:b/>
                <w:sz w:val="20"/>
              </w:rPr>
              <w:t>[5]</w:t>
            </w:r>
          </w:p>
        </w:tc>
        <w:tc>
          <w:tcPr>
            <w:tcW w:type="dxa" w:w="2700"/>
            <w:vAlign w:val="top"/>
            <w:tcMar>
              <w:top w:w="60" w:type="dxa"/>
              <w:bottom w:w="60" w:type="dxa"/>
              <w:left w:w="50" w:type="dxa"/>
              <w:right w:w="50" w:type="dxa"/>
            </w:tcMar>
          </w:tcPr>
          <w:p>
            <w:r>
              <w:rPr>
                <w:rFonts w:ascii="Times New Roman" w:hAnsi="Times New Roman"/>
                <w:sz w:val="18"/>
              </w:rPr>
              <w:t>Mục 1 (Mở đầu):</w:t>
              <w:br/>
              <w:br/>
              <w:t>“Lớp bụi bám làm suy giảm độ truyền quang của kính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4">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37" name="Picture 13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38" name="Picture 13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rPr>
                <w:rFonts w:ascii="Times New Roman" w:hAnsi="Times New Roman"/>
                <w:b/>
                <w:sz w:val="20"/>
              </w:rPr>
              <w:t>[6]</w:t>
            </w:r>
          </w:p>
        </w:tc>
        <w:tc>
          <w:tcPr>
            <w:tcW w:type="dxa" w:w="2700"/>
            <w:vAlign w:val="top"/>
            <w:tcMar>
              <w:top w:w="60" w:type="dxa"/>
              <w:bottom w:w="60" w:type="dxa"/>
              <w:left w:w="50" w:type="dxa"/>
              <w:right w:w="50" w:type="dxa"/>
            </w:tcMar>
          </w:tcPr>
          <w:p>
            <w:r>
              <w:rPr>
                <w:rFonts w:ascii="Times New Roman" w:hAnsi="Times New Roman"/>
                <w:sz w:val="18"/>
              </w:rPr>
              <w:t>Mục 1 (Mở đầu) &amp; Mục 3.6 (Hạn chế):</w:t>
              <w:br/>
              <w:br/>
              <w:t>Mục 1 (Mở đầu): “...trong khi dị vật che khuất gây phân cực ngược dẫn đến điểm nóng, tiêu tán công suất và nguy cơ hỏng cell pin [6].”</w:t>
              <w:br/>
              <w:br/>
              <w:t>Mục 3.6: “...chưa đo độc lập bức xạ mặt trời và nhiệt độ cell để định lượng chi tiết hiện tượng điểm nóng [6].”</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17">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39" name="Picture 13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40" name="Picture 14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41" name="Picture 14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r>
              <w:rPr>
                <w:rFonts w:ascii="Times New Roman" w:hAnsi="Times New Roman"/>
                <w:b/>
                <w:sz w:val="20"/>
              </w:rPr>
              <w:t>[7]</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1">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42" name="Picture 1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43" name="Picture 14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rPr>
                <w:rFonts w:ascii="Times New Roman" w:hAnsi="Times New Roman"/>
                <w:b/>
                <w:sz w:val="20"/>
              </w:rPr>
              <w:t>[8]</w:t>
            </w:r>
          </w:p>
        </w:tc>
        <w:tc>
          <w:tcPr>
            <w:tcW w:type="dxa" w:w="2700"/>
            <w:vAlign w:val="top"/>
            <w:tcMar>
              <w:top w:w="60" w:type="dxa"/>
              <w:bottom w:w="60" w:type="dxa"/>
              <w:left w:w="50" w:type="dxa"/>
              <w:right w:w="50" w:type="dxa"/>
            </w:tcMar>
          </w:tcPr>
          <w:p>
            <w:r>
              <w:rPr>
                <w:rFonts w:ascii="Times New Roman" w:hAnsi="Times New Roman"/>
                <w:sz w:val="18"/>
              </w:rPr>
              <w:t>Mục 1 (Mở đầu):</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3">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44" name="Picture 1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45" name="Picture 14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rPr>
                <w:rFonts w:ascii="Times New Roman" w:hAnsi="Times New Roman"/>
                <w:b/>
                <w:sz w:val="20"/>
              </w:rPr>
              <w:t>[9]</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“Valerino et al. (2020) [9] Cảm biến quang học</w:t>
              <w:br/>
              <w:t>(Thị giác module PV: NR | Phân vùng chia lưới: NR | Cơ cấu làm sạch: NR | ĐK công nghiệp: NR | Kiểm chứng: NR | Đo P: ✓)”</w:t>
              <w:br/>
              <w:br/>
              <w:t>Mục 1 (Tổng quan giải pháp): “Các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78">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46" name="Picture 1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47" name="Picture 14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48" name="Picture 14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rPr>
                <w:rFonts w:ascii="Times New Roman" w:hAnsi="Times New Roman"/>
                <w:b/>
                <w:sz w:val="20"/>
              </w:rPr>
              <w:t>[10]</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“Luo et al. (2025) [10] Robot di động bánh xích</w:t>
              <w:br/>
              <w:t>(Thị giác: ✓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7">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49" name="Picture 14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50" name="Picture 15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51" name="Picture 15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rPr>
                <w:rFonts w:ascii="Times New Roman" w:hAnsi="Times New Roman"/>
                <w:b/>
                <w:sz w:val="20"/>
              </w:rPr>
              <w:t>[11]</w:t>
            </w:r>
          </w:p>
        </w:tc>
        <w:tc>
          <w:tcPr>
            <w:tcW w:type="dxa" w:w="2700"/>
            <w:vAlign w:val="top"/>
            <w:tcMar>
              <w:top w:w="60" w:type="dxa"/>
              <w:bottom w:w="60" w:type="dxa"/>
              <w:left w:w="50" w:type="dxa"/>
              <w:right w:w="50" w:type="dxa"/>
            </w:tcMar>
          </w:tcPr>
          <w:p>
            <w:r>
              <w:rPr>
                <w:rFonts w:ascii="Times New Roman" w:hAnsi="Times New Roman"/>
                <w:sz w:val="18"/>
              </w:rPr>
              <w:t>Mục 1 (Tổng quan giải pháp):</w:t>
              <w:br/>
              <w:br/>
              <w:t>“Các giải pháp tự động hiện nay chia thành bốn hướng chính: cảm biến quang học [9]; cơ cấu làm sạch cơ học [10]–[12]; học máy dự báo trên dữ liệu điện – môi trường [13]; và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2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52" name="Picture 15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53" name="Picture 15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06040" cy="1357487"/>
                          </a:xfrm>
                          <a:prstGeom prst="rect"/>
                        </pic:spPr>
                      </pic:pic>
                    </a:graphicData>
                  </a:graphic>
                </wp:inline>
              </w:drawing>
            </w:r>
          </w:p>
          <w:p>
            <w:pPr>
              <w:spacing w:before="20" w:after="80" w:line="252" w:lineRule="auto"/>
              <w:jc w:val="both"/>
            </w:pPr>
            <w:r>
              <w:t>Chú thích: Toàn văn Tóm tắt (Abstract) trên ScienceDirect minh chứng bụi bám làm suy giảm 15%–34% sản lượng điện và phân tích các cơ cấu làm sạch cơ học hiện đại.</w:t>
            </w:r>
          </w:p>
        </w:tc>
      </w:tr>
      <w:tr>
        <w:tc>
          <w:tcPr>
            <w:tcW w:type="dxa" w:w="600"/>
            <w:vAlign w:val="top"/>
            <w:tcMar>
              <w:top w:w="60" w:type="dxa"/>
              <w:bottom w:w="60" w:type="dxa"/>
              <w:left w:w="50" w:type="dxa"/>
              <w:right w:w="50" w:type="dxa"/>
            </w:tcMar>
          </w:tcPr>
          <w:p>
            <w:r>
              <w:rPr>
                <w:rFonts w:ascii="Times New Roman" w:hAnsi="Times New Roman"/>
                <w:b/>
                <w:sz w:val="20"/>
              </w:rPr>
              <w:t>[12]</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“Yang et al. (2023) [12] Robot bánh xích tự hành</w:t>
              <w:br/>
              <w:t>(Thị giác: NR | Phân vùng: NR | Cơ cấu làm sạch: ✓ | ĐK công nghiệp: NR | Kiểm chứng: NR | Đo P: NR)”</w:t>
              <w:br/>
              <w:br/>
              <w:t>Mục 1 (Tổng quan giải pháp): “...cơ cấu làm sạch cơ học [10]–[12];...”</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3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156" name="Picture 15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157" name="Picture 15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rPr>
                <w:rFonts w:ascii="Times New Roman" w:hAnsi="Times New Roman"/>
                <w:b/>
                <w:sz w:val="20"/>
              </w:rPr>
              <w:t>[13]</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“Hossain et al. (2025) [13] Phun nước áp lực</w:t>
              <w:br/>
              <w:t>(Thị giác: NR | Phân vùng: NR | Cơ cấu làm sạch: ✓ | ĐK công nghiệp: NR | Kiểm chứng: NR | Đo P: ✓)”</w:t>
              <w:br/>
              <w:br/>
              <w:t>Mục 1 (Tổng quan giải pháp): “...học máy dự báo trên dữ liệu điện – môi trường [13];...”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3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54" name="Picture 15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155" name="Picture 15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rPr>
                <w:rFonts w:ascii="Times New Roman" w:hAnsi="Times New Roman"/>
                <w:b/>
                <w:sz w:val="20"/>
              </w:rPr>
              <w:t>[14]</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“Fang et al. (2024) [14] Mạng DGImNet</w:t>
              <w:br/>
              <w:t>(Thị giác: ✓ | Phân vùng chia lưới: ✓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3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158" name="Picture 15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159" name="Picture 15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rPr>
                <w:rFonts w:ascii="Times New Roman" w:hAnsi="Times New Roman"/>
                <w:b/>
                <w:sz w:val="20"/>
              </w:rPr>
              <w:t>[15]</w:t>
            </w:r>
          </w:p>
        </w:tc>
        <w:tc>
          <w:tcPr>
            <w:tcW w:type="dxa" w:w="2700"/>
            <w:vAlign w:val="top"/>
            <w:tcMar>
              <w:top w:w="60" w:type="dxa"/>
              <w:bottom w:w="60" w:type="dxa"/>
              <w:left w:w="50" w:type="dxa"/>
              <w:right w:w="50" w:type="dxa"/>
            </w:tcMar>
          </w:tcPr>
          <w:p>
            <w:r>
              <w:rPr>
                <w:rFonts w:ascii="Times New Roman" w:hAnsi="Times New Roman"/>
                <w:sz w:val="18"/>
              </w:rPr>
              <w:t>Bảng 1 (Bảng đối chuẩn, Trang 2) &amp; Mục 1 (Tổng quan giải pháp):</w:t>
              <w:br/>
              <w:br/>
              <w:t>“El Karch et al. (2024) [15] YOLOv8 Jetson</w:t>
              <w:br/>
              <w:t>(Thị giác: ✓ | Phân vùng chia lưới: NR | Cơ cấu làm sạch: NR | ĐK công nghiệp: NR | Kiểm chứng: NR | Đo P: NR)”</w:t>
              <w:br/>
              <w:br/>
              <w:t>Mục 1 (Tổng quan giải pháp): “...thị giác máy tính kết hợp học sâu [14], [15].”</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4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160" name="Picture 16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161" name="Picture 16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rPr>
                <w:rFonts w:ascii="Times New Roman" w:hAnsi="Times New Roman"/>
                <w:b/>
                <w:sz w:val="20"/>
              </w:rPr>
              <w:t>[16]</w:t>
            </w:r>
          </w:p>
        </w:tc>
        <w:tc>
          <w:tcPr>
            <w:tcW w:type="dxa" w:w="2700"/>
            <w:vAlign w:val="top"/>
            <w:tcMar>
              <w:top w:w="60" w:type="dxa"/>
              <w:bottom w:w="60" w:type="dxa"/>
              <w:left w:w="50" w:type="dxa"/>
              <w:right w:w="50" w:type="dxa"/>
            </w:tcMar>
          </w:tcPr>
          <w:p>
            <w:r>
              <w:rPr>
                <w:rFonts w:ascii="Times New Roman" w:hAnsi="Times New Roman"/>
                <w:sz w:val="18"/>
              </w:rPr>
              <w:t>Mục 2.4 (Kiến trúc mô hình):</w:t>
              <w:br/>
              <w:br/>
              <w:t>“Chuỗi AI gồm YOLOv8n-Seg [16] (6,8 MB, 100 chu kỳ) định vị viền và nắn phối cảnh về khung 896 × 1792 px...”</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44">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162" name="Picture 16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163" name="Picture 16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rPr>
                <w:rFonts w:ascii="Times New Roman" w:hAnsi="Times New Roman"/>
                <w:b/>
                <w:sz w:val="20"/>
              </w:rPr>
              <w:t>[17]</w:t>
            </w:r>
          </w:p>
        </w:tc>
        <w:tc>
          <w:tcPr>
            <w:tcW w:type="dxa" w:w="2700"/>
            <w:vAlign w:val="top"/>
            <w:tcMar>
              <w:top w:w="60" w:type="dxa"/>
              <w:bottom w:w="60" w:type="dxa"/>
              <w:left w:w="50" w:type="dxa"/>
              <w:right w:w="50" w:type="dxa"/>
            </w:tcMar>
          </w:tcPr>
          <w:p>
            <w:r>
              <w:rPr>
                <w:rFonts w:ascii="Times New Roman" w:hAnsi="Times New Roman"/>
                <w:sz w:val="18"/>
              </w:rPr>
              <w:t>Mục 2.4 (Huấn luyện mô hình):</w:t>
              <w:br/>
              <w:br/>
              <w:t>“...EfficientNet-B0 [17] huấn luyện 15 chu kỳ (Adam, LR = 0,001)...”</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4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164" name="Picture 16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165" name="Picture 16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r>
        <w:tc>
          <w:tcPr>
            <w:tcW w:type="dxa" w:w="600"/>
            <w:vAlign w:val="top"/>
            <w:tcMar>
              <w:top w:w="60" w:type="dxa"/>
              <w:bottom w:w="60" w:type="dxa"/>
              <w:left w:w="50" w:type="dxa"/>
              <w:right w:w="50" w:type="dxa"/>
            </w:tcMar>
          </w:tcPr>
          <w:p>
            <w:r>
              <w:rPr>
                <w:rFonts w:ascii="Times New Roman" w:hAnsi="Times New Roman"/>
                <w:b/>
                <w:sz w:val="20"/>
              </w:rPr>
              <w:t>[18]</w:t>
            </w:r>
          </w:p>
        </w:tc>
        <w:tc>
          <w:tcPr>
            <w:tcW w:type="dxa" w:w="2700"/>
            <w:vAlign w:val="top"/>
            <w:tcMar>
              <w:top w:w="60" w:type="dxa"/>
              <w:bottom w:w="60" w:type="dxa"/>
              <w:left w:w="50" w:type="dxa"/>
              <w:right w:w="50" w:type="dxa"/>
            </w:tcMar>
          </w:tcPr>
          <w:p>
            <w:r>
              <w:rPr>
                <w:rFonts w:ascii="Times New Roman" w:hAnsi="Times New Roman"/>
                <w:sz w:val="18"/>
              </w:rPr>
              <w:t>Mục 2.5 (Điều khiển chu trình PLC):</w:t>
              <w:br/>
              <w:br/>
              <w:t>“PLC S7-1200 CPU 1214C [18] điều khiển chu trình theo máy trạng thái hữu hạn.”</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50">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166" name="Picture 16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167" name="Picture 16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rPr>
                <w:rFonts w:ascii="Times New Roman" w:hAnsi="Times New Roman"/>
                <w:b/>
                <w:sz w:val="20"/>
              </w:rPr>
              <w:t>[19]</w:t>
            </w:r>
          </w:p>
        </w:tc>
        <w:tc>
          <w:tcPr>
            <w:tcW w:type="dxa" w:w="2700"/>
            <w:vAlign w:val="top"/>
            <w:tcMar>
              <w:top w:w="60" w:type="dxa"/>
              <w:bottom w:w="60" w:type="dxa"/>
              <w:left w:w="50" w:type="dxa"/>
              <w:right w:w="50" w:type="dxa"/>
            </w:tcMar>
          </w:tcPr>
          <w:p>
            <w:r>
              <w:rPr>
                <w:rFonts w:ascii="Times New Roman" w:hAnsi="Times New Roman"/>
                <w:sz w:val="18"/>
              </w:rPr>
              <w:t>Mục 2.5 (Điều khiển chu trình PLC):</w:t>
              <w:br/>
              <w:br/>
              <w:t>“Máy tính biên gửi cờ qua Snap7 [19] (cổng 102) để kích hoạt chu trình tương ứng...”</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80">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168" name="Picture 16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169" name="Picture 16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r>
              <w:rPr>
                <w:rFonts w:ascii="Times New Roman" w:hAnsi="Times New Roman"/>
                <w:b/>
                <w:sz w:val="20"/>
              </w:rPr>
              <w:t>[20]</w:t>
            </w:r>
          </w:p>
        </w:tc>
        <w:tc>
          <w:tcPr>
            <w:tcW w:type="dxa" w:w="2700"/>
            <w:vAlign w:val="top"/>
            <w:tcMar>
              <w:top w:w="60" w:type="dxa"/>
              <w:bottom w:w="60" w:type="dxa"/>
              <w:left w:w="50" w:type="dxa"/>
              <w:right w:w="50" w:type="dxa"/>
            </w:tcMar>
          </w:tcPr>
          <w:p>
            <w:r>
              <w:rPr>
                <w:rFonts w:ascii="Times New Roman" w:hAnsi="Times New Roman"/>
                <w:sz w:val="18"/>
              </w:rPr>
              <w:t>Mục 3.5 (Giám sát SCADA/IoT):</w:t>
              <w:br/>
              <w:br/>
              <w:t>“Web SCADA và ứng dụng React Native (Hình 7) kết nối máy tính biên qua WebSocket [20], hiển thị điện áp, dòng điện, công suất tức thời và trạng thái làm sạch.”</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5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170" name="Picture 17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171" name="Picture 17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bl>
    <w:sectPr w:rsidR="00FC693F" w:rsidRPr="0006063C" w:rsidSect="00034616">
      <w:pgSz w:w="16834" w:h="11909"/>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n21.net/reports/global-status-report/" TargetMode="External"/><Relationship Id="rId10" Type="http://schemas.openxmlformats.org/officeDocument/2006/relationships/hyperlink" Target="https://doi.org/10.1016/j.renene.2024.122240" TargetMode="External"/><Relationship Id="rId11" Type="http://schemas.openxmlformats.org/officeDocument/2006/relationships/hyperlink" Target="https://doi.org/10.1016/j.rser.2013.08.048"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oi.org/10.1016/j.solener.2014.05.030"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1016/j.epsr.2018.01.002"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doi.org/10.1016/j.solener.2017.08.046" TargetMode="External"/><Relationship Id="rId22" Type="http://schemas.openxmlformats.org/officeDocument/2006/relationships/image" Target="media/image8.png"/><Relationship Id="rId23" Type="http://schemas.openxmlformats.org/officeDocument/2006/relationships/hyperlink" Target="https://doi.org/10.1016/j.renene.2016.07.063" TargetMode="External"/><Relationship Id="rId24" Type="http://schemas.openxmlformats.org/officeDocument/2006/relationships/image" Target="media/image9.png"/><Relationship Id="rId25" Type="http://schemas.openxmlformats.org/officeDocument/2006/relationships/hyperlink" Target="https://doi.org/10.1016/j.solener.2020.01.074" TargetMode="External"/><Relationship Id="rId26" Type="http://schemas.openxmlformats.org/officeDocument/2006/relationships/image" Target="media/image10.png"/><Relationship Id="rId27" Type="http://schemas.openxmlformats.org/officeDocument/2006/relationships/hyperlink" Target="https://doi.org/10.3389/frobt.2025.1606774" TargetMode="External"/><Relationship Id="rId28" Type="http://schemas.openxmlformats.org/officeDocument/2006/relationships/image" Target="media/image11.png"/><Relationship Id="rId29" Type="http://schemas.openxmlformats.org/officeDocument/2006/relationships/hyperlink" Target="https://doi.org/10.1016/j.apenergy.2026.127642" TargetMode="Externa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yperlink" Target="https://doi.org/10.1016/j.solener.2025.113240" TargetMode="Externa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doi.org/10.3390/app13126967" TargetMode="External"/><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hyperlink" Target="https://doi.org/10.1016/j.apenergy.2024.124335" TargetMode="External"/><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hyperlink" Target="https://doi.org/10.18280/isi.290503" TargetMode="External"/><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https://github.com/ultralytics/ultralytics" TargetMode="External"/><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hyperlink" Target="https://arxiv.org/abs/1905.11946" TargetMode="External"/><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hyperlink" Target="https://support.industry.siemens.com/cs/document/109977302" TargetMode="External"/><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hyperlink" Target="https://snap7.sourceforge.net" TargetMode="External"/><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hyperlink" Target="https://doi.org/10.1016/B978-0-12-336156-1.50061-6" TargetMode="External"/><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hyperlink" Target="https://doi.org/10.17487/RFC6455" TargetMode="External"/><Relationship Id="rId60" Type="http://schemas.openxmlformats.org/officeDocument/2006/relationships/image" Target="media/image32.png"/><Relationship Id="rId61" Type="http://schemas.openxmlformats.org/officeDocument/2006/relationships/image" Target="media/image33.png"/><Relationship Id="rId62" Type="http://schemas.openxmlformats.org/officeDocument/2006/relationships/hyperlink" Target="https://doi.org/10.3390/pr12061248" TargetMode="External"/><Relationship Id="rId63" Type="http://schemas.openxmlformats.org/officeDocument/2006/relationships/image" Target="media/image34.png"/><Relationship Id="rId64" Type="http://schemas.openxmlformats.org/officeDocument/2006/relationships/image" Target="media/image35.png"/><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hyperlink" Target="https://doi.org/10.1016/j.renene.2025.122926" TargetMode="External"/><Relationship Id="rId77" Type="http://schemas.openxmlformats.org/officeDocument/2006/relationships/hyperlink" Target="https://doi.org/10.1016/j.rser.2012.12.065" TargetMode="External"/><Relationship Id="rId78" Type="http://schemas.openxmlformats.org/officeDocument/2006/relationships/hyperlink" Target="https://doi.org/10.1016/j.solener.2020.03.118" TargetMode="External"/><Relationship Id="rId79" Type="http://schemas.openxmlformats.org/officeDocument/2006/relationships/hyperlink" Target="https://doi.org/10.1016/j.epsr.2017.10.016" TargetMode="External"/><Relationship Id="rId80" Type="http://schemas.openxmlformats.org/officeDocument/2006/relationships/hyperlink" Target="https://snap7.sourceforge.net/" TargetMode="External"/><Relationship Id="rId81"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