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w:t>
              <w:br/>
              <w:t>2. Đã lập lại toàn bộ Bảng 1 với 100% tài liệu có thật, đã kiểm chứng DOI hoạt động gồm đúng 6 công trình khảo sát: [8] Valerino et al. (Sol. Energy 2020), [9] Luo et al. (Front. Robot. AI 2025), [11] Hossain et al. (Solar Energy 2025), [12] Yang et al. (Appl. Sci. 2023), [13] Fang et al. (Appl. Energy 2024), [14] El Karch et al. (ISI 2024) (Bảng 1 chỉ gồm 6 tài liệu này, hoàn toàn không liệt kê [2]).</w:t>
              <w:br/>
              <w:t>3. Đã chuẩn hóa tiêu chí (2) thành “Phân vùng chia lưới bề mặt”: Fang et al. [13] (DGImNet) đạt tiêu chí (✓) do chia ảnh lưới bụi DGI; El Karch et al. [14] ghi nhận NR do chỉ nhận diện hộp bao bụi toàn khung không chia lưới cố định.</w:t>
              <w:br/>
              <w:t>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14:paraId="012CDA9B" w14:textId="77777777" w:rsidR="00D37D99" w:rsidRPr="00125073" w:rsidRDefault="00000000" w:rsidP="005F6265">
            <w:pPr>
              <w:spacing w:after="40"/>
              <w:ind w:firstLine="253"/>
              <w:jc w:val="both"/>
              <w:rPr>
                <w:rFonts w:ascii="Times New Roman" w:hAnsi="Times New Roman" w:cs="Times New Roman"/>
                <w:szCs w:val="21"/>
              </w:rPr>
            </w:pPr>
            <w:r w:rsidRPr="00125073">
              <w:rPr>
                <w:rFonts w:ascii="Times New Roman" w:eastAsia="Times New Roman" w:hAnsi="Times New Roman" w:cs="Times New Roman"/>
                <w:szCs w:val="21"/>
              </w:rPr>
              <w:t>P</w:t>
            </w:r>
            <w:r w:rsidRPr="005F6265">
              <w:rPr>
                <w:rFonts w:ascii="Times New Roman" w:eastAsia="Times New Roman" w:hAnsi="Times New Roman" w:cs="Times New Roman"/>
                <w:szCs w:val="21"/>
                <w:vertAlign w:val="subscript"/>
              </w:rPr>
              <w:t>sau</w:t>
            </w:r>
            <w:r w:rsidRPr="00125073">
              <w:rPr>
                <w:rFonts w:ascii="Times New Roman" w:eastAsia="Times New Roman" w:hAnsi="Times New Roman" w:cs="Times New Roman"/>
                <w:szCs w:val="21"/>
              </w:rPr>
              <w:t xml:space="preserve"> = 49,3 W (98,6% định mức) ngoài trời buổi trưa, với bộ sạc PWM, là cao bất thường. Bụi mịn làm giảm khoảng 70% công suất cũng cao so với tài liệu [4].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Chuẩn hóa định nghĩa cờ DB1 tập trung duy nhất tại Mục 2.5 (P36):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r>
              <w:rPr>
                <w:rFonts w:ascii="Times New Roman" w:hAnsi="Times New Roman"/>
                <w:sz w:val="19"/>
              </w:rPr>
              <w:t>Đã làm rõ thực chất tại Mục 2.4 và hồ sơ giải trình:</w:t>
              <w:br/>
              <w:t>1. Tấm pin có kích thước vật lý 670 × 535 mm (tỷ lệ khoảng 1:1,25), chia lưới 4 × 8 ô khiến mỗi ô vật lý có kích thước khoảng 83,8 × 133,8 mm (tỷ lệ 1:1,6). Khi nắn phối cảnh về khung 896 × 1792 px (mỗi ô là 224 × 224 px, tỷ lệ 1:1), ảnh từng ô chịu sự biến dạng co nén phi đẳng hướng (anisotropic scaling) theo phương dọc khoảng 1,6 lần.</w:t>
              <w:br/>
              <w:t>2. Nhóm tác giả chấp nhận thỏa hiệp thiết kế này vì: (i) Kích thước 224 × 224 px vừa khớp đầu vào chuẩn của mạng EfficientNet-B0 mà không phát sinh vùng đệm đen (padding) hay cắt ảnh (crop), giúp tối ưu hóa bộ nhớ và tốc độ xử lý hàng loạt trên máy tính biên; (ii) Nhiệm vụ phân loại ô bẩn tập trung vào mật độ che phủ hạt, độ mờ đục và đặc trưng kết cấu màu sắc bề mặt (texture), vốn ít nhạy cảm với độ méo tỷ lệ hơn so với bài toán nhận diện hình dáng hình học của vật thể; (iii) Giới hạn biến dạng hình học này đã được ghi nhận như một đặc thù tiền xử lý của hệ thống.</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r>
              <w:rPr>
                <w:rFonts w:ascii="Times New Roman" w:hAnsi="Times New Roman"/>
                <w:sz w:val="19"/>
              </w:rPr>
              <w:t>1. Đã làm rõ tại Mục 2.3: Bộ dữ liệu phân đoạn viền gồm 1.250 ảnh cho YOLOv8n-Seg; dữ liệu phát hiện dị vật gồm 1.250 ảnh, trên đó chứa 1.250 đối tượng/nhãn dị vật gán khung bao bounding box (650 nhãn lá cây, 600 nhãn phân chim) cho YOLOv8n;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rPr>
                <w:rFonts w:ascii="Times New Roman" w:hAnsi="Times New Roman"/>
              </w:rPr>
              <w:t>Mục 2.3, Mục 3.1, Mục 3.6 và Kết luận</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r>
              <w:rPr>
                <w:rFonts w:ascii="Times New Roman" w:hAnsi="Times New Roman"/>
                <w:sz w:val="19"/>
              </w:rPr>
              <w:t>1. Bổ sung quy trình tạo bụi tại Mục 2.3: Bụi đất mịn được sấy khô ở 105 °C trong 2 giờ và rắc theo lưới 32 ô với mật độ cao mô phỏng kịch bản cực đoan; nêu rõ đây là bụi nhân tạo, không so sánh đối đầu trực tiếp với mức giảm công suất do bụi tự nhiên dài hạn.</w:t>
              <w:br/>
              <w:t>2. Thống nhất tính khiêm tốn khoa học giữa Mục 3.1 và Kết luận: Sửa câu tại Mục 3.1 thành 'trọng số triển khai được chọn tại điểm có hàm mất mát nhỏ nhất trên tập kiểm định', loại bỏ cụm từ 'nhằm bảo đảm độ khái quát', bảo đảm tính nhất quán với Kết luận ('khả năng tổng quát hóa cần được đánh giá thêm trên dữ liệu độc lập') và Mục 3.6 (Hạn chế 2).</w:t>
              <w:br/>
              <w:t>3. Minh bạch hạn chế tại Mục 3.6 (Hạn chế 2): Thừa nhận rõ việc tập kiểm thử YOLO gồm 125 ảnh sinh từ 12 ảnh mẹ qua biến đổi tăng cường và 384 ô phân loại trích từ cùng 12 ảnh này là cách làm bất thường và là hạn chế về tính độc lập dữ liệu, chưa bảo đảm tính khái quát hóa cho nhiều chủng loại pin hay thời tiết khác nhau.</w:t>
              <w:br/>
              <w:t>4. Lược bỏ các số liệu suy diễn: Đã lược bỏ khoảng tin cậy 95% lý thuyết (95,1–98,6%), câu suy đoán dao động epoch 13, và chuẩn hóa hạn chế vệt nước đọng gây nhiễu.</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r>
              <w:rPr>
                <w:rFonts w:ascii="Times New Roman" w:hAnsi="Times New Roman"/>
                <w:sz w:val="19"/>
              </w:rPr>
              <w:t>1. Đã chuẩn hóa Bảng 5 khớp chính xác với triển khai thực tế: Chu trình ướt 30 s gồm 4 giai đoạn liên tục: GĐ 1: Phun ẩm (4,0 s, bơm Q0.0 ON phun làm mềm bụi); GĐ 2: Quét thuận (12,0 s, động cơ thuận kết hợp phun nước); GĐ 3: Quét nghịch (12,0 s, động cơ nghịch kết hợp phun nước về vị trí đỗ Home); GĐ 4: Kiểm chứng AI (2,0 s, camera thu nhận ảnh để AI kiểm chứng Csau &lt; 5,0% và NFO = 0). Tổng thời gian chu trình ướt là 30 s với lượng nước tiêu thụ 2,5 L.</w:t>
              <w:br/>
              <w:t>2. Chu trình khô quét lá cây (24 s, không phun nước) được trình bày độc lập tại Mục 3.3.</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các diễn đạt về điểm nóng: Nhắc đến điểm nóng như cơ chế lý thuyết và nguy cơ tiềm ẩn trên cơ sở tài liệu [5]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14:paraId="3343F0DF" w14:textId="77777777" w:rsidR="00D37D99" w:rsidRPr="00125073" w:rsidRDefault="00000000" w:rsidP="005F6265">
            <w:pPr>
              <w:spacing w:after="40"/>
              <w:jc w:val="both"/>
              <w:rPr>
                <w:rFonts w:ascii="Times New Roman" w:hAnsi="Times New Roman" w:cs="Times New Roman"/>
                <w:szCs w:val="21"/>
              </w:rPr>
            </w:pPr>
            <w:r w:rsidRPr="00125073">
              <w:rPr>
                <w:rFonts w:ascii="Times New Roman" w:eastAsia="Times New Roman" w:hAnsi="Times New Roman" w:cs="Times New Roman"/>
                <w:szCs w:val="21"/>
              </w:rPr>
              <w:t>Đã rút gọn đoạn văn, lược bỏ các nhận định khái quát thiếu căn cứ và bổ sung các trích dẫn tài liệu cụ thể [9]–[11]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[9] Front. Robot. AI, [11] Sol. Energy).</w:t>
              <w:br/>
              <w:t>- Chuẩn hóa danh sách tác giả chính xác 100% theo bản ghi nhà xuất bản và chuẩn IEEE: [5] M. Dhimish, V. Holmes, B. Mehrdadi, M. Dales, and P. Mather (2018); [9] J. Luo, G. Wang, Y. Lei, D. Wang, Y. Chen, and H. Zhang (2025); [11] S. Hossain, A. M. Arika, I. N. Fahim, J. Uddin, A. Ahmed, H. J. Apon, and M. A. Hoque (2025).</w:t>
              <w:br/>
              <w:t>- Bổ sung cổng SIOS và ngày truy cập cho tài liệu kỹ thuật [17]; trích dẫn chuẩn mã nguồn Ultralytics YOLOv8 [15] (v8.0.0) và thư viện Snap7 [18] (v1.4.2).</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hAnsi="Times New Roman"/>
          <w:b/>
          <w:sz w:val="22"/>
        </w:rPr>
        <w:t>2.1. Giải trình nguồn gốc 4 tài liệu không tìm thấy trong bản thảo sơ bộ (góp ý cũ [6], [7], [9], [11]; nay là [7], [8], [10], [13] theo chuẩn IEEE):</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hAnsi="Times New Roman"/>
        </w:rPr>
        <w:t>Ngay sau khi nhận góp ý của Thầy, nhóm đã kiên quyết loại bỏ 4 tài liệu này và thay thế bằng các công trình Q1 có thật 100%, uy tín cao, sát với đề tài:</w:t>
        <w:br/>
        <w:t>• [7] (bản cũ [6]) W. Javed et al. (Solar Energy, vol. 157, 2017, DOI: 10.1016/j.solener.2017.08.046) - Thay thế bài Huynh &amp; Tran 2023.</w:t>
        <w:br/>
        <w:t>• [8] (bản cũ [7]) M. A. M. Ramli et al. (Renewable Energy, vol. 99, 2016, DOI: 10.1016/j.renene.2016.07.063) - Thay thế bài Nguyen 2022 (DOI 404).</w:t>
        <w:br/>
        <w:t>• [10] (bản cũ [9]) J. Luo et al. (Frontiers in Robotics and AI, vol. 12, 2025, DOI: 10.3389/frobt.2025.1606774) - Thay thế bài Al-Ghamdi 2020.</w:t>
        <w:br/>
        <w:t>• [13] (bản cũ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76" w:lineRule="auto" w:after="40" w:before="0"/>
            </w:pPr>
            <w:r>
              <w:rPr>
                <w:rFonts w:ascii="Times New Roman" w:hAnsi="Times New Roman"/>
                <w:color w:val="000000"/>
                <w:sz w:val="18"/>
              </w:rPr>
              <w:t>Phù hợp (Kịch bản Bụi 3): Thời điểm nắng gắt (ước lượng quan sát định tính, chưa đo độc lập bức xạ). Màng bụi nhân tạo phủ dày 62,5% diện tích; sau phun rửa 2,5 L nước kết hợp hiệu ứng làm mát bề mặt ngoài trời, công suất đo được đạt 49,3 W (+34,8 W so với P trước).</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14:paraId="31CCC1E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1): Nắng tốt. Bụi che 31,3% diện tích (10 ô), chu trình ướt làm sạch hoàn toàn màng bụi, công suất tăng mạnh từ 24 W lên 45 W (+21 W, +90,8%).</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14:paraId="1C2B4221"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2): Mây tan bừng nắng trở lại kết hợp gạt sạch vật cản che khuất, công suất tăng mạnh từ 13 W lên 33 W (+20 W, +150,7%).</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14:paraId="516A8436"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3): Nắng nhẹ xen mây. Lá cây che ~25%, chu trình gạt khô 24 s loại bỏ hoàn toàn dị vật (NFO = 0), công suất tăng từ 27 W lên 32 W (+5 W, +18,4%).</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14:paraId="52D04E93"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2): Nắng nhẹ. Lá cây che ~20%, gạt khô 24 s sạch hoàn toàn lá (NFO = 0), công suất tăng từ 27 W lên 33 W (+5 W, +19,8%).</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14:paraId="3F59C3D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1): Nắng quang mây. Bề mặt có vật cản che một phần, sau khi làm sạch công suất tăng từ 24 W lên 40 W (+17 W, +70,2%).</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3.6 (Định lượng điện tự dùng):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hAnsi="Times New Roman"/>
        </w:rPr>
        <w:t xml:space="preserve"> • Mục 1 (Mạch văn): Câu đơn độc 'Cách tiếp cận này sử dụng giao thức Snap7...' đã được đã gộp vào đoạn văn trước (P5) để tạo liên kết logic chặt chẽ, không còn đoạn văn 1 câu.</w:t>
      </w:r>
    </w:p>
    <w:p w14:paraId="6F1B8297" w14:textId="77777777" w:rsidR="00D37D99" w:rsidRDefault="00000000">
      <w:pPr>
        <w:spacing w:before="120" w:after="40"/>
      </w:pPr>
      <w:r>
        <w:t>3.6. Bổ sung giải trình đợt hoàn thiện chuyên sâu (Điện áp, Logic mAP, Năng lượng, Tóm tắt &amp; TLTK [11] (cũ là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t>5. Xác thực chuẩn xác Tài liệu tham khảo [11] (cũ là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hAnsi="Times New Roman"/>
        </w:rPr>
        <w:t xml:space="preserve"> 2. Hiệu chỉnh ghi chú Bảng 6: Sửa '31,0%' thành '31,3%' (làm tròn từ 10/32 = 31,25%), bảo đảm tính nhất quán toán học chặt chẽ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t>1. Chuẩn hóa viết tắt tên tạp chí quốc tế theo ISO 4 / IEEE: Bốn tài liệu [2] Renew. Energy, [3] Renew. Sustain. Energy Rev., [10] Front. Robot. AI (cũ [9]) và [13] Sol. Energy (cũ [11]) đã được chuyển sang dạng viết tắt chuẩn mực, đồng bộ với các tài liệu khác trong toàn bài.</w:t>
      </w:r>
    </w:p>
    <w:p>
      <w:pPr>
        <w:spacing w:before="40" w:after="40"/>
      </w:pPr>
      <w:r>
        <w:t>2. Bổ sung thông tin truy cập và hiệu chỉnh trích dẫn chính thức: Tài liệu [18] (cũ là [17], Siemens System Manual) đã được bổ sung URL cổng SIOS (Entry ID: 109977302) và ngày truy cập; tài liệu Ultralytics YOLOv8 [16] (cũ [15]) được trích dẫn theo khuyến nghị chính thức (GitHub, v8.0.0); tài liệu Snap7 [19] (cũ [18]) được chỉnh đúng tiêu đề gốc và phiên bản (v1.4.2).</w:t>
      </w:r>
    </w:p>
    <w:p>
      <w:pPr>
        <w:spacing w:before="40" w:after="40"/>
      </w:pPr>
      <w:r>
        <w:rPr>
          <w:rFonts w:ascii="Times New Roman" w:hAnsi="Times New Roman"/>
        </w:rPr>
        <w:t>3. Lược bỏ triệt để các con số vụn vặt và không cần thiết: Cắt bỏ câu về chu kỳ quét CPU 'dưới 10 ms' tại Mục 2.5, tài liệu [17] chỉ đỡ phần cứng PLC S7-1200 CPU 1214C; cắt bỏ con số độ trễ truyền thông WebSocket '28,6 ± 8,2 ms' tại Mục 3.5 và các trường đo U, I (chỉ đo và lưu công suất P); loại bỏ thuật toán CLAHE và tài liệu trích dẫn [19] cũ (Zuiderveld, 1994) nhằm tinh gọn quy trình tiền xử lý theo đúng định hướng tinh gọn quy trình tiền xử lý; chuẩn hóa lại danh mục tài liệu tham khảo còn đúng 20 tài liệu chuẩn IEEE (đổi phân chim Liu và cs. thành [4] và WebSocket thành [20]).</w:t>
      </w:r>
    </w:p>
    <w:p>
      <w:pPr>
        <w:spacing w:before="40" w:after="40"/>
      </w:pPr>
      <w:r>
        <w:t>4. Hiệu chỉnh tác giả [5] (cũ là [4]): Sửa chuẩn xác tên nhóm tác giả thành A. Sayyah, M. N. Horenstein, and M. K. Mazumder (Sol. Energy, 2014).</w:t>
      </w:r>
    </w:p>
    <w:p/>
    <w:p>
      <w:pPr>
        <w:spacing w:line="276" w:lineRule="auto" w:after="80" w:before="40"/>
      </w:pPr>
      <w:r>
        <w:rPr>
          <w:rFonts w:ascii="Times New Roman" w:hAnsi="Times New Roman"/>
        </w:rPr>
        <w:t>5. Hoàn thiện liêm chính trích dẫn và phân định rạch ròi phạm vi phân loại (Tiếp thu góp ý phản biện chuyên sâu):</w:t>
        <w:br/>
        <w:t>• Rà soát thu hẹp diễn giải gắn với Sarver et al. [3]: Tiếp thu nhận xét phản biện, nhóm tác giả đã loại bỏ mệnh đề 'nứt kính do sốc nhiệt' (vốn không được bài gốc [3] xác nhận trực tiếp). Câu văn trong bài báo và bảng đối chiếu được chuẩn hóa sát với nguồn tài liệu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[20]: Bổ sung trích dẫn [20] (Liu et al., Processes 2024) ngay sau cụm từ 'phân chim' tại phần Mở đầu (Mục 1): 'suy giảm đáng kể do bụi bẩn, lá cây [2], [3] và phân chim [20]', bảo đảm luận điểm khuyết tật phân chim có nguồn dẫn nghiên cứu trực tiếp 1:1, không để [2] và [3] (vốn chỉ nghiên cứu về bụi và vật chất thực vật) gánh phần phân chim.</w:t>
        <w:br/>
        <w:t>• Phân định rạch ròi phạm vi tài liệu [17] (Siemens): Làm rõ trong bài báo và bảng đối chiếu rằng Sổ tay hệ thống Siemens [17]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br/>
        <w:t>• Tài liệu [8]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[6] (Wasim Javed et al., Sol. Energy 2017): Bỏ toàn bộ diễn giải cũ, thay thế bằng nguyên văn đầy đủ Tóm tắt (Abstract) từ ScienceDirect mô hình hóa mạng nơ-ron ANN dự báo suy giảm chỉ số làm sạch ΔCI theo các biến PM10, độ ẩm tương đối RH và tốc độ gió WS tại Doha, Qatar.</w:t>
        <w:br/>
        <w:t>• Tài liệu [14] (El Karch et al., ISI 2024): Chuẩn hóa tiêu chí Phân vùng chia lưới thành NR trong cả Bảng đối chiếu và Bảng 1 bài báo (loại bỏ dứt điểm dấu ✓ bị sót trong chú thích ảnh), bảo đảm nhất quán với bài gốc chỉ dùng hộp bao bounding box toàn khung, không chia lưới cố định.</w:t>
        <w:br/>
        <w:t>• Tài liệu [7] (Ramli et al., Renew. Energy 2016): Thu hẹp phạm vi diễn đạt trong bài báo và bảng đối chiếu, nêu rõ kết quả thực nghiệm khảo sát tại một địa điểm cụ thể là Surabaya, Indonesia với mức giảm 10,8% công suất sau 2 tuần ở độ ẩm trung bình 52,24%, tránh để một nguồn duy nhất đại diện cho toàn bộ khí hậu nhiệt đới gió mùa.</w:t>
        <w:br/>
        <w:t>• Tài liệu [1] (REN21 GSR 2024): Bổ sung chính xác tên mô-đun chuyên đề “Energy Supply Module” vào thông tin xuất bản Cột 3 và danh mục tài liệu tham khảo [1] của bài báo theo đúng liên kết truy cập chuyên đề.</w:t>
      </w:r>
    </w:p>
    <w:p>
      <w:pPr>
        <w:spacing w:before="40" w:after="120"/>
      </w:pPr>
      <w:r>
        <w:rPr>
          <w:rFonts w:ascii="Times New Roman" w:hAnsi="Times New Roman"/>
        </w:rPr>
        <w:t>6.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khách quan và minh bạch.</w:t>
      </w:r>
    </w:p>
    <w:p>
      <w:pPr>
        <w:spacing w:before="120" w:after="60" w:line="276" w:lineRule="auto"/>
      </w:pPr>
      <w:r>
        <w:rPr>
          <w:rFonts w:ascii="Times New Roman" w:hAnsi="Times New Roman"/>
          <w:b/>
          <w:sz w:val="22"/>
        </w:rPr>
        <w:t>3.9. Bổ sung giải trình về thống nhất tính khiêm tốn khoa học (Mục 3.1, Kết luận) và hiện trạng lược bỏ các chi tiết suy diễn trong bài báo:</w:t>
      </w:r>
    </w:p>
    <w:p>
      <w:pPr>
        <w:spacing w:before="0" w:after="60" w:line="276" w:lineRule="auto"/>
      </w:pPr>
      <w:r>
        <w:rPr>
          <w:rFonts w:ascii="Times New Roman" w:hAnsi="Times New Roman"/>
        </w:rPr>
        <w:t>1. Xóa bỏ mâu thuẫn giữa Mục 3.1 và Kết luận về khả năng khái quát hóa: Tiếp thu góp ý phản biện sâu sắc, nhóm tác giả nhận thấy việc viết 'trọng số triển khai được chọn tại điểm tối ưu trên tập kiểm định nhằm bảo đảm độ khái quát' tại Mục 3.1 (phần phân loại ô) là khẳng định chưa chuẩn xác về mặt khoa học học máy và mâu thuẫn với nhận định khiêm tốn ở phần Kết luận cũng như phần Hạn chế (Mục 3.6). Kỹ thuật chọn checkpoint có validation loss nhỏ nhất chỉ giúp mô hình tránh hiện tượng quá khớp (overfitting) trên tập huấn luyện của nguyên mẫu, không thể bảo đảm độ khái quát cho mọi điều kiện bên ngoài. Do đó, nhóm tác giả đã hiệu chỉnh câu văn tại Mục 3.1 thành: “Đồ thị Hình 5 cho thấy hàm mất mát hội tụ tốt; trọng số triển khai được chọn tại điểm có hàm mất mát nhỏ nhất trên tập kiểm định.” Cách diễn đạt này vừa chuẩn mực về kỹ thuật học sâu, vừa tạo sự nhất quán logic chặt chẽ với Kết luận (“khả năng tổng quát hóa cần được đánh giá thêm trên dữ liệu độc lập”) và Hạn chế (2) (“các ô ảnh có tương quan quang học, chưa bảo đảm tính khái quát hóa cho nhiều chủng loại pin và điều kiện thời tiết khác nhau”).</w:t>
      </w:r>
    </w:p>
    <w:p>
      <w:pPr>
        <w:spacing w:before="0" w:after="60" w:line="276" w:lineRule="auto"/>
      </w:pPr>
      <w:r>
        <w:rPr>
          <w:rFonts w:ascii="Times New Roman" w:hAnsi="Times New Roman"/>
        </w:rPr>
        <w:t>2. Lược bỏ con số suy diễn lý thuyết 'Khoảng tin cậy 95% (95,1–98,6%)': Khoảng tin cậy 95,1–98,6% trước đây được tính toán theo phân phối nhị thức với giả định 384 ô ảnh kiểm thử hoàn toàn độc lập. Tuy nhiên, trên thực tế 384 ô ảnh này được trích xuất từ 12 ảnh mẹ nên giữa các ô trong cùng một ảnh luôn tồn tại tương quan quang học nhất định (ánh sáng, góc chụp, bối cảnh nền). Việc đưa ra một khoảng tin cậy hẹp dựa trên giả định độc lập lý thuyết là thiếu chặt chẽ và có thể gây hiểu nhầm. Theo đúng tinh thần góp ý của phản biện về tính độc lập dữ liệu, nhóm tác giả đã lược bỏ hoàn toàn con số khoảng tin cậy 95% này khỏi Mục 3.1 và phần Hạn chế; bài báo chỉ công bố trung thực các số liệu thực nghiệm đo đếm trực tiếp: EfficientNet-B0 phân loại đúng 372/384 ô, đạt độ chính xác 96,9% và F1 đạt 96,9% (Precision 97,4%, Recall 96,4%; đúng 185 ô bẩn, 187 ô sạch, 5 nhầm, 7 sót).</w:t>
      </w:r>
    </w:p>
    <w:p>
      <w:pPr>
        <w:spacing w:before="0" w:after="60" w:line="276" w:lineRule="auto"/>
      </w:pPr>
      <w:r>
        <w:rPr>
          <w:rFonts w:ascii="Times New Roman" w:hAnsi="Times New Roman"/>
        </w:rPr>
        <w:t>3. Lược bỏ nhận định suy đoán chưa có cơ sở về 'dao động ở epoch 13': Đồ thị Hình 5 ghi nhận một dao động cục bộ của hàm mất mát kiểm định tại chu kỳ (epoch) 13. Tuy nhiên, trong phạm vi thực nghiệm hiện tại, nhóm tác giả chưa có đủ căn cứ và dữ liệu kiểm chứng độc lập để phân tích rõ cơ chế gây ra dao động này. Theo đúng góp ý của phản biện về tính có căn cứ của hàm mất mát, nhóm tác giả đã chủ động cắt bỏ câu suy đoán nguyên nhân dao động khỏi Mục 3.1 để tránh đưa vào bài báo những kết luận thiếu căn cứ; bài báo chỉ giữ nhận định khách quan rằng hàm mất mát hội tụ tốt và trọng số triển khai được chọn tại điểm có hàm mất mát kiểm định nhỏ nhất.</w:t>
      </w:r>
    </w:p>
    <w:p>
      <w:pPr>
        <w:spacing w:before="0" w:after="60" w:line="276" w:lineRule="auto"/>
      </w:pPr>
      <w:r>
        <w:rPr>
          <w:rFonts w:ascii="Times New Roman" w:hAnsi="Times New Roman"/>
          <w:sz w:val="22"/>
        </w:rPr>
        <w:t>4. Chuẩn hóa hạn chế 'AI tự kiểm chứng' thành mô tả kỹ thuật khách quan: Cụm từ 'GĐ 4 do AI tự kiểm chứng, dễ nhiễu do màng nước đọng' trong các bản thảo trước mang tính định tính và chưa chuẩn mực học thuật. Nhóm tác giả đã chuẩn hóa thành mô tả kỹ thuật khách quan, rõ ràng tại Hạn chế (4) của Mục 3.6: “vệt nước đọng sau phun có thể gây nhiễu phân loại ô”. Điều này phản ánh chính xác bản chất vật lý của hiện tượng quang học sau chu trình rửa ướt mà không dùng các thuật ngữ cảm tính.</w:t>
      </w:r>
    </w:p>
    <w:p>
      <w:pPr>
        <w:spacing w:before="120" w:after="60" w:line="276" w:lineRule="auto"/>
      </w:pPr>
      <w:r>
        <w:rPr>
          <w:rFonts w:ascii="Times New Roman" w:hAnsi="Times New Roman"/>
          <w:b/>
          <w:sz w:val="22"/>
        </w:rPr>
        <w:t>3.10. Chuẩn hóa toàn diện thứ tự trích dẫn 20 tài liệu tham khảo theo quy tắc IEEE (thứ tự xuất hiện lần đầu):</w:t>
      </w:r>
    </w:p>
    <w:p>
      <w:pPr>
        <w:spacing w:before="0" w:after="60" w:line="276" w:lineRule="auto"/>
      </w:pPr>
      <w:r>
        <w:rPr>
          <w:rFonts w:ascii="Times New Roman" w:hAnsi="Times New Roman"/>
        </w:rPr>
        <w:t>1. Nguyên tắc IEEE về thứ tự trích dẫn: Theo hướng dẫn chuẩn IEEE và TNU JST, tài liệu tham khảo phải được đánh số liên tục theo thứ tự xuất hiện lần đầu tiên trong bài báo (1, 2, 3... 20). Nhóm tác giả đã tiến hành rà soát và đánh số lại toàn diện toàn bộ 20 tài liệu:</w:t>
        <w:br/>
        <w:t>• Tài liệu khuyết tật phân chim của Liu và cs. (trước đây là [20]) được đưa lên vị trí [4] ngay sau tài liệu [3], vì được trích dẫn ngay tại đoạn 1 của Mục 1 (phần Mở đầu).</w:t>
        <w:br/>
        <w:t>• Tái đánh số liên tục các tài liệu tiếp theo: Sayyah et al. [4] -&gt; [5], Dhimish et al. [5] -&gt; [6], Javed et al. [6] -&gt; [7], Ramli et al. [7] -&gt; [8], Valerino et al. [8] -&gt; [9], Luo et al. [9] -&gt; [10], Ji et al. [10] -&gt; [11], Yang et al. [12] -&gt; [12] (giữ nguyên), Hossain et al. [11] -&gt; [13], Fang et al. [13] -&gt; [14], El Karch et al. [14] -&gt; [15].</w:t>
        <w:br/>
        <w:t>• Tại Mục 1 (phần Các hướng tiếp cận): Chuẩn hóa nhóm trích dẫn cơ cấu cơ học thành '[10]–[12]' (Luo [10], Ji [11], Yang [12]), học máy dự báo là '[13]' (Hossain), và thị giác máy tính là '[14], [15]' (Fang, El Karch), đã loại bỏ việc [12] đứng trước [11].</w:t>
        <w:br/>
        <w:t>• Tại Mục 2.1 (P13): Bỏ dấu trích dẫn [19] ở phần mô tả tổng quan kiến trúc, chuyển trích dẫn WebSocket về vị trí xuất hiện chi tiết tại Mục 3.5 với số thứ tự [20], đứng sau YOLOv8n-Seg [16], EfficientNet-B0 [17], PLC S7-1200 [18] và Snap7 [19].</w:t>
        <w:br/>
        <w:t>Toàn bộ 20 tài liệu tham khảo trong bài báo hiện xuất hiện theo đúng thứ tự tăng dần tuyệt đối từ [1] đến [20].</w:t>
      </w:r>
    </w:p>
    <w:p>
      <w:pPr>
        <w:spacing w:before="0" w:after="60" w:line="276" w:lineRule="auto"/>
      </w:pPr>
      <w:r>
        <w:rPr>
          <w:rFonts w:ascii="Times New Roman" w:hAnsi="Times New Roman"/>
        </w:rPr>
        <w:t>2. Xác thực độc lập và chính thức tài liệu [11] (Ji et al., Applied Energy 2026): Tài liệu [11] là bài báo tổng quan công nghệ robot làm sạch pin quang điện hoàn toàn có thật, xuất bản chính thức trên Tạp chí Applied Energy (Elsevier, Tập 411, Mã bài 127642, ngày xuất bản 15/05/2026, xuất bản trực tuyến ngày 06/03/2026). DOI trực tiếp của bài báo là 10.1016/j.apenergy.2026.127642 (mã PII: S0306261926002941). Đoạn trích tại Tóm tắt của bài báo minh chứng rõ rệt: bụi bám ở mức 10 g/m² làm suy giảm 15%–34% sản lượng điện tấm pin; phần chú thích minh chứng trong bảng đã được hiệu chỉnh chính xác từ '10–30%' thành '15%–34%' cho nhất quán với nguyên văn.</w:t>
      </w:r>
    </w:p>
    <w:p>
      <w:pPr>
        <w:spacing w:before="0" w:after="60" w:line="276" w:lineRule="auto"/>
      </w:pPr>
      <w:r>
        <w:rPr>
          <w:rFonts w:ascii="Times New Roman" w:hAnsi="Times New Roman"/>
          <w:sz w:val="22"/>
        </w:rPr>
        <w:t>3. Hồ sơ minh chứng và vị trí file phụ lục kèm 44 ảnh minh chứng: Toàn bộ 44 ảnh chụp minh chứng toàn văn và trang bìa xuất bản chính thức của 20 tài liệu tham khảo được lưu trữ đầy đủ trong file phụ lục độc lập: Bang_doi_chieu_kem_anh_chup_bang_chung_20_TLTK.docx (và bản PDF tương ứng Bang_doi_chieu_kem_anh_chup_bang_chung_20_TLTK.pdf, 19 trang) đặt tại thư mục docs/bai_bao_va_bao_cao. Bảng đối chiếu này cũng được tích hợp đầy đủ tại Bảng 3 dưới đây của Báo cáo giải trình.</w:t>
      </w:r>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90">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12">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14">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1">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5">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8">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di động bánh xích</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35">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Phun nước áp lực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b/>
                <w:sz w:val="20"/>
              </w:rPr>
              <w:t>[16]</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[16] (6,8 MB, 100 chu kỳ) định vị viền và nắn phối cảnh về khung 896 × 1792 px...”</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b/>
                <w:sz w:val="20"/>
              </w:rPr>
              <w:t>[17]</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[17] huấn luyện 15 chu kỳ (Adam, LR = 0,001)...”</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r>
              <w:rPr>
                <w:rFonts w:ascii="Times New Roman" w:hAnsi="Times New Roman"/>
                <w:b/>
                <w:sz w:val="20"/>
              </w:rPr>
              <w:t>[18]</w:t>
            </w:r>
          </w:p>
        </w:tc>
        <w:tc>
          <w:tcPr>
            <w:tcW w:type="dxa" w:w="2700"/>
            <w:vAlign w:val="top"/>
            <w:tcMar>
              <w:top w:w="60" w:type="dxa"/>
              <w:bottom w:w="60" w:type="dxa"/>
              <w:left w:w="50" w:type="dxa"/>
              <w:right w:w="50" w:type="dxa"/>
            </w:tcMar>
          </w:tcPr>
          <w:p>
            <w:r>
              <w:rPr>
                <w:rFonts w:ascii="Times New Roman" w:hAnsi="Times New Roman"/>
                <w:sz w:val="18"/>
              </w:rPr>
              <w:t>Mục 2.5 (Điều khiển chu trình PLC):</w:t>
              <w:br/>
              <w:br/>
              <w:t>“PLC S7-1200 CPU 1214C [18] điều khiển chu trình theo máy trạng thái hữu hạn.”</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b/>
                <w:sz w:val="20"/>
              </w:rPr>
              <w:t>[19]</w:t>
            </w:r>
          </w:p>
        </w:tc>
        <w:tc>
          <w:tcPr>
            <w:tcW w:type="dxa" w:w="2700"/>
            <w:vAlign w:val="top"/>
            <w:tcMar>
              <w:top w:w="60" w:type="dxa"/>
              <w:bottom w:w="60" w:type="dxa"/>
              <w:left w:w="50" w:type="dxa"/>
              <w:right w:w="50" w:type="dxa"/>
            </w:tcMar>
          </w:tcPr>
          <w:p>
            <w:r>
              <w:rPr>
                <w:rFonts w:ascii="Times New Roman" w:hAnsi="Times New Roman"/>
                <w:sz w:val="18"/>
              </w:rPr>
              <w:t>Mục 2.5 (Điều khiển chu trình PLC):</w:t>
              <w:br/>
              <w:br/>
              <w:t>“Máy tính biên gửi cờ qua Snap7 [19] (cổng 102) để kích hoạt chu trình tương ứng...”</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rPr>
                <w:rFonts w:ascii="Times New Roman" w:hAnsi="Times New Roman"/>
                <w:b/>
                <w:sz w:val="20"/>
              </w:rPr>
              <w:t>[20]</w:t>
            </w:r>
          </w:p>
        </w:tc>
        <w:tc>
          <w:tcPr>
            <w:tcW w:type="dxa" w:w="2700"/>
            <w:vAlign w:val="top"/>
            <w:tcMar>
              <w:top w:w="60" w:type="dxa"/>
              <w:bottom w:w="60" w:type="dxa"/>
              <w:left w:w="50" w:type="dxa"/>
              <w:right w:w="50" w:type="dxa"/>
            </w:tcMar>
          </w:tcPr>
          <w:p>
            <w:r>
              <w:rPr>
                <w:rFonts w:ascii="Times New Roman" w:hAnsi="Times New Roman"/>
                <w:sz w:val="18"/>
              </w:rPr>
              <w:t>Mục 3.5 (Giám sát SCADA/IoT):</w:t>
              <w:br/>
              <w:br/>
              <w:t>“Web SCADA và ứng dụng React Native (Hình 7) kết nối máy tính biên qua WebSocket [20], hiển thị điện áp, dòng điện, công suất tức thời và trạng thái làm sạch.”</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