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w14:paraId="162517A1" w14:textId="77777777" w:rsidR="006C4C35" w:rsidRDefault="00000000">
            <w:pPr>
              <w:spacing w:line="240" w:lineRule="auto" w:before="0" w:after="0"/>
              <w:ind w:left="0" w:right="0" w:firstLine="0"/>
              <w:rPr>
                <w:sz w:val="20"/>
                <w:szCs w:val="20"/>
              </w:rPr>
            </w:pPr>
            <w:r>
              <w:rPr>
                <w:rFonts w:ascii="Times New Roman" w:hAnsi="Times New Roman"/>
                <w:b w:val="0"/>
                <w:i w:val="0"/>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six outdoor test scenarios, post-cleaning power consistently exceeded pre-cleaning power, with an observed increase ranging from 5.0 to 34.8 W;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spacing w:before="0" w:after="0" w:line="40" w:lineRule="exact"/>
        <w:rPr>
          <w:sz w:val="14"/>
          <w:szCs w:val="14"/>
        </w:rPr>
      </w:pPr>
    </w:p>
    <w:p w14:paraId="524EBE09" w14: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w14:paraId="5D1FAEBC" w14:textId="77777777" w:rsidR="006C4C35" w:rsidRDefault="00000000">
            <w:pPr>
              <w:spacing w:line="240" w:lineRule="auto" w:before="0" w:after="0"/>
              <w:ind w:left="0" w:right="0" w:firstLine="0"/>
              <w:rPr>
                <w:sz w:val="20"/>
                <w:szCs w:val="20"/>
              </w:rPr>
            </w:pPr>
            <w:r>
              <w:rPr>
                <w:rFonts w:ascii="Times New Roman" w:hAnsi="Times New Roman"/>
                <w:b w:val="0"/>
                <w:i w:val="0"/>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sáu kịch bản thử nghiệm ngoài trời, công suất sau làm sạch đều cao hơn trước làm sạch, mức tăng dao động 5,0–34,8 W ở cả 6 kịch bản;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w14:paraId="23C999ED" w14:textId="77777777">
        <w:trPr>
          <w:cantSplit/>
          <w:jc w:val="center"/>
        </w:trPr>
        <w:tc>
          <w:tcPr>
            <w:tcW w:w="899" w:type="pct"/>
          </w:tcPr>
          <w:p w14:paraId="66A8348D" w14: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w14:paraId="77FCAF7D"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w14:paraId="33E53D9B"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w14:paraId="4F9C49F6"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w14:paraId="50DD6C7A" w14:textId="77777777" w:rsidR="00585D16" w:rsidRDefault="00DE7B86">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tại các khu vực mật độ bụi cao hoặc vùng khí hậu nhiệt đới ẩm, hiện tượng suy giảm công suất do bụi tích tụ kết hợp cùng độ ẩm môi trường đã được ghi nhận qua nhiều khảo sát thực nghiệm [7], [8].</w:t>
      </w:r>
    </w:p>
    <w:p w14:paraId="59976EDE" w14:textId="77777777" w:rsidR="00585D16" w:rsidRDefault="00DE7B86">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kết nối máy tính biên với PLC công nghiệp qua thư viện Snap7 để truyền trực tiếp trạng thái chẩn đoán tới cơ cấu chấp hành, nhằm hạn chế tình trạng vận hành phân mảnh giữa khâu chẩn đoán và chấp hành cơ khí.</w:t>
      </w:r>
    </w:p>
    <w:p w14:paraId="21851FBB" w14: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w14:paraId="488653CF" w14:textId="77777777">
        <w:trPr>
          <w:cantSplit/>
          <w:tblHeader/>
          <w:jc w:val="center"/>
        </w:trPr>
        <w:tc>
          <w:tcPr>
            <w:tcW w:w="1489" w:type="dxa"/>
            <w:tcMar>
              <w:top w:w="20" w:type="dxa"/>
              <w:bottom w:w="20" w:type="dxa"/>
              <w:left w:w="10" w:type="dxa"/>
              <w:right w:w="10" w:type="dxa"/>
            </w:tcMar>
          </w:tcPr>
          <w:p w14:paraId="23864875" w14: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w14:paraId="71968518" w14: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w14:paraId="367CECB2" w14: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w14:paraId="71912F9E" w14: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w14:paraId="69DCC11F" w14: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w14:paraId="54E9C4DC" w14: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w14:paraId="27321CC4" w14: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w14:paraId="022E22D9" w14:textId="77777777">
        <w:trPr>
          <w:cantSplit/>
          <w:jc w:val="center"/>
        </w:trPr>
        <w:tc>
          <w:tcPr>
            <w:tcW w:w="1489" w:type="dxa"/>
            <w:tcMar>
              <w:top w:w="20" w:type="dxa"/>
              <w:bottom w:w="20" w:type="dxa"/>
              <w:left w:w="10" w:type="dxa"/>
              <w:right w:w="10" w:type="dxa"/>
            </w:tcMar>
          </w:tcPr>
          <w:p>
            <w:r>
              <w:rPr>
                <w:rFonts w:ascii="Times New Roman" w:hAnsi="Times New Roman"/>
              </w:rPr>
              <w:t>Valerino et al. (2020) [9] (Cảm biến quang học)</w:t>
            </w:r>
          </w:p>
        </w:tc>
        <w:tc>
          <w:tcPr>
            <w:tcW w:w="410" w:type="dxa"/>
            <w:tcMar>
              <w:top w:w="20" w:type="dxa"/>
              <w:bottom w:w="20" w:type="dxa"/>
              <w:left w:w="10" w:type="dxa"/>
              <w:right w:w="10" w:type="dxa"/>
            </w:tcMar>
          </w:tcPr>
          <w:p w14:paraId="06E4DEA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312BAD0"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09577B6"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11E32CC"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E8F7FFF"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26050950" w14:textId="77777777">
        <w:trPr>
          <w:cantSplit/>
          <w:jc w:val="center"/>
        </w:trPr>
        <w:tc>
          <w:tcPr>
            <w:tcW w:w="1489" w:type="dxa"/>
            <w:tcMar>
              <w:top w:w="20" w:type="dxa"/>
              <w:bottom w:w="20" w:type="dxa"/>
              <w:left w:w="10" w:type="dxa"/>
              <w:right w:w="10" w:type="dxa"/>
            </w:tcMar>
          </w:tcPr>
          <w:p>
            <w:r>
              <w:rPr>
                <w:rFonts w:ascii="Times New Roman" w:hAnsi="Times New Roman"/>
              </w:rPr>
              <w:t>Luo et al. (2025) [10] (Robot di động bánh xích)</w:t>
            </w:r>
          </w:p>
        </w:tc>
        <w:tc>
          <w:tcPr>
            <w:tcW w:w="410" w:type="dxa"/>
            <w:tcMar>
              <w:top w:w="20" w:type="dxa"/>
              <w:bottom w:w="20" w:type="dxa"/>
              <w:left w:w="10" w:type="dxa"/>
              <w:right w:w="10" w:type="dxa"/>
            </w:tcMar>
          </w:tcPr>
          <w:p w14:paraId="511235F0"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42AC16F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5EFA1FAE"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C9E2C27"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B10BB1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E75DC4"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8FB9031" w14:textId="77777777">
        <w:trPr>
          <w:cantSplit/>
          <w:jc w:val="center"/>
        </w:trPr>
        <w:tc>
          <w:tcPr>
            <w:tcW w:w="1489" w:type="dxa"/>
            <w:tcMar>
              <w:top w:w="20" w:type="dxa"/>
              <w:bottom w:w="20" w:type="dxa"/>
              <w:left w:w="10" w:type="dxa"/>
              <w:right w:w="10" w:type="dxa"/>
            </w:tcMar>
          </w:tcPr>
          <w:p>
            <w:r>
              <w:rPr>
                <w:rFonts w:ascii="Times New Roman" w:hAnsi="Times New Roman"/>
              </w:rPr>
              <w:t>Hossain et al. (2025) [13] (Phun nước áp lực)</w:t>
            </w:r>
          </w:p>
        </w:tc>
        <w:tc>
          <w:tcPr>
            <w:tcW w:w="410" w:type="dxa"/>
            <w:tcMar>
              <w:top w:w="20" w:type="dxa"/>
              <w:bottom w:w="20" w:type="dxa"/>
              <w:left w:w="10" w:type="dxa"/>
              <w:right w:w="10" w:type="dxa"/>
            </w:tcMar>
          </w:tcPr>
          <w:p w14:paraId="682865E7" w14: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DA417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00F017A"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5AB8471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A8CFA4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3D6B507D"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33A44BDB" w14:textId="77777777">
        <w:trPr>
          <w:cantSplit/>
          <w:jc w:val="center"/>
        </w:trPr>
        <w:tc>
          <w:tcPr>
            <w:tcW w:w="1489" w:type="dxa"/>
            <w:tcMar>
              <w:top w:w="20" w:type="dxa"/>
              <w:bottom w:w="20" w:type="dxa"/>
              <w:left w:w="10" w:type="dxa"/>
              <w:right w:w="10" w:type="dxa"/>
            </w:tcMar>
          </w:tcPr>
          <w:p>
            <w:r>
              <w:rPr>
                <w:rFonts w:ascii="Times New Roman" w:hAnsi="Times New Roman"/>
              </w:rPr>
              <w:t>Yang et al. (2023) [12] (Robot bánh xích tự hành)</w:t>
            </w:r>
          </w:p>
        </w:tc>
        <w:tc>
          <w:tcPr>
            <w:tcW w:w="410" w:type="dxa"/>
            <w:tcMar>
              <w:top w:w="20" w:type="dxa"/>
              <w:bottom w:w="20" w:type="dxa"/>
              <w:left w:w="10" w:type="dxa"/>
              <w:right w:w="10" w:type="dxa"/>
            </w:tcMar>
          </w:tcPr>
          <w:p w14:paraId="7BDF50D8"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12D6CD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6B69157"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24F2606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169A9F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DAAFC77" w14:textId="77777777" w:rsidR="006C4C35" w:rsidRDefault="00000000">
            <w:pPr>
              <w:spacing w:before="0" w:after="0" w:line="240" w:lineRule="auto"/>
              <w:ind w:firstLine="0" w:left="0" w:right="0"/>
              <w:jc w:val="center"/>
            </w:pPr>
            <w:r>
              <w:rPr>
                <w:rFonts w:ascii="Times New Roman" w:hAnsi="Times New Roman"/>
                <w:sz w:val="20"/>
              </w:rPr>
              <w:t>NR</w:t>
            </w:r>
          </w:p>
        </w:tc>
      </w:tr>
      <w:tr w:rsidR="00585D16" w14:paraId="5F1486B1" w14:textId="77777777">
        <w:trPr>
          <w:cantSplit/>
          <w:jc w:val="center"/>
        </w:trPr>
        <w:tc>
          <w:tcPr>
            <w:tcW w:w="1489" w:type="dxa"/>
            <w:tcMar>
              <w:top w:w="20" w:type="dxa"/>
              <w:bottom w:w="20" w:type="dxa"/>
              <w:left w:w="10" w:type="dxa"/>
              <w:right w:w="10" w:type="dxa"/>
            </w:tcMar>
          </w:tcPr>
          <w:p>
            <w:r>
              <w:rPr>
                <w:rFonts w:ascii="Times New Roman" w:hAnsi="Times New Roman"/>
              </w:rPr>
              <w:t>Fang et al. (2024) [14] (Mạng nơ-ron DGImNet)</w:t>
            </w:r>
          </w:p>
        </w:tc>
        <w:tc>
          <w:tcPr>
            <w:tcW w:w="410" w:type="dxa"/>
            <w:tcMar>
              <w:top w:w="20" w:type="dxa"/>
              <w:bottom w:w="20" w:type="dxa"/>
              <w:left w:w="10" w:type="dxa"/>
              <w:right w:w="10" w:type="dxa"/>
            </w:tcMar>
          </w:tcPr>
          <w:p w14:paraId="0D25ABBB"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7939E9A4"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DC5281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F9F1F2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67B8C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CC1BA49"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B101019" w14:textId="77777777">
        <w:trPr>
          <w:cantSplit/>
          <w:jc w:val="center"/>
        </w:trPr>
        <w:tc>
          <w:tcPr>
            <w:tcW w:w="1489" w:type="dxa"/>
            <w:tcMar>
              <w:top w:w="20" w:type="dxa"/>
              <w:bottom w:w="20" w:type="dxa"/>
              <w:left w:w="10" w:type="dxa"/>
              <w:right w:w="10" w:type="dxa"/>
            </w:tcMar>
          </w:tcPr>
          <w:p>
            <w:r>
              <w:rPr>
                <w:rFonts w:ascii="Times New Roman" w:hAnsi="Times New Roman"/>
              </w:rPr>
              <w:t>El Karch et al. (2024) [15] (YOLOv8 nhúng Jetson)</w:t>
            </w:r>
          </w:p>
        </w:tc>
        <w:tc>
          <w:tcPr>
            <w:tcW w:w="410" w:type="dxa"/>
            <w:tcMar>
              <w:top w:w="20" w:type="dxa"/>
              <w:bottom w:w="20" w:type="dxa"/>
              <w:left w:w="10" w:type="dxa"/>
              <w:right w:w="10" w:type="dxa"/>
            </w:tcMar>
          </w:tcPr>
          <w:p w14:paraId="1B0CB156"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980D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342B051"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72E49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2B7AA61"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1A288654" w14:textId="77777777">
        <w:trPr>
          <w:cantSplit/>
          <w:jc w:val="center"/>
        </w:trPr>
        <w:tc>
          <w:tcPr>
            <w:tcBorders>
              <w:bottom w:val="single" w:sz="12" w:space="0" w:color="auto"/>
            </w:tcBorders>
            <w:tcW w:w="1489" w:type="dxa"/>
            <w:tcMar>
              <w:top w:w="20" w:type="dxa"/>
              <w:bottom w:w="20" w:type="dxa"/>
              <w:left w:w="10" w:type="dxa"/>
              <w:right w:w="10" w:type="dxa"/>
            </w:tcMar>
          </w:tcPr>
          <w:p w14:paraId="12466627" w14: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w14:paraId="31C9B332"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21EC5484"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02730D25"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12CBF8F8"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361B023C"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453194DC" w14:textId="77777777" w:rsidR="00585D16" w:rsidRDefault="00DE7B86">
            <w:pPr>
              <w:spacing w:line="240" w:lineRule="auto" w:before="0" w:after="0"/>
              <w:ind w:firstLine="0" w:left="0" w:right="0"/>
              <w:jc w:val="center"/>
            </w:pPr>
            <w:r>
              <w:rPr>
                <w:rFonts w:ascii="Times New Roman" w:hAnsi="Times New Roman"/>
                <w:b/>
                <w:sz w:val="20"/>
              </w:rPr>
              <w:t>✓</w:t>
            </w:r>
          </w:p>
        </w:tc>
      </w:tr>
    </w:tbl>
    <w:p w14:paraId="1FB60628" w14:textId="77777777" w:rsidR="00585D16" w:rsidRDefault="00DE7B86">
      <w:pPr>
        <w:widowControl w:val="0"/>
        <w:spacing w:before="30" w:after="16" w:line="200" w:lineRule="exact"/>
        <w:ind w:firstLine="0"/>
        <w:rPr>
          <w:i/>
          <w:iCs/>
          <w:sz w:val="18"/>
          <w:szCs w:val="18"/>
        </w:rPr>
      </w:pPr>
      <w:r>
        <w:rPr>
          <w:rFonts w:ascii="Times New Roman" w:hAnsi="Times New Roman"/>
          <w:i/>
          <w:color w:val="000000"/>
          <w:sz w:val="18"/>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thực nghiệm hoặc công bố trong bài; NR: Không thuộc phạm vi khảo sát hoặc không báo cáo (Not Reported).</w:t>
      </w:r>
    </w:p>
    <w:p w14:paraId="2516E481" w14: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w14:paraId="7A48F6A3" w14: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w14:paraId="5C2AB9E2" w14:textId="77777777" w:rsidR="00585D16" w:rsidRDefault="00DE7B86">
      <w:pPr>
        <w:widowControl w:val="0"/>
        <w:spacing w:after="80" w:line="252" w:lineRule="auto"/>
      </w:pPr>
      <w:r/>
      <w:r>
        <w:rPr>
          <w:rFonts w:ascii="Times New Roman" w:hAnsi="Times New Roman"/>
          <w:sz w:val="22"/>
        </w:rPr>
        <w:t>Hệ thống thực nghiệm gồm tấm pin mono-Si 50 W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tải lưu trữ phụ trợ gồm khối pin Li-ion qua bộ sạc PWM và cảm biến công suất PZEM-017 DC (Modbus RTU/RS485) đo tại ngõ ra tấm pin trước bộ sạc. Cơ cấu chấp hành gồm ray trượt 670 mm, chổi gạt hai chiều, bơm áp lực 0,5 HP, PLC Siemens S7-1200,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 [16].</w:t>
      </w:r>
    </w:p>
    <w:p w14:paraId="5B175857"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Pr>
              <w:ind w:firstLine="0" w:left="0" w:right="0"/>
            </w:pPr>
            <w:r>
              <w:rPr>
                <w:rFonts w:ascii="Times New Roman" w:hAnsi="Times New Roman"/>
                <w:sz w:val="20"/>
              </w:rPr>
              <w:t>Bộ sạc PWM / Pin Li-ion phụ trợ</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w14:paraId="62D4F2FD" w14: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w14:paraId="6B772275" w14: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w14:paraId="46EA4C05" w14: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14: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14: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thử nghiệm gồm lá cây rụng tự nhiên và phân chim nhân tạo (mô phỏng từ bột khoáng). Riêng lớp bụi được chuẩn bị từ đất mịn địa phương sấy khô ở 105 °C trong 2 giờ và rắc đều theo lưới 32 ô với mật độ cao mô phỏng kịch bản cực đoan; đây là bụi nhân tạo, không so sánh trực tiếp với mức giảm công suất do bụi tự nhiên dài hạn [7], [8]. Dữ liệu gán nhãn gồm 1.250 ảnh viền pin cho YOLOv8n-Seg và 1.250 đối tượng dị vật (650 nhãn lá, 600 nhãn phân chim) trên 1.250 ảnh cho YOLOv8n.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[17] (6,8 MB, 100 chu kỳ) định vị viền và nắn phối cảnh về khung 896 × 1792 px để tạo 32 ô 224 × 224 px (Hình 3). Do tỷ lệ ô vật lý (83,8 × 133,8 mm) khác tỷ lệ ô vuông chuẩn (224 × 224 px), phép nắn này gây biến dạng co nén phi đẳng hướng (anisotropic scaling), song ít ảnh hưởng đến việc phân loại do EfficientNet-B0 chủ yếu khai thác đặc trưng kết cấu và màu sắc bề mặt.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w14:paraId="2E4D4D1D" w14:textId="77777777" w:rsidR="00585D16" w:rsidRDefault="00DE7B86">
      <w:pPr>
        <w:widowControl w:val="0"/>
      </w:pPr>
      <w:r>
        <w:rPr>
          <w:rFonts w:ascii="Times New Roman" w:hAnsi="Times New Roman"/>
          <w:sz w:val="22"/>
        </w:rPr>
        <w:t>YOLOv8n-Seg được huấn luyện 100 chu kỳ; YOLOv8n phát hiện dị vật 75 chu kỳ (SGD, LR = 0,01); EfficientNet-B0 [18] huấn luyện 15 chu kỳ (Adam, LR = 0,0001; TFLite FP16, 10,6 MB; seed = 0) (Bảng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w14:paraId="7D5A63CA" w14: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w14:paraId="5BF7E311" w14: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4FCED85E" w14: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w14:paraId="4D4F7C25" w14: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w14:paraId="3AE949E8"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0FB3401C" w14: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w14:paraId="6AAF323C"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w14:paraId="5E270D40" w14: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w14:paraId="7BA25B5B"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22C52B37" w14: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w14:paraId="01179FF8" w14: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w14:paraId="0260AF69" w14: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w14:paraId="1395B9FB" w14: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w14:paraId="1E979BC9" w14: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w14:paraId="39402CE3"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Cosine (0,01); 75 epoch</w:t>
            </w:r>
          </w:p>
        </w:tc>
        <w:tc>
          <w:tcPr>
            <w:tcBorders>
              <w:top w:val="nil"/>
              <w:left w:val="nil"/>
              <w:bottom w:val="single" w:sz="12" w:space="0" w:color="auto"/>
              <w:right w:val="nil"/>
            </w:tcBorders>
            <w:tcW w:w="1299" w:type="dxa"/>
            <w:tcMar>
              <w:top w:w="25" w:type="dxa"/>
              <w:bottom w:w="25" w:type="dxa"/>
              <w:left w:w="15" w:type="dxa"/>
              <w:right w:w="15" w:type="dxa"/>
            </w:tcMar>
          </w:tcPr>
          <w:p w14:paraId="6E06C326" w14: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w14:paraId="720C8056"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w14:paraId="64A45F3F" w14:textId="77777777" w:rsidR="00585D16" w:rsidRDefault="00DE7B86">
      <w:pPr>
        <w:widowControl w:val="0"/>
      </w:pPr>
      <w:r>
        <w:rPr>
          <w:rFonts w:ascii="Times New Roman" w:hAnsi="Times New Roman"/>
          <w:sz w:val="22"/>
        </w:rPr>
        <w:t>PLC S7-1200 CPU 1214C [19] điều khiển chu trình theo máy trạng thái hữu hạn. Máy tính biên gửi cờ qua Snap7 [20] (cổng 102): DB1.DBX0.0 (chu trình ướt xử lý bụi 30 s), DB1.DBX0.1 (chu trình khô quét lá 24 s), DB1.DBX0.2 (chu trình ướt xử lý phân chim 30 s), ưu tiên dị vật. PLC đóng ngắt bơm và đảo chiều động cơ; công tắc Home (x = 0 mm) và End (x = 670 mm) nối ngõ vào số để giới hạn hành trình độc lập. Khi cơ cấu về Home, AI kiểm chứng Csau &lt; 5% và NFO = 0; nếu chưa đạt, cho phép lặp tối đa 2 lần trước khi cảnh báo.</w:t>
      </w:r>
    </w:p>
    <w:p w14:paraId="10E6E568" w14: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04FB816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w14:paraId="3F9F1B5D" w14: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w14:paraId="47AC722B" w14: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w14:paraId="7C51F226" w14: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w14:paraId="6EC398A2" w14: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60C3705E" w14: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w14:paraId="44BAA72E" w14:textId="77777777" w:rsidR="00585D16" w:rsidRDefault="00DE7B86">
            <w:pPr>
              <w:keepNext/>
              <w:spacing w:line="240" w:lineRule="auto" w:before="0" w:after="0"/>
              <w:ind w:firstLine="0" w:left="0" w:right="0"/>
              <w:jc w:val="center"/>
            </w:pPr>
            <w:r>
              <w:rPr>
                <w:rFonts w:ascii="Times New Roman" w:hAnsi="Times New Roman"/>
                <w:b/>
                <w:i w:val="0"/>
                <w:sz w:val="20"/>
              </w:rPr>
              <w:t>Độ trễ</w:t>
            </w:r>
          </w:p>
        </w:tc>
      </w:tr>
      <w:tr w:rsidR="00585D16" w14:paraId="664626A6"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3DA4A906" w14: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w14:paraId="70F51701" w14: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w14:paraId="05807AAD" w14: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w14:paraId="2CEEF552" w14: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w14:paraId="78692887"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2C45A2AB" w14: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w14:paraId="067E5756" w14: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w14:paraId="37E93038" w14: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w14:paraId="07EBB41B" w14: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w14:paraId="4B75F0EE" w14: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w14:paraId="7544B023" w14: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w14:paraId="67261A89" w14: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w14:paraId="3BD4E24C" w14: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w14:paraId="70FA3FFE" w14: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w14:paraId="06A8A578" w14:textId="77777777" w:rsidR="00585D16" w:rsidRDefault="00DE7B86">
      <w:pPr>
        <w:widowControl w:val="0"/>
        <w:spacing w:before="20" w:after="16"/>
      </w:pPr>
      <w:r>
        <w:rPr>
          <w:rFonts w:ascii="Times New Roman" w:hAnsi="Times New Roman"/>
          <w:sz w:val="22"/>
        </w:rPr>
        <w:t>Trên máy tính biên (CPU Intel Core i7-7600U), YOLOv8n-Seg chỉ chạy khi khởi tạo (~2,5 s); chu kỳ giám sát gồm phân loại bụi và phát hiện dị vật mất khoảng 1,1 s. Chu kỳ 10 phút/lần giúp hệ thống nghỉ phần lớn thời gian.</w:t>
      </w:r>
    </w:p>
    <w:p w14:paraId="0EE09941" w14:textId="77777777" w:rsidR="00585D16" w:rsidRDefault="00DE7B86">
      <w:pPr>
        <w:widowControl w:val="0"/>
      </w:pPr>
      <w:r>
        <w:rPr>
          <w:rFonts w:ascii="Times New Roman" w:hAnsi="Times New Roman"/>
          <w:sz w:val="22"/>
        </w:rPr>
        <w:t>YOLOv8n có hàm mất mát ổn định từ chu kỳ 50 (Hình 4). Trên 125 ảnh kiểm thử, mô hình đạt Precision 81,8%, Recall 75,2% và mAP@0,5 79,5% (106,8 ms).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w14:paraId="3853E980" w14: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w14:paraId="237CB516" w14: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left="0" w:right="0"/>
              <w:jc w:val="center"/>
            </w:pPr>
            <w:r>
              <w:rPr>
                <w:rFonts w:ascii="Times New Roman" w:hAnsi="Times New Roman"/>
                <w:sz w:val="20"/>
                <w:szCs w:val="20"/>
              </w:rPr>
              <w:t>2,0 s</w:t>
            </w:r>
          </w:p>
        </w:tc>
      </w:tr>
    </w:tbl>
    <w:p w14:paraId="569E9DAE" w14: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14: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w14:paraId="7EBF034C" w14:textId="77777777" w:rsidR="00585D16" w:rsidRDefault="00DE7B86">
      <w:pPr>
        <w:widowControl w:val="0"/>
        <w:spacing w:line="252" w:lineRule="auto"/>
      </w:pPr>
      <w:r/>
      <w:r>
        <w:rPr>
          <w:rFonts w:ascii="Times New Roman" w:hAnsi="Times New Roman"/>
          <w:i w:val="0"/>
          <w:sz w:val="22"/>
        </w:rPr>
        <w:t xml:space="preserve">Thử nghiệm trên tấm pin 50 W gồm sáu kịch bản ngoài trời (10:00–12:30): lá che 15–25% và bụi đất phủ 31–62,5%. Cảm biến PZEM-017 DC đo điện áp, dòng điện ở 1 Hz. Công suất </w:t>
      </w:r>
      <w:r>
        <w:rPr>
          <w:rFonts w:ascii="Times New Roman" w:hAnsi="Times New Roman"/>
          <w:i/>
          <w:sz w:val="22"/>
        </w:rPr>
        <w:t>P</w:t>
      </w:r>
      <w:r>
        <w:rPr>
          <w:rFonts w:ascii="Times New Roman" w:hAnsi="Times New Roman"/>
          <w:i/>
          <w:sz w:val="22"/>
          <w:vertAlign w:val="subscript"/>
        </w:rPr>
        <w:t>trước</w:t>
      </w:r>
      <w:r>
        <w:rPr>
          <w:rFonts w:ascii="Times New Roman" w:hAnsi="Times New Roman"/>
          <w:i w:val="0"/>
          <w:sz w:val="22"/>
        </w:rPr>
        <w:t xml:space="preserve"> và </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xml:space="preserve"> (sau chu trình ướt và 5 phút ráo nước) lấy trung bình 60 s.</w:t>
      </w:r>
    </w:p>
    <w:p w14:paraId="00EE70DA"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6. Công </w:t>
      </w:r>
      <w:proofErr w:type="spellStart"/>
      <w:r>
        <w:rPr>
          <w:rFonts w:ascii="Times New Roman" w:hAnsi="Times New Roman"/>
          <w:b/>
          <w:bCs/>
          <w:i/>
          <w:iCs/>
          <w:sz w:val="20"/>
          <w:szCs w:val="20"/>
        </w:rPr>
        <w:t>suất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được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trước</w:t>
      </w:r>
      <w:proofErr w:type="spellEnd"/>
      <w:r>
        <w:rPr>
          <w:rFonts w:ascii="Times New Roman" w:hAnsi="Times New Roman"/>
          <w:b/>
          <w:bCs/>
          <w:i/>
          <w:iCs/>
          <w:sz w:val="20"/>
          <w:szCs w:val="20"/>
        </w:rPr>
        <w:t xml:space="preserve"> – </w:t>
      </w:r>
      <w:proofErr w:type="spellStart"/>
      <w:r>
        <w:rPr>
          <w:rFonts w:ascii="Times New Roman" w:hAnsi="Times New Roman"/>
          <w:b/>
          <w:bCs/>
          <w:i/>
          <w:iCs/>
          <w:sz w:val="20"/>
          <w:szCs w:val="20"/>
        </w:rPr>
        <w:t>sau</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p>
    <w:tbl>
      <w:tblPr>
        <w:tblW w:w="0" w:type="auto"/>
        <w:jc w:val="center"/>
        <w:tblBorders>
          <w:top w:val="single" w:sz="10" w:space="0" w:color="000000"/>
          <w:bottom w:val="single" w:sz="10" w:space="0" w:color="000000"/>
        </w:tblBorders>
        <w:tblCellMar>
          <w:top w:w="15" w:type="dxa"/>
          <w:left w:w="20" w:type="dxa"/>
          <w:bottom w:w="15" w:type="dxa"/>
          <w:right w:w="20" w:type="dxa"/>
        </w:tblCellMar>
        <w:tblLook w:val="04A0" w:firstRow="1" w:lastRow="0" w:firstColumn="1" w:lastColumn="0" w:noHBand="0" w:noVBand="1"/>
      </w:tblPr>
      <w:tblGrid>
        <w:gridCol w:w="853"/>
        <w:gridCol w:w="1160"/>
        <w:gridCol w:w="978"/>
        <w:gridCol w:w="958"/>
      </w:tblGrid>
      <w:tr w:rsidR="006C4C35" w14:paraId="7DEA9D04" w14:textId="77777777">
        <w:trPr>
          <w:cantSplit/>
          <w:jc w:val="center"/>
        </w:trPr>
        <w:tc>
          <w:tcPr>
            <w:tcW w:w="900" w:type="dxa"/>
            <w:tcBorders>
              <w:bottom w:val="single" w:sz="6" w:space="0" w:color="000000"/>
            </w:tcBorders>
          </w:tcPr>
          <w:p w14:paraId="566C0095" w14:textId="77777777" w:rsidR="006C4C35" w:rsidRDefault="00000000">
            <w:pPr>
              <w:keepNext/>
              <w:keepLines/>
              <w:ind w:firstLine="0" w:left="0" w:right="0"/>
              <w:jc w:val="center"/>
            </w:pPr>
            <w:proofErr w:type="spellStart"/>
            <w:r>
              <w:rPr>
                <w:rFonts w:ascii="Times New Roman" w:hAnsi="Times New Roman"/>
                <w:b/>
                <w:bCs/>
                <w:sz w:val="20"/>
                <w:szCs w:val="19"/>
              </w:rPr>
              <w:t>Kịch</w:t>
            </w:r>
            <w:proofErr w:type="spellEnd"/>
            <w:r>
              <w:rPr>
                <w:rFonts w:ascii="Times New Roman" w:hAnsi="Times New Roman"/>
                <w:b/>
                <w:bCs/>
                <w:sz w:val="20"/>
                <w:szCs w:val="19"/>
              </w:rPr>
              <w:t xml:space="preserve"> </w:t>
            </w:r>
            <w:proofErr w:type="spellStart"/>
            <w:r>
              <w:rPr>
                <w:rFonts w:ascii="Times New Roman" w:hAnsi="Times New Roman"/>
                <w:b/>
                <w:bCs/>
                <w:sz w:val="20"/>
                <w:szCs w:val="19"/>
              </w:rPr>
              <w:t>bản</w:t>
            </w:r>
            <w:proofErr w:type="spellEnd"/>
          </w:p>
        </w:tc>
        <w:tc>
          <w:tcPr>
            <w:tcW w:w="1250" w:type="dxa"/>
            <w:tcBorders>
              <w:bottom w:val="single" w:sz="6" w:space="0" w:color="000000"/>
            </w:tcBorders>
          </w:tcPr>
          <w:p w14:paraId="085F4679" w14:textId="77777777" w:rsidR="006C4C35" w:rsidRDefault="00000000">
            <w:pPr>
              <w:keepNext/>
              <w:keepLines/>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trước</w:t>
            </w:r>
            <w:r>
              <w:rPr>
                <w:rFonts w:ascii="Times New Roman" w:hAnsi="Times New Roman"/>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sz w:val="20"/>
              </w:rPr>
              <w:t xml:space="preserve"> (W)</w:t>
            </w:r>
          </w:p>
        </w:tc>
        <w:tc>
          <w:tcPr>
            <w:tcW w:w="1050" w:type="dxa"/>
            <w:tcBorders>
              <w:bottom w:val="single" w:sz="6" w:space="0" w:color="000000"/>
            </w:tcBorders>
          </w:tcPr>
          <w:p>
            <w:pPr>
              <w:spacing w:before="0" w:after="0"/>
              <w:ind w:firstLine="0" w:left="0" w:right="0"/>
            </w:pPr>
            <w:r>
              <w:rPr>
                <w:rFonts w:ascii="Times New Roman" w:hAnsi="Times New Roman"/>
                <w:sz w:val="20"/>
              </w:rPr>
            </w:r>
            <w:r>
              <w:rPr>
                <w:rFonts w:ascii="Times New Roman" w:hAnsi="Times New Roman"/>
                <w:i/>
                <w:sz w:val="20"/>
              </w:rPr>
              <w:t>ΔP</w:t>
            </w:r>
            <w:r>
              <w:rPr>
                <w:rFonts w:ascii="Times New Roman" w:hAnsi="Times New Roman"/>
                <w:i w:val="0"/>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val="0"/>
                <w:sz w:val="20"/>
              </w:rPr>
              <w:t xml:space="preserve"> (%)</w:t>
            </w:r>
          </w:p>
        </w:tc>
        <w:tc>
          <w:tcPr>
            <w:tcW w:w="900" w:type="dxa"/>
            <w:tcBorders>
              <w:bottom w:val="single" w:sz="6" w:space="0" w:color="000000"/>
            </w:tcBorders>
          </w:tcPr>
          <w:p w14:paraId="2F30CB0E" w14:textId="77777777" w:rsidR="006C4C35" w:rsidRDefault="00000000">
            <w:pPr>
              <w:keepNext/>
              <w:keepLines/>
              <w:ind w:firstLine="0" w:left="0" w:right="0"/>
              <w:jc w:val="center"/>
            </w:pPr>
            <w:proofErr w:type="spellStart"/>
            <w:r>
              <w:rPr>
                <w:rFonts w:ascii="Times New Roman" w:hAnsi="Times New Roman"/>
                <w:b/>
                <w:bCs/>
                <w:sz w:val="20"/>
                <w:szCs w:val="19"/>
              </w:rPr>
              <w:t>Nghiệm</w:t>
            </w:r>
            <w:proofErr w:type="spellEnd"/>
            <w:r>
              <w:rPr>
                <w:rFonts w:ascii="Times New Roman" w:hAnsi="Times New Roman"/>
                <w:b/>
                <w:bCs/>
                <w:sz w:val="20"/>
                <w:szCs w:val="19"/>
              </w:rPr>
              <w:t xml:space="preserve"> </w:t>
            </w:r>
            <w:proofErr w:type="spellStart"/>
            <w:r>
              <w:rPr>
                <w:rFonts w:ascii="Times New Roman" w:hAnsi="Times New Roman"/>
                <w:b/>
                <w:bCs/>
                <w:sz w:val="20"/>
                <w:szCs w:val="19"/>
              </w:rPr>
              <w:t>thu</w:t>
            </w:r>
            <w:proofErr w:type="spellEnd"/>
          </w:p>
        </w:tc>
      </w:tr>
      <w:tr w:rsidR="006C4C35" w14:paraId="023C1EBA" w14:textId="77777777">
        <w:trPr>
          <w:cantSplit/>
          <w:jc w:val="center"/>
        </w:trPr>
        <w:tc>
          <w:tcPr>
            <w:tcW w:w="900" w:type="dxa"/>
          </w:tcPr>
          <w:p w14:paraId="2C96A6DA" w14:textId="77777777" w:rsidR="006C4C35" w:rsidRDefault="00000000">
            <w:pPr>
              <w:ind w:firstLine="0" w:left="0" w:right="0"/>
              <w:jc w:val="center"/>
            </w:pPr>
            <w:r>
              <w:rPr>
                <w:rFonts w:ascii="Times New Roman" w:hAnsi="Times New Roman"/>
                <w:sz w:val="20"/>
                <w:szCs w:val="19"/>
              </w:rPr>
              <w:t>Lá 1</w:t>
            </w:r>
          </w:p>
        </w:tc>
        <w:tc>
          <w:tcPr>
            <w:tcW w:w="1250" w:type="dxa"/>
          </w:tcPr>
          <w:p w14:paraId="2A8BD18A" w14:textId="77777777" w:rsidR="006C4C35" w:rsidRDefault="00000000">
            <w:pPr>
              <w:ind w:firstLine="0" w:left="0" w:right="0"/>
              <w:jc w:val="center"/>
            </w:pPr>
            <w:r>
              <w:rPr>
                <w:rFonts w:ascii="Times New Roman" w:hAnsi="Times New Roman"/>
                <w:sz w:val="20"/>
                <w:szCs w:val="19"/>
              </w:rPr>
              <w:t>24,0 → 40,0</w:t>
            </w:r>
          </w:p>
        </w:tc>
        <w:tc>
          <w:tcPr>
            <w:tcW w:w="1050" w:type="dxa"/>
          </w:tcPr>
          <w:p w14:paraId="50F25487" w14:textId="77777777" w:rsidR="006C4C35" w:rsidRDefault="00000000">
            <w:pPr>
              <w:ind w:firstLine="0" w:left="0" w:right="0"/>
              <w:jc w:val="center"/>
            </w:pPr>
            <w:r>
              <w:rPr>
                <w:rFonts w:ascii="Times New Roman" w:hAnsi="Times New Roman"/>
                <w:sz w:val="20"/>
                <w:szCs w:val="19"/>
              </w:rPr>
              <w:t>+16,0 (40,0%)</w:t>
            </w:r>
          </w:p>
        </w:tc>
        <w:tc>
          <w:tcPr>
            <w:tcW w:w="900" w:type="dxa"/>
          </w:tcPr>
          <w:p w14:paraId="7BA19E20" w14:textId="77777777" w:rsidR="006C4C35" w:rsidRDefault="00000000">
            <w:pPr>
              <w:ind w:firstLine="0" w:left="0" w:right="0"/>
              <w:jc w:val="center"/>
            </w:pPr>
            <w:r>
              <w:rPr>
                <w:rFonts w:ascii="Times New Roman" w:hAnsi="Times New Roman"/>
                <w:sz w:val="20"/>
                <w:szCs w:val="19"/>
              </w:rPr>
              <w:t>Đạt (*)</w:t>
            </w:r>
          </w:p>
        </w:tc>
      </w:tr>
      <w:tr w:rsidR="006C4C35" w14:paraId="765A290F" w14:textId="77777777">
        <w:trPr>
          <w:cantSplit/>
          <w:jc w:val="center"/>
        </w:trPr>
        <w:tc>
          <w:tcPr>
            <w:tcW w:w="900" w:type="dxa"/>
          </w:tcPr>
          <w:p w14:paraId="577364AA" w14:textId="77777777" w:rsidR="006C4C35" w:rsidRDefault="00000000">
            <w:pPr>
              <w:ind w:firstLine="0" w:left="0" w:right="0"/>
              <w:jc w:val="center"/>
            </w:pPr>
            <w:r>
              <w:rPr>
                <w:rFonts w:ascii="Times New Roman" w:hAnsi="Times New Roman"/>
                <w:sz w:val="20"/>
                <w:szCs w:val="19"/>
              </w:rPr>
              <w:t>Lá 2</w:t>
            </w:r>
          </w:p>
        </w:tc>
        <w:tc>
          <w:tcPr>
            <w:tcW w:w="1250" w:type="dxa"/>
          </w:tcPr>
          <w:p w14:paraId="00E9B637" w14:textId="77777777" w:rsidR="006C4C35" w:rsidRDefault="00000000">
            <w:pPr>
              <w:ind w:firstLine="0" w:left="0" w:right="0"/>
              <w:jc w:val="center"/>
            </w:pPr>
            <w:r>
              <w:rPr>
                <w:rFonts w:ascii="Times New Roman" w:hAnsi="Times New Roman"/>
                <w:sz w:val="20"/>
                <w:szCs w:val="19"/>
              </w:rPr>
              <w:t>27,4 → 32,8</w:t>
            </w:r>
          </w:p>
        </w:tc>
        <w:tc>
          <w:tcPr>
            <w:tcW w:w="1050" w:type="dxa"/>
          </w:tcPr>
          <w:p w14:paraId="2100080A" w14:textId="77777777" w:rsidR="006C4C35" w:rsidRDefault="00000000">
            <w:pPr>
              <w:ind w:firstLine="0" w:left="0" w:right="0"/>
              <w:jc w:val="center"/>
            </w:pPr>
            <w:r>
              <w:rPr>
                <w:rFonts w:ascii="Times New Roman" w:hAnsi="Times New Roman"/>
                <w:sz w:val="20"/>
                <w:szCs w:val="19"/>
              </w:rPr>
              <w:t>+5,4 (16,5%)</w:t>
            </w:r>
          </w:p>
        </w:tc>
        <w:tc>
          <w:tcPr>
            <w:tcW w:w="900" w:type="dxa"/>
          </w:tcPr>
          <w:p w14:paraId="194139FC" w14:textId="77777777" w:rsidR="006C4C35" w:rsidRDefault="00000000">
            <w:pPr>
              <w:ind w:firstLine="0" w:left="0" w:right="0"/>
              <w:jc w:val="center"/>
            </w:pPr>
            <w:r>
              <w:rPr>
                <w:rFonts w:ascii="Times New Roman" w:hAnsi="Times New Roman"/>
                <w:sz w:val="20"/>
                <w:szCs w:val="19"/>
              </w:rPr>
              <w:t>Đạt (*)</w:t>
            </w:r>
          </w:p>
        </w:tc>
      </w:tr>
      <w:tr w:rsidR="006C4C35" w14:paraId="20B0ADF4" w14:textId="77777777">
        <w:trPr>
          <w:cantSplit/>
          <w:jc w:val="center"/>
        </w:trPr>
        <w:tc>
          <w:tcPr>
            <w:tcW w:w="900" w:type="dxa"/>
          </w:tcPr>
          <w:p w14:paraId="7BE628F5" w14:textId="77777777" w:rsidR="006C4C35" w:rsidRDefault="00000000">
            <w:pPr>
              <w:ind w:firstLine="0" w:left="0" w:right="0"/>
              <w:jc w:val="center"/>
            </w:pPr>
            <w:r>
              <w:rPr>
                <w:rFonts w:ascii="Times New Roman" w:hAnsi="Times New Roman"/>
                <w:sz w:val="20"/>
                <w:szCs w:val="19"/>
              </w:rPr>
              <w:t>Lá 3</w:t>
            </w:r>
          </w:p>
        </w:tc>
        <w:tc>
          <w:tcPr>
            <w:tcW w:w="1250" w:type="dxa"/>
          </w:tcPr>
          <w:p w14:paraId="47BE3504" w14:textId="77777777" w:rsidR="006C4C35" w:rsidRDefault="00000000">
            <w:pPr>
              <w:ind w:firstLine="0" w:left="0" w:right="0"/>
              <w:jc w:val="center"/>
            </w:pPr>
            <w:r>
              <w:rPr>
                <w:rFonts w:ascii="Times New Roman" w:hAnsi="Times New Roman"/>
                <w:sz w:val="20"/>
                <w:szCs w:val="19"/>
              </w:rPr>
              <w:t>27,3 → 32,3</w:t>
            </w:r>
          </w:p>
        </w:tc>
        <w:tc>
          <w:tcPr>
            <w:tcW w:w="1050" w:type="dxa"/>
          </w:tcPr>
          <w:p w14:paraId="6704B796" w14:textId="77777777" w:rsidR="006C4C35" w:rsidRDefault="00000000">
            <w:pPr>
              <w:ind w:firstLine="0" w:left="0" w:right="0"/>
              <w:jc w:val="center"/>
            </w:pPr>
            <w:r>
              <w:rPr>
                <w:rFonts w:ascii="Times New Roman" w:hAnsi="Times New Roman"/>
                <w:sz w:val="20"/>
                <w:szCs w:val="19"/>
              </w:rPr>
              <w:t>+5,0 (15,5%)</w:t>
            </w:r>
          </w:p>
        </w:tc>
        <w:tc>
          <w:tcPr>
            <w:tcW w:w="900" w:type="dxa"/>
          </w:tcPr>
          <w:p w14:paraId="3B03ED3A" w14:textId="77777777" w:rsidR="006C4C35" w:rsidRDefault="00000000">
            <w:pPr>
              <w:ind w:firstLine="0" w:left="0" w:right="0"/>
              <w:jc w:val="center"/>
            </w:pPr>
            <w:r>
              <w:rPr>
                <w:rFonts w:ascii="Times New Roman" w:hAnsi="Times New Roman"/>
                <w:sz w:val="20"/>
                <w:szCs w:val="19"/>
              </w:rPr>
              <w:t>Đạt (*)</w:t>
            </w:r>
          </w:p>
        </w:tc>
      </w:tr>
      <w:tr w:rsidR="006C4C35" w14:paraId="502D94EA" w14:textId="77777777">
        <w:trPr>
          <w:cantSplit/>
          <w:jc w:val="center"/>
        </w:trPr>
        <w:tc>
          <w:tcPr>
            <w:tcW w:w="900" w:type="dxa"/>
          </w:tcPr>
          <w:p w14:paraId="350E21FD"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1</w:t>
            </w:r>
          </w:p>
        </w:tc>
        <w:tc>
          <w:tcPr>
            <w:tcW w:w="1250" w:type="dxa"/>
          </w:tcPr>
          <w:p w14:paraId="7A3AB129" w14:textId="77777777" w:rsidR="006C4C35" w:rsidRDefault="00000000">
            <w:pPr>
              <w:ind w:firstLine="0" w:left="0" w:right="0"/>
              <w:jc w:val="center"/>
            </w:pPr>
            <w:r>
              <w:rPr>
                <w:rFonts w:ascii="Times New Roman" w:hAnsi="Times New Roman"/>
                <w:sz w:val="20"/>
                <w:szCs w:val="19"/>
              </w:rPr>
              <w:t>23,5 → 44,8</w:t>
            </w:r>
          </w:p>
        </w:tc>
        <w:tc>
          <w:tcPr>
            <w:tcW w:w="1050" w:type="dxa"/>
          </w:tcPr>
          <w:p w14:paraId="38AB7253" w14:textId="77777777" w:rsidR="006C4C35" w:rsidRDefault="00000000">
            <w:pPr>
              <w:ind w:firstLine="0" w:left="0" w:right="0"/>
              <w:jc w:val="center"/>
            </w:pPr>
            <w:r>
              <w:rPr>
                <w:rFonts w:ascii="Times New Roman" w:hAnsi="Times New Roman"/>
                <w:sz w:val="20"/>
                <w:szCs w:val="19"/>
              </w:rPr>
              <w:t>+21,3 (47,5%)</w:t>
            </w:r>
          </w:p>
        </w:tc>
        <w:tc>
          <w:tcPr>
            <w:tcW w:w="900" w:type="dxa"/>
          </w:tcPr>
          <w:p w14:paraId="244D9A85" w14:textId="77777777" w:rsidR="006C4C35" w:rsidRDefault="00000000">
            <w:pPr>
              <w:ind w:firstLine="0" w:left="0" w:right="0"/>
              <w:jc w:val="center"/>
            </w:pPr>
            <w:r>
              <w:rPr>
                <w:rFonts w:ascii="Times New Roman" w:hAnsi="Times New Roman"/>
                <w:sz w:val="20"/>
                <w:szCs w:val="19"/>
              </w:rPr>
              <w:t>Đạt (*)</w:t>
            </w:r>
          </w:p>
        </w:tc>
      </w:tr>
      <w:tr w:rsidR="006C4C35" w14:paraId="4D0EC789" w14:textId="77777777">
        <w:trPr>
          <w:cantSplit/>
          <w:jc w:val="center"/>
        </w:trPr>
        <w:tc>
          <w:tcPr>
            <w:tcW w:w="900" w:type="dxa"/>
          </w:tcPr>
          <w:p w14:paraId="7FB6C279"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2</w:t>
            </w:r>
          </w:p>
        </w:tc>
        <w:tc>
          <w:tcPr>
            <w:tcW w:w="1250" w:type="dxa"/>
          </w:tcPr>
          <w:p w14:paraId="214FAA9F" w14:textId="77777777" w:rsidR="006C4C35" w:rsidRDefault="00000000">
            <w:pPr>
              <w:ind w:firstLine="0" w:left="0" w:right="0"/>
              <w:jc w:val="center"/>
            </w:pPr>
            <w:r>
              <w:rPr>
                <w:rFonts w:ascii="Times New Roman" w:hAnsi="Times New Roman"/>
                <w:sz w:val="20"/>
                <w:szCs w:val="19"/>
              </w:rPr>
              <w:t>16,6 → 36,8</w:t>
            </w:r>
          </w:p>
        </w:tc>
        <w:tc>
          <w:tcPr>
            <w:tcW w:w="1050" w:type="dxa"/>
          </w:tcPr>
          <w:p w14:paraId="0851699C" w14:textId="77777777" w:rsidR="006C4C35" w:rsidRDefault="00000000">
            <w:pPr>
              <w:ind w:firstLine="0" w:left="0" w:right="0"/>
              <w:jc w:val="center"/>
            </w:pPr>
            <w:r>
              <w:rPr>
                <w:rFonts w:ascii="Times New Roman" w:hAnsi="Times New Roman"/>
                <w:sz w:val="20"/>
                <w:szCs w:val="19"/>
              </w:rPr>
              <w:t>+20,2 (54,9%)</w:t>
            </w:r>
          </w:p>
        </w:tc>
        <w:tc>
          <w:tcPr>
            <w:tcW w:w="900" w:type="dxa"/>
          </w:tcPr>
          <w:p w14:paraId="364D42F7" w14:textId="77777777" w:rsidR="006C4C35" w:rsidRDefault="00000000">
            <w:pPr>
              <w:ind w:firstLine="0" w:left="0" w:right="0"/>
              <w:jc w:val="center"/>
            </w:pPr>
            <w:r>
              <w:rPr>
                <w:rFonts w:ascii="Times New Roman" w:hAnsi="Times New Roman"/>
                <w:sz w:val="20"/>
                <w:szCs w:val="19"/>
              </w:rPr>
              <w:t>Đạt (*)</w:t>
            </w:r>
          </w:p>
        </w:tc>
      </w:tr>
      <w:tr w:rsidR="006C4C35" w14:paraId="2C28D131" w14:textId="77777777">
        <w:trPr>
          <w:cantSplit/>
          <w:jc w:val="center"/>
        </w:trPr>
        <w:tc>
          <w:tcPr>
            <w:tcW w:w="900" w:type="dxa"/>
          </w:tcPr>
          <w:p w14:paraId="4B09A963" w14:textId="77777777" w:rsidR="006C4C35" w:rsidRDefault="00000000">
            <w:pPr>
              <w:ind w:firstLine="0" w:left="0" w:right="0"/>
              <w:jc w:val="center"/>
            </w:pPr>
            <w:proofErr w:type="spellStart"/>
            <w:r>
              <w:rPr>
                <w:rFonts w:ascii="Times New Roman" w:hAnsi="Times New Roman"/>
                <w:sz w:val="20"/>
                <w:szCs w:val="19"/>
              </w:rPr>
              <w:t>Bụi</w:t>
            </w:r>
            <w:proofErr w:type="spellEnd"/>
            <w:r>
              <w:rPr>
                <w:rFonts w:ascii="Times New Roman" w:hAnsi="Times New Roman"/>
                <w:sz w:val="20"/>
                <w:szCs w:val="19"/>
              </w:rPr>
              <w:t xml:space="preserve"> 3</w:t>
            </w:r>
          </w:p>
        </w:tc>
        <w:tc>
          <w:tcPr>
            <w:tcW w:w="1250" w:type="dxa"/>
          </w:tcPr>
          <w:p w14:paraId="4CB413E7" w14:textId="77777777" w:rsidR="006C4C35" w:rsidRDefault="00000000">
            <w:pPr>
              <w:ind w:firstLine="0" w:left="0" w:right="0"/>
              <w:jc w:val="center"/>
            </w:pPr>
            <w:r>
              <w:rPr>
                <w:rFonts w:ascii="Times New Roman" w:hAnsi="Times New Roman"/>
                <w:sz w:val="20"/>
                <w:szCs w:val="19"/>
              </w:rPr>
              <w:t>14,5 → 49,3</w:t>
            </w:r>
          </w:p>
        </w:tc>
        <w:tc>
          <w:tcPr>
            <w:tcW w:w="1050" w:type="dxa"/>
          </w:tcPr>
          <w:p w14:paraId="336C7610" w14:textId="77777777" w:rsidR="006C4C35" w:rsidRDefault="00000000">
            <w:pPr>
              <w:ind w:firstLine="0" w:left="0" w:right="0"/>
              <w:jc w:val="center"/>
            </w:pPr>
            <w:r>
              <w:rPr>
                <w:rFonts w:ascii="Times New Roman" w:hAnsi="Times New Roman"/>
                <w:sz w:val="20"/>
                <w:szCs w:val="19"/>
              </w:rPr>
              <w:t>+34,8 (70,6%)</w:t>
            </w:r>
          </w:p>
        </w:tc>
        <w:tc>
          <w:tcPr>
            <w:tcW w:w="900" w:type="dxa"/>
          </w:tcPr>
          <w:p w14:paraId="62FA01ED" w14:textId="77777777" w:rsidR="006C4C35" w:rsidRDefault="00000000">
            <w:pPr>
              <w:ind w:firstLine="0" w:left="0" w:right="0"/>
              <w:jc w:val="center"/>
            </w:pPr>
            <w:r>
              <w:rPr>
                <w:rFonts w:ascii="Times New Roman" w:hAnsi="Times New Roman"/>
                <w:sz w:val="20"/>
                <w:szCs w:val="19"/>
              </w:rPr>
              <w:t>Đạt (*)</w:t>
            </w:r>
          </w:p>
        </w:tc>
      </w:tr>
    </w:tbl>
    <w:p>
      <w:pPr>
        <w:widowControl w:val="0"/>
        <w:spacing w:before="20" w:after="20"/>
        <w:ind w:firstLine="0"/>
        <w:rPr>
          <w:i/>
          <w:iCs/>
          <w:sz w:val="18"/>
          <w:szCs w:val="18"/>
        </w:rPr>
      </w:pPr>
      <w:r/>
      <w:r>
        <w:rPr>
          <w:rFonts w:ascii="Times New Roman" w:hAnsi="Times New Roman"/>
          <w:i/>
          <w:sz w:val="20"/>
        </w:rPr>
        <w:t xml:space="preserve">Ghi chú: </w:t>
      </w:r>
      <w:r>
        <w:rPr>
          <w:rFonts w:ascii="Times New Roman" w:hAnsi="Times New Roman"/>
          <w:i/>
          <w:sz w:val="20"/>
        </w:rPr>
        <w:t>P</w:t>
      </w:r>
      <w:r>
        <w:rPr>
          <w:rFonts w:ascii="Times New Roman" w:hAnsi="Times New Roman"/>
          <w:i/>
          <w:sz w:val="20"/>
          <w:vertAlign w:val="subscript"/>
        </w:rPr>
        <w:t>định mức</w:t>
      </w:r>
      <w:r>
        <w:rPr>
          <w:rFonts w:ascii="Times New Roman" w:hAnsi="Times New Roman"/>
          <w:i/>
          <w:sz w:val="20"/>
        </w:rPr>
        <w:t xml:space="preserve"> = 50 W (</w:t>
      </w:r>
      <w:r>
        <w:rPr>
          <w:rFonts w:ascii="Times New Roman" w:hAnsi="Times New Roman"/>
          <w:i/>
          <w:sz w:val="20"/>
        </w:rPr>
        <w:t>V</w:t>
      </w:r>
      <w:r>
        <w:rPr>
          <w:rFonts w:ascii="Times New Roman" w:hAnsi="Times New Roman"/>
          <w:i/>
          <w:sz w:val="20"/>
          <w:vertAlign w:val="subscript"/>
        </w:rPr>
        <w:t>mp</w:t>
      </w:r>
      <w:r>
        <w:rPr>
          <w:rFonts w:ascii="Times New Roman" w:hAnsi="Times New Roman"/>
          <w:i/>
          <w:sz w:val="20"/>
        </w:rPr>
        <w:t xml:space="preserve"> = 18,0 V; </w:t>
      </w:r>
      <w:r>
        <w:rPr>
          <w:rFonts w:ascii="Times New Roman" w:hAnsi="Times New Roman"/>
          <w:i/>
          <w:sz w:val="20"/>
        </w:rPr>
        <w:t>I</w:t>
      </w:r>
      <w:r>
        <w:rPr>
          <w:rFonts w:ascii="Times New Roman" w:hAnsi="Times New Roman"/>
          <w:i/>
          <w:sz w:val="20"/>
          <w:vertAlign w:val="subscript"/>
        </w:rPr>
        <w:t>mp</w:t>
      </w:r>
      <w:r>
        <w:rPr>
          <w:rFonts w:ascii="Times New Roman" w:hAnsi="Times New Roman"/>
          <w:i/>
          <w:sz w:val="20"/>
        </w:rPr>
        <w:t xml:space="preserve"> = 2,78 A); Bụi 1–3 che phủ 31,3–62,5%. </w:t>
      </w:r>
      <w:r>
        <w:rPr>
          <w:rFonts w:ascii="Times New Roman" w:hAnsi="Times New Roman"/>
          <w:i/>
          <w:sz w:val="20"/>
        </w:rPr>
        <w:t>ΔP</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w:t>
      </w:r>
      <w:r>
        <w:rPr>
          <w:rFonts w:ascii="Times New Roman" w:hAnsi="Times New Roman"/>
          <w:i/>
          <w:sz w:val="20"/>
        </w:rPr>
        <w:t>P</w:t>
      </w:r>
      <w:r>
        <w:rPr>
          <w:rFonts w:ascii="Times New Roman" w:hAnsi="Times New Roman"/>
          <w:i/>
          <w:sz w:val="20"/>
          <w:vertAlign w:val="subscript"/>
        </w:rPr>
        <w:t>trước</w:t>
      </w:r>
      <w:r>
        <w:rPr>
          <w:rFonts w:ascii="Times New Roman" w:hAnsi="Times New Roman"/>
          <w:i/>
          <w:sz w:val="20"/>
        </w:rPr>
        <w:t xml:space="preserve">; chênh lệch so với sau rửa: </w:t>
      </w:r>
      <w:r>
        <w:rPr>
          <w:rFonts w:ascii="Times New Roman" w:hAnsi="Times New Roman"/>
          <w:i/>
          <w:sz w:val="20"/>
        </w:rPr>
        <w:t>ΔP</w:t>
      </w:r>
      <w:r>
        <w:rPr>
          <w:rFonts w:ascii="Times New Roman" w:hAnsi="Times New Roman"/>
          <w:i/>
          <w:sz w:val="20"/>
        </w:rPr>
        <w:t>/</w:t>
      </w:r>
      <w:r>
        <w:rPr>
          <w:rFonts w:ascii="Times New Roman" w:hAnsi="Times New Roman"/>
          <w:i/>
          <w:sz w:val="20"/>
        </w:rPr>
        <w:t>P</w:t>
      </w:r>
      <w:r>
        <w:rPr>
          <w:rFonts w:ascii="Times New Roman" w:hAnsi="Times New Roman"/>
          <w:i/>
          <w:sz w:val="20"/>
          <w:vertAlign w:val="subscript"/>
        </w:rPr>
        <w:t>sau</w:t>
      </w:r>
      <w:r>
        <w:rPr>
          <w:rFonts w:ascii="Times New Roman" w:hAnsi="Times New Roman"/>
          <w:i/>
          <w:sz w:val="20"/>
        </w:rPr>
        <w:t xml:space="preserve"> × 100% (chưa đo bức xạ). (*): Cả 6 kịch bản đạt chuẩn sau 1 chu trình (</w:t>
      </w:r>
      <w:r>
        <w:rPr>
          <w:rFonts w:ascii="Times New Roman" w:hAnsi="Times New Roman"/>
          <w:i/>
          <w:sz w:val="20"/>
        </w:rPr>
        <w:t>N</w:t>
      </w:r>
      <w:r>
        <w:rPr>
          <w:rFonts w:ascii="Times New Roman" w:hAnsi="Times New Roman"/>
          <w:i/>
          <w:sz w:val="20"/>
          <w:vertAlign w:val="subscript"/>
        </w:rPr>
        <w:t>FO</w:t>
      </w:r>
      <w:r>
        <w:rPr>
          <w:rFonts w:ascii="Times New Roman" w:hAnsi="Times New Roman"/>
          <w:i/>
          <w:sz w:val="20"/>
        </w:rPr>
        <w:t xml:space="preserve"> = 0; </w:t>
      </w:r>
      <w:r>
        <w:rPr>
          <w:rFonts w:ascii="Times New Roman" w:hAnsi="Times New Roman"/>
          <w:i/>
          <w:sz w:val="20"/>
        </w:rPr>
        <w:t>C</w:t>
      </w:r>
      <w:r>
        <w:rPr>
          <w:rFonts w:ascii="Times New Roman" w:hAnsi="Times New Roman"/>
          <w:i/>
          <w:sz w:val="20"/>
          <w:vertAlign w:val="subscript"/>
        </w:rPr>
        <w:t>sau</w:t>
      </w:r>
      <w:r>
        <w:rPr>
          <w:rFonts w:ascii="Times New Roman" w:hAnsi="Times New Roman"/>
          <w:i/>
          <w:sz w:val="20"/>
        </w:rPr>
        <w:t xml:space="preserve"> &lt; 5%).</w:t>
      </w:r>
    </w:p>
    <w:p>
      <w:pPr>
        <w:widowControl w:val="0"/>
        <w:spacing w:before="30" w:after="30" w:line="252" w:lineRule="auto"/>
      </w:pPr>
      <w:r>
        <w:rPr>
          <w:rFonts w:ascii="Times New Roman" w:hAnsi="Times New Roman"/>
          <w:sz w:val="22"/>
        </w:rPr>
      </w:r>
      <w:r>
        <w:rPr>
          <w:rFonts w:ascii="Times New Roman" w:hAnsi="Times New Roman"/>
          <w:i w:val="0"/>
          <w:sz w:val="22"/>
        </w:rPr>
        <w:t xml:space="preserve">Ở sáu kịch bản, </w:t>
      </w:r>
      <w:r>
        <w:rPr>
          <w:rFonts w:ascii="Times New Roman" w:hAnsi="Times New Roman"/>
          <w:i/>
          <w:sz w:val="22"/>
        </w:rPr>
        <w:t>ΔP</w:t>
      </w:r>
      <w:r>
        <w:rPr>
          <w:rFonts w:ascii="Times New Roman" w:hAnsi="Times New Roman"/>
          <w:i w:val="0"/>
          <w:sz w:val="22"/>
        </w:rPr>
        <w:t xml:space="preserve"> dao động 5,0–34,8 W, trung bình 17,1 W (độ lệch chuẩn 11,2 W, phản ánh độ phân tán giữa các kịch bản che khuất); tỷ lệ chênh lệch so với công suất sau làm sạch (</w:t>
      </w:r>
      <w:r>
        <w:rPr>
          <w:rFonts w:ascii="Times New Roman" w:hAnsi="Times New Roman"/>
          <w:i/>
          <w:sz w:val="22"/>
        </w:rPr>
        <w:t>ΔP</w:t>
      </w:r>
      <w:r>
        <w:rPr>
          <w:rFonts w:ascii="Times New Roman" w:hAnsi="Times New Roman"/>
          <w:i w:val="0"/>
          <w:sz w:val="22"/>
        </w:rPr>
        <w:t>/</w:t>
      </w:r>
      <w:r>
        <w:rPr>
          <w:rFonts w:ascii="Times New Roman" w:hAnsi="Times New Roman"/>
          <w:i/>
          <w:sz w:val="22"/>
        </w:rPr>
        <w:t>P</w:t>
      </w:r>
      <w:r>
        <w:rPr>
          <w:rFonts w:ascii="Times New Roman" w:hAnsi="Times New Roman"/>
          <w:i/>
          <w:sz w:val="22"/>
          <w:vertAlign w:val="subscript"/>
        </w:rPr>
        <w:t>sau</w:t>
      </w:r>
      <w:r>
        <w:rPr>
          <w:rFonts w:ascii="Times New Roman" w:hAnsi="Times New Roman"/>
          <w:i w:val="0"/>
          <w:sz w:val="22"/>
        </w:rPr>
        <w:t>) đạt 15,5–70,6% (trung bình 40,8%).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w14:paraId="1765593B" w14: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pPr>
      <w:r>
        <w:rPr>
          <w:rFonts w:ascii="Times New Roman" w:hAnsi="Times New Roman"/>
          <w:sz w:val="22"/>
        </w:rPr>
        <w:t>Web SCADA và ứng dụng React Native (Hình 7) kết nối máy tính biên qua WebSocket [16], hiển thị điện áp, dòng điện, công suất tức thời và trạng thái làm sạch. Các thông số trên Hình 7 (19,88 V; 2,610 A; 51,8 W) là giá trị tức thời minh họa truyền thông, không tương ứng giá trị trung bình 60 s ở Bảng 6.</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358793" cy="34000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358793" cy="3400000"/>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33 W khi suy luận đỉnh (máy tính biên 23 W, PLC 10 W) và ~14 W ở chế độ chờ chu kỳ 10 phút (~4 W máy tính, 10 W PLC). Với 8 h chờ ban ngày, điện tiêu thụ ước tính 112 Wh (tương đương 56–64% sản lượng ngày tham khảo 175–200 Wh của tấm 50 W tại Cần Thơ).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chỉ làm tải phụ trợ khép mạch đo; (2) tập kiểm thử YOLO gồm 125 ảnh tạo từ 12 ảnh mẹ qua biến đổi tăng cường và 384 ô phân loại trích từ cùng 12 ảnh này, việc dùng tập kiểm thử tăng cường là hạn chế về tính độc lập dữ liệu và chưa bảo đảm tính khái quát hóa cho nhiều chủng loại pin hay điều kiện thời tiết khác nhau; (3) phân chim nhân tạo mô phỏng từ bột khoáng; (4) vệt nước đọng sau phun có thể gây nhiễu phân loại ô; (5) chưa đo độc lập bức xạ mặt trời và nhiệt độ cell để định lượng chi tiết hiện tượng điểm nóng [6].</w:t>
      </w:r>
    </w:p>
    <w:p w14:paraId="337C3F45" w14: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4093F9E8" w14:textId="77777777" w:rsidR="00585D16" w:rsidRDefault="00DE7B86">
      <w:pPr>
        <w:widowControl w:val="0"/>
      </w:pPr>
      <w:r>
        <w:rPr>
          <w:rFonts w:ascii="Times New Roman" w:hAnsi="Times New Roman"/>
          <w:sz w:val="22"/>
        </w:rPr>
      </w:r>
      <w:r>
        <w:rPr>
          <w:rFonts w:ascii="Times New Roman" w:hAnsi="Times New Roman"/>
          <w:i w:val="0"/>
          <w:sz w:val="22"/>
        </w:rPr>
        <w:t xml:space="preserve">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w:t>
      </w:r>
      <w:r>
        <w:rPr>
          <w:rFonts w:ascii="Times New Roman" w:hAnsi="Times New Roman"/>
          <w:i w:val="0"/>
          <w:sz w:val="22"/>
        </w:rPr>
        <w:t xml:space="preserve">Mô hình phân loại đạt độ chính xác 96,9% trên 384 ô kiểm thử của nguyên mẫu (khả năng tổng quát hóa cần được đánh giá thêm trên dữ liệu độc lập) và mô hình phát hiện vật cản đạt </w:t>
      </w:r>
      <w:r>
        <w:rPr>
          <w:rFonts w:ascii="Times New Roman" w:hAnsi="Times New Roman"/>
          <w:i/>
          <w:sz w:val="22"/>
        </w:rPr>
        <w:t>mAP</w:t>
      </w:r>
      <w:r>
        <w:rPr>
          <w:rFonts w:ascii="Times New Roman" w:hAnsi="Times New Roman"/>
          <w:i w:val="0"/>
          <w:sz w:val="22"/>
        </w:rPr>
        <w:t>@0,5 là 79,5%; lớp phân chim có độ nhạy thấp hơn lớp lá cây. Chu trình làm sạch ướt hoàn tất trong 30 s với 2,5 L nước, công tắc hành trình bảo vệ độc lập với máy tính biên. Trong sáu kịch bản thử nghiệm, công suất đo được sau làm sạch đều cao hơn trước làm sạch;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w14:paraId="186628C6" w14: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w14:paraId="2236FA11" w14: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w14:paraId="32241241"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 REN21, “Renewables 2024 global status report: Energy supply module,” REN21 Secretariat, Paris, France, Tech. Rep., 2024. [Trực tuyến]. Khả dụng: https://www.ren21.net/gsr-2024/modules/energy_supply/02_market_and_industry_trends/ [Truy cập: 01-10-2026].</w:t>
      </w:r>
    </w:p>
    <w:p w14:paraId="2CDD044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[2] P. Lin et al., “Assessment of power loss caused by soiling PV modules using a dual branch multi-modality deep learning network framework,” Renew. Energy, vol. 248, p. 122926, 2025, doi: 10.1016/j.renene.2025.122926.</w:t>
      </w:r>
    </w:p>
    <w:p w14:paraId="35FB031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[3] T. Sarver et al., “A comprehensive review of the impact of dust on the use of solar energy: History, investigations, results, literature, and mitigation approaches,” Renew. Sustain. Energy Rev., vol. 22, pp. 698–733, 2013, doi: 10.1016/j.rser.2012.12.065.</w:t>
      </w:r>
    </w:p>
    <w:p w14:paraId="79B38D7B"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[4] L. Liu, Q. Li, X. Liao, and W. Wu, “Bird droppings defects detection in photovoltaic modules based on CA-YOLOv5,” Processes, vol. 12, no. 6, p. 1248, Jun. 2024, doi: 10.3390/pr12061248.</w:t>
      </w:r>
    </w:p>
    <w:p w14:paraId="7847A3FD"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[5] A. Sayyah, M. N. Horenstein, and M. K. Mazumder, “Energy yield loss caused by dust deposition on photovoltaic panels,” Sol. Energy, vol. 107, pp. 576–604, 2014, doi: 10.1016/j.solener.2014.05.030.</w:t>
      </w:r>
    </w:p>
    <w:p w14:paraId="6F6B07E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[6] M. Dhimish et al., “PV output power enhancement using two mitigation techniques for hot spots and partially shaded solar cells,” Electr. Power Syst. Res., vol. 158, pp. 15–25, 2018, doi: 10.1016/j.epsr.2018.01.002.</w:t>
      </w:r>
    </w:p>
    <w:p w14:paraId="781C52BB"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[7] W. Javed, B. Guo, and B. Figgis, “Modeling of photovoltaic soiling loss as a function of environmental variables,” Sol. Energy, vol. 157, pp. 397–407, 2017, doi: 10.1016/j.solener.2017.08.046.</w:t>
      </w:r>
    </w:p>
    <w:p w14:paraId="719EDA53"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[8] M. A. M. Ramli et al., “On the investigation of photovoltaic output power reduction due to dust accumulation and weather conditions,” Renew. Energy, vol. 99, pp. 836–844, 2016, doi: 10.1016/j.renene.2016.07.063.</w:t>
      </w:r>
    </w:p>
    <w:p w14:paraId="762A8EDF"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[9] M. Valerino, M. Bergin, C. Ghoroi, A. Ratnaparkhi, and G. P. Smestad, “Low-cost solar PV soiling sensor validation and size resolved soiling impacts: A comprehensive field study in Western India,” Sol. Energy, vol. 204, pp. 307–315, 2020, doi: 10.1016/j.solener.2020.03.118.</w:t>
      </w:r>
    </w:p>
    <w:p w14:paraId="59B7F06E"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[10] J. Luo et al., “A photovoltaic panel cleaning robot with a lightweight YOLO v8,” Front. Robot. AI, vol. 12, p. 1606774, 2025, doi: 10.3389/frobt.2025.1606774.</w:t>
      </w:r>
    </w:p>
    <w:p w14:paraId="008F89B3"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[11] W. Ji et al., “Review of key technologies and development trends of photovoltaic panel cleaning robots,” Appl. Energy, vol. 411, Art. no. 127642, May 2026, doi: 10.1016/j.apenergy.2026.127642.</w:t>
      </w:r>
    </w:p>
    <w:p w14:paraId="1DA2546C"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[12] J. Yang et al., “Research on mechanism design and kinematic characteristics of self-propelled photovoltaic cleaning robot,” Appl. Sci., vol. 13, no. 12, p. 6967, 2023, doi: 10.3390/app13126967.</w:t>
      </w:r>
    </w:p>
    <w:p w14:paraId="778D7625"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[13] S. Hossain et al., “Enhancing solar panel performance: A machine learning approach to dust detection and automated water sprinkle-based cleaning strategy,” Sol. Energy, vol. 287, p. 113240, 2025, doi: 10.1016/j.solener.2025.113240.</w:t>
      </w:r>
    </w:p>
    <w:p w14:paraId="08FA56A7"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[14] M. Fang et al., “DGImNet: A deep learning model for photovoltaic soiling loss estimation based on dust grid images,” Appl. Energy, vol. 376, Part B, p. 124335, 2024, doi: 10.1016/j.apenergy.2024.124335.</w:t>
      </w:r>
    </w:p>
    <w:p w14:paraId="06DB0170"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[15] H. El Karch et al., “AI-based smart real-time PV panels soiling recognizing system using deep neural network framework on NVIDIA Jetson Nano Embedded GPU,” Ing. Syst. Inf., vol. 29, no. 5, pp. 1687–1699, 2024, doi: 10.18280/isi.290503.</w:t>
      </w:r>
    </w:p>
    <w:p w14:paraId="1AD2E514"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[16] I. Fette and A. Melnikov, “The WebSocket Protocol,” Internet Engineering Task Force (IETF), RFC 6455, Dec. 2011, doi: 10.17487/RFC6455.</w:t>
      </w:r>
    </w:p>
    <w:p w14:paraId="27AAFD5E"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[17] G. Jocher, A. Chaurasia, and J. Qiu, “Ultralytics YOLO,” version 8.0.0, GitHub, 2023. [Trực tuyến]. Khả dụng: https://github.com/ultralytics/ultralytics [Truy cập: 01-10-2026].</w:t>
      </w:r>
    </w:p>
    <w:p w14:paraId="65C6D577"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[18] M. Tan and Q. V. Le, “EfficientNet: Rethinking model scaling for convolutional neural networks,” in Proc. 36th Int. Conf. Mach. Learn. (ICML), 2019, pp. 6105–6114.</w:t>
      </w:r>
    </w:p>
    <w:p w14:paraId="17F819AA" w14:textId="77777777" w:rsidR="00585D16" w:rsidRDefault="00DE7B86">
      <w:pPr>
        <w:keepLines/>
        <w:widowControl w:val="0"/>
        <w:spacing w:line="240" w:lineRule="auto" w:before="0" w:after="20"/>
        <w:ind w:left="280" w:hanging="280"/>
        <w:rPr>
          <w:sz w:val="19"/>
          <w:szCs w:val="19"/>
        </w:rPr>
      </w:pPr>
      <w:r>
        <w:rPr>
          <w:rFonts w:ascii="Times New Roman" w:hAnsi="Times New Roman"/>
          <w:sz w:val="18"/>
        </w:rPr>
        <w:t>[19] Siemens AG, “SIMATIC S7-1200 programmable controller system manual,” Siemens AG, Nuremberg, Germany, System Manual Edition 12/2024, Doc. ID A5E02486680-AQ, 2024. [Trực tuyến]. Khả dụng: https://support.industry.siemens.com/cs/document/109977302 [Truy cập: 01-10-2026].</w:t>
      </w:r>
    </w:p>
    <w:p w14:paraId="23FD43A9" w14:textId="77777777" w:rsidR="006C4C35" w:rsidRDefault="00000000">
      <w:pPr>
        <w:spacing w:line="240" w:lineRule="auto" w:before="0" w:after="20"/>
        <w:ind w:left="280" w:hanging="280"/>
        <w:rPr>
          <w:sz w:val="19"/>
          <w:szCs w:val="19"/>
        </w:rPr>
      </w:pPr>
      <w:r>
        <w:rPr>
          <w:rFonts w:ascii="Times New Roman" w:hAnsi="Times New Roman"/>
          <w:sz w:val="18"/>
        </w:rPr>
        <w:t>[20] D. Nardella, “Snap7: An open source multi-platform Ethernet S7 communication suite,” SourceForge, Version 1.4.2, 2021. [Trực tuyến]. Khả dụng: https://snap7.sourceforge.net/ [Truy cập: 01-10-2026].</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