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rPr>
              <w:t>Luo et al. (2025) [10] (Robot di động bánh xích)</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rPr>
              <w:t>Hossain et al. (2025) [13] (Phun nước áp lực)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color w:val="000000"/>
          <w:sz w:val="18"/>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thực nghiệm hoặc công bố trong bài; NR: Không thuộc phạm vi khảo sát hoặc không báo cáo (Not Reported).</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
        <w:rPr>
          <w:rFonts w:ascii="Times New Roman" w:hAnsi="Times New Roman"/>
          <w:sz w:val="22"/>
        </w:rPr>
        <w:t>Hệ thống thực nghiệm gồm tấm pin mono-Si 50 W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tải lưu trữ phụ trợ gồm khối pin Li-ion qua bộ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gồm lá cây thật, phân chim nhân tạo (bột khoáng sấy khô) và bụi đất mịn được sấy khô ở 105 °C trong 2 giờ rồi rắc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[16] (6,8 MB, 100 chu kỳ) định vị viền và nắn phối cảnh về khung 896 × 1792 px để tạo 32 ô 224 × 224 px (Hình 3). Tiền xử lý này áp dụng thống nhất khi huấn luyện và suy luận EfficientNet-B0; mỗi ô tương ứng 1/32 diện tích bề mặt (83,8 × 133,8 mm).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LR = 0,01); EfficientNet-B0 [17]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[18] điều khiển chu trình theo máy trạng thái hữu hạn. Máy tính biên gửi cờ qua Snap7 [19]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Csau &lt; 5% và NFO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i w:val="0"/>
                <w:sz w:val="20"/>
              </w:rPr>
              <w:t>Độ trễ</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22"/>
        </w:rPr>
        <w:t>Trên máy tính biên (CPU Intel Core i7-7600U), YOLOv8n-Seg chỉ chạy khi khởi tạo (~2,5 s); chu kỳ giám sát gồm phân loại bụi và phát hiện dị vật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mô hình đạt Precision 81,8%, Recall 75,2% và mAP@0,5 79,5% (106,8 ms).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[20],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chỉ làm tải phụ trợ khép mạch đo; (2) tập kiểm thử YOLO gồm 125 ảnh tạo từ 12 ảnh mẹ qua biến đổi tăng cường và 384 ô phân loại trích từ cùng 12 ảnh này, việc dùng tập kiểm thử tăng cường là hạn chế về tính độc lập dữ liệu và chưa bảo đảm tính khái quát hóa cho nhiều chủng loại pin hay điều kiện thời tiết khác nhau; (3) phân chim nhân tạo mô phỏng từ bột khoáng; (4)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G. Jocher, A. Chaurasia, and J. Qiu, “Ultralytics YOLO,” version 8.0.0, GitHub, 2023. [Trực tuyến]. Khả dụng: https://github.com/ultralytics/ultralytics [Truy cập: 01-10-2026].</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M. Tan and Q. V. Le, “EfficientNet: Rethinking model scaling for convolutional neural networks,” in Proc. 36th Int. Conf. Mach. Learn. (ICML), 2019, pp. 6105–6114.</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Siemens AG, “SIMATIC S7-1200 programmable controller system manual,” Siemens AG, Nuremberg, Germany, System Manual Edition 12/2024, Doc. ID A5E02486680-AQ, 2024. [Trực tuyến]. Khả dụng: https://support.industry.siemens.com/cs/document/109977302 [Truy cập: 01-10-2026].</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D. Nardella, “Snap7: An open source multi-platform Ethernet S7 communication suite,” SourceForge, Version 1.4.2, 2021. [Trực tuyến]. Khả dụng: https://snap7.sourceforge.net/ [Truy cập: 01-10-2026].</w:t>
      </w:r>
    </w:p>
    <w:p w14:paraId="23FD43A9" w14:textId="77777777" w:rsidR="006C4C35" w:rsidRDefault="00000000">
      <w:pPr>
        <w:spacing w:line="240" w:lineRule="auto" w:before="0" w:after="20"/>
        <w:ind w:left="280" w:hanging="280"/>
        <w:rPr>
          <w:sz w:val="19"/>
          <w:szCs w:val="19"/>
        </w:rPr>
      </w:pPr>
      <w:r>
        <w:rPr>
          <w:rFonts w:ascii="Times New Roman" w:hAnsi="Times New Roman"/>
          <w:sz w:val="18"/>
        </w:rPr>
        <w:t>[20] I. Fette and A. Melnikov, “The WebSocket Protocol,” Internet Engineering Task Force (IETF), RFC 6455, Dec. 2011, doi: 10.17487/RFC6455.</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