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hiện tượng suy giảm công suất do bụi tích tụ kết hợp cùng độ ẩm và điều kiện thời tiết môi trường đã được ghi nhận qua nhiều khảo sát thực nghiệm tại Doha [7] và Surabaya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sz w:val="18"/>
              </w:rPr>
              <w:t>Luo et al. (2025) [10] (Robot cơ học + YOLOv8)</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sz w:val="18"/>
              </w:rPr>
              <w:t>Hossain et al. (2025) [13] (Học máy dự báo + Phun nước)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[16],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[17]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[18].</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[19]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kết hợp suy giảm Cosine, LR = 0,01); EfficientNet-B0 [20]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sz w:val="18"/>
              </w:rPr>
              <w:t>Input 640×640; Batch 16; SGD + Cosine (0,01); 75 epoch</w:t>
            </w:r>
          </w:p>
          <w:p>
            <w:pPr>
              <w:spacing w:before="0" w:after="0" w:line="240" w:lineRule="auto"/>
              <w:ind w:firstLine="0" w:left="0" w:right="0"/>
            </w:pPr>
            <w:r>
              <w:rPr>
                <w:rFonts w:ascii="Times New Roman" w:hAnsi="Times New Roman"/>
                <w:sz w:val="18"/>
              </w:rPr>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[16] điều khiển chu trình theo máy trạng thái hữu hạn. Máy tính biên gửi cờ qua Snap7 [17]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điều kiện nghiệm thu: Csau &lt; 5% (tối đa 1 ô bẩn, ~3,1% bề mặt) và NFO = 0. Nếu Csau ≥ 5% hoặc NFO &gt; 0, PLC tự động kích hoạt lặp chu trình tương ứng bất kể ngưỡng kích hoạt ban đầu Ctrigger (30%), cho phép lặp tối đa 2 lần liên tiếp trước khi chuyển sang trạng thái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sz w:val="18"/>
              </w:rPr>
              <w:t>Độ trễ (ms)</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Web SCADA và ứng dụng React Native (Hình 7) kết nối máy tính biên qua WebSocket [18],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w14:paraId="2CDD044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w14:paraId="35FB031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w14:paraId="79B38D7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w14:paraId="6F6B07E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w14:paraId="781C52B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w14:paraId="719EDA5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w14:paraId="762A8ED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w14:paraId="59B7F06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w14:paraId="008F89B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w14:paraId="778D7625"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w14:paraId="08FA56A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w14:paraId="06DB0170"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w14:paraId="1AD2E514"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[16] Siemens AG, “SIMATIC S7-1200 programmable controller system manual,” Siemens AG, Nuremberg, Germany, System Manual Edition 12/2024, Doc. ID A5E02486680-AQ, 2024. [Trực tuyến]. Khả dụng: https://support.industry.siemens.com/cs/document/109977302 [Truy cập: 01-10-2026].</w:t>
      </w:r>
    </w:p>
    <w:p w14:paraId="27AAFD5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[17] D. Nardella, “Snap7: An open source multi-platform Ethernet S7 communication suite,” SourceForge, Version 1.4.2, 2021. [Trực tuyến]. Khả dụng: https://snap7.sourceforge.net/ [Truy cập: 01-10-2026].</w:t>
      </w:r>
    </w:p>
    <w:p w14:paraId="65C6D57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[18] I. Fette and A. Melnikov, “The WebSocket Protocol,” Internet Engineering Task Force (IETF), RFC 6455, Dec. 2011, doi: 10.17487/RFC6455.</w:t>
      </w:r>
    </w:p>
    <w:p w14:paraId="17F819AA"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[19] G. Jocher, A. Chaurasia, and J. Qiu, “Ultralytics YOLO,” version 8.0.0, GitHub, 2023. [Trực tuyến]. Khả dụng: https://github.com/ultralytics/ultralytics [Truy cập: 01-10-2026].</w:t>
      </w:r>
    </w:p>
    <w:p w14:paraId="23FD43A9" w14:textId="77777777" w:rsidR="006C4C35" w:rsidRDefault="00000000">
      <w:pPr>
        <w:spacing w:line="240" w:lineRule="auto" w:before="0" w:after="20"/>
        <w:ind w:left="280" w:hanging="280"/>
        <w:rPr>
          <w:sz w:val="19"/>
          <w:szCs w:val="19"/>
        </w:rPr>
      </w:pPr>
      <w:r>
        <w:rPr>
          <w:rFonts w:ascii="Times New Roman" w:hAnsi="Times New Roman"/>
          <w:sz w:val="18"/>
        </w:rPr>
        <w:t>[20] M. Tan and Q. V. Le, “EfficientNet: Rethinking model scaling for convolutional neural networks,” in Proc. 36th Int. Conf. Mach. Learn. (ICML), 2019, pp. 6105–6114.</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