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color w:val="000000"/>
          <w:sz w:val="20"/>
        </w:rPr>
        <w:t>Năng lượng mặt trời là nguồn năng lượng tái tạo đang tăng trưởng nhanh [1]. Tuy nhiên, hiệu suất phát điện của các tấm pin quang điện (PV) ngoài trời suy giảm đáng kể do bụi bẩn, lá cây [2], [3] và phân chim [20]. Lớp bụi bám làm suy giảm độ truyền quang của kính [4], trong khi dị vật che khuất gây phân cực ngược dẫn đến điểm nóng, tiêu tán công suất và nguy cơ hỏng cell pin [5]. 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p w14:paraId="59976EDE" w14:textId="77777777" w:rsidR="00585D16" w:rsidRDefault="00DE7B86">
      <w:pPr>
        <w:widowControl w:val="0"/>
        <w:spacing w:after="80"/>
      </w:pPr>
      <w:r>
        <w:rPr>
          <w:rFonts w:ascii="Times New Roman" w:hAnsi="Times New Roman"/>
          <w:color w:val="000000"/>
          <w:sz w:val="20"/>
        </w:rPr>
        <w:t>Làm sạch thủ công tốn kém nhân công, tiêu tốn nhiều nước và tiềm ẩn nguy cơ gây trầy xước bề mặt kính [3]. Các giải pháp tự động hiện nay chia thành bốn hướng chính: cảm biến quang học [8]; cơ cấu làm sạch cơ học [9], [10], [12]; học máy dự báo trên dữ liệu điện – môi trường [11]; và thị giác máy tính kết hợp học sâu [13], [14].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sử dụng thư viện Snap7 kết nối máy tính biên với PLC công nghiệp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14:paraId="644A0669" w14:textId="77777777" w:rsidR="00585D16" w:rsidRDefault="00DE7B86">
            <w:pPr>
              <w:spacing w:line="240" w:lineRule="auto" w:before="0" w:after="0"/>
              <w:ind w:firstLine="0" w:left="0" w:right="0"/>
              <w:jc w:val="left"/>
            </w:pPr>
            <w:r>
              <w:rPr>
                <w:rFonts w:ascii="Times New Roman" w:hAnsi="Times New Roman"/>
                <w:b w:val="0"/>
                <w:i w:val="0"/>
                <w:sz w:val="20"/>
              </w:rPr>
              <w:t>Valerino et al. (2020) [8]</w:t>
            </w:r>
          </w:p>
          <w:p>
            <w:pPr>
              <w:spacing w:before="0" w:after="0" w:line="240" w:lineRule="auto"/>
              <w:ind w:firstLine="0" w:left="0" w:right="0"/>
            </w:pPr>
            <w:r>
              <w:rPr>
                <w:rFonts w:ascii="Times New Roman" w:hAnsi="Times New Roman"/>
                <w:b w:val="0"/>
                <w:i w:val="0"/>
                <w:sz w:val="20"/>
              </w:rPr>
              <w:t>(Cảm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14:paraId="3EFB7DB4" w14:textId="77777777" w:rsidR="006C4C35" w:rsidRDefault="00000000">
            <w:pPr>
              <w:spacing w:before="0" w:after="0" w:line="240" w:lineRule="auto"/>
              <w:ind w:firstLine="0" w:left="0" w:right="0"/>
            </w:pPr>
            <w:r>
              <w:rPr>
                <w:rFonts w:ascii="Times New Roman" w:hAnsi="Times New Roman"/>
                <w:b w:val="0"/>
                <w:i w:val="0"/>
                <w:sz w:val="20"/>
              </w:rPr>
              <w:t>Luo et al. (2025) [9]</w:t>
            </w:r>
          </w:p>
          <w:p>
            <w:pPr>
              <w:spacing w:before="0" w:after="0" w:line="240" w:lineRule="auto"/>
              <w:ind w:firstLine="0" w:left="0" w:right="0"/>
            </w:pPr>
            <w:r>
              <w:rPr>
                <w:rFonts w:ascii="Times New Roman" w:hAnsi="Times New Roman"/>
                <w:b w:val="0"/>
                <w:i w:val="0"/>
                <w:sz w:val="20"/>
              </w:rPr>
              <w:t>(Robot di động bánh xích)</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14:paraId="2A430520" w14:textId="77777777" w:rsidR="006C4C35" w:rsidRDefault="00000000">
            <w:pPr>
              <w:spacing w:before="0" w:after="0" w:line="240" w:lineRule="auto"/>
              <w:ind w:firstLine="0" w:left="0" w:right="0"/>
            </w:pPr>
            <w:r>
              <w:rPr>
                <w:rFonts w:ascii="Times New Roman" w:hAnsi="Times New Roman"/>
                <w:b w:val="0"/>
                <w:i w:val="0"/>
                <w:sz w:val="20"/>
              </w:rPr>
              <w:t>Hossain et al. (2025) [11]</w:t>
            </w:r>
          </w:p>
          <w:p>
            <w:pPr>
              <w:spacing w:before="0" w:after="0" w:line="240" w:lineRule="auto"/>
              <w:ind w:firstLine="0" w:left="0" w:right="0"/>
            </w:pPr>
            <w:r>
              <w:rPr>
                <w:rFonts w:ascii="Times New Roman" w:hAnsi="Times New Roman"/>
                <w:b w:val="0"/>
                <w:i w:val="0"/>
                <w:sz w:val="20"/>
              </w:rPr>
              <w:t>(Phun nước áp lực)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33A44BDB" w14:textId="77777777">
        <w:trPr>
          <w:cantSplit/>
          <w:jc w:val="center"/>
        </w:trPr>
        <w:tc>
          <w:tcPr>
            <w:tcW w:w="1489" w:type="dxa"/>
            <w:tcMar>
              <w:top w:w="20" w:type="dxa"/>
              <w:bottom w:w="20" w:type="dxa"/>
              <w:left w:w="10" w:type="dxa"/>
              <w:right w:w="10" w:type="dxa"/>
            </w:tcMar>
          </w:tcPr>
          <w:p w14:paraId="45D79E43" w14:textId="77777777" w:rsidR="006C4C35" w:rsidRDefault="00000000">
            <w:pPr>
              <w:spacing w:before="0" w:after="0" w:line="240" w:lineRule="auto"/>
              <w:ind w:firstLine="0" w:left="0" w:right="0"/>
            </w:pPr>
            <w:r>
              <w:rPr>
                <w:rFonts w:ascii="Times New Roman" w:hAnsi="Times New Roman"/>
                <w:b w:val="0"/>
                <w:i w:val="0"/>
                <w:sz w:val="20"/>
              </w:rPr>
              <w:t>Yang et al. (2023) [12]</w:t>
            </w:r>
          </w:p>
          <w:p>
            <w:pPr>
              <w:spacing w:before="0" w:after="0" w:line="240" w:lineRule="auto"/>
              <w:ind w:firstLine="0" w:left="0" w:right="0"/>
            </w:pPr>
            <w:r>
              <w:rPr>
                <w:rFonts w:ascii="Times New Roman" w:hAnsi="Times New Roman"/>
                <w:b w:val="0"/>
                <w:i w:val="0"/>
                <w:sz w:val="20"/>
              </w:rPr>
              <w:t>(Robot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F1486B1" w14:textId="77777777">
        <w:trPr>
          <w:cantSplit/>
          <w:jc w:val="center"/>
        </w:trPr>
        <w:tc>
          <w:tcPr>
            <w:tcW w:w="1489" w:type="dxa"/>
            <w:tcMar>
              <w:top w:w="20" w:type="dxa"/>
              <w:bottom w:w="20" w:type="dxa"/>
              <w:left w:w="10" w:type="dxa"/>
              <w:right w:w="10" w:type="dxa"/>
            </w:tcMar>
          </w:tcPr>
          <w:p w14:paraId="40FEE1B5" w14:textId="77777777" w:rsidR="00585D16" w:rsidRDefault="00DE7B86">
            <w:pPr>
              <w:spacing w:line="240" w:lineRule="auto" w:before="0" w:after="0"/>
              <w:ind w:firstLine="0" w:left="0" w:right="0"/>
              <w:jc w:val="left"/>
            </w:pPr>
            <w:r>
              <w:rPr>
                <w:rFonts w:ascii="Times New Roman" w:hAnsi="Times New Roman"/>
                <w:b w:val="0"/>
                <w:i w:val="0"/>
                <w:sz w:val="20"/>
              </w:rPr>
              <w:t>Fang et al. (2024) [13]</w:t>
            </w:r>
          </w:p>
          <w:p>
            <w:pPr>
              <w:spacing w:before="0" w:after="0" w:line="240" w:lineRule="auto"/>
              <w:ind w:firstLine="0" w:left="0" w:right="0"/>
            </w:pPr>
            <w:r>
              <w:rPr>
                <w:rFonts w:ascii="Times New Roman" w:hAnsi="Times New Roman"/>
                <w:b w:val="0"/>
                <w:i w:val="0"/>
                <w:sz w:val="20"/>
              </w:rPr>
              <w:t>(Mạng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14:paraId="31801E07" w14:textId="77777777" w:rsidR="00585D16" w:rsidRDefault="00DE7B86">
            <w:pPr>
              <w:spacing w:line="240" w:lineRule="auto" w:before="0" w:after="0"/>
              <w:ind w:firstLine="0" w:left="0" w:right="0"/>
              <w:jc w:val="left"/>
            </w:pPr>
            <w:r>
              <w:rPr>
                <w:rFonts w:ascii="Times New Roman" w:hAnsi="Times New Roman"/>
                <w:b w:val="0"/>
                <w:i w:val="0"/>
                <w:sz w:val="20"/>
              </w:rPr>
              <w:t>El Karch et al. (2024) [14]</w:t>
            </w:r>
          </w:p>
          <w:p>
            <w:pPr>
              <w:spacing w:before="0" w:after="0" w:line="240" w:lineRule="auto"/>
              <w:ind w:firstLine="0" w:left="0" w:right="0"/>
            </w:pPr>
            <w:r>
              <w:rPr>
                <w:rFonts w:ascii="Times New Roman" w:hAnsi="Times New Roman"/>
                <w:b w:val="0"/>
                <w:i w:val="0"/>
                <w:sz w:val="20"/>
              </w:rPr>
              <w:t>(YOLOv8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color w:val="000000"/>
          <w:sz w:val="18"/>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thực nghiệm hoặc công bố trong bài; NR: Không thuộc phạm vi khảo sát hoặc không báo cáo (Not Reported).</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
        <w:rPr>
          <w:rFonts w:ascii="Times New Roman" w:hAnsi="Times New Roman"/>
          <w:sz w:val="22"/>
        </w:rPr>
        <w:t>Hệ thống thực nghiệm gồm tấm pin mono-Si 50 W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tải lưu trữ phụ trợ gồm khối pin Li-ion qua bộ sạc PWM và cảm biến công suất PZEM-017 DC (Modbus RTU/RS485) đo tại ngõ ra tấm pin trước bộ sạc. Cơ cấu chấp hành gồm ray trượt 670 mm, chổi gạt hai chiều, bơm áp lực 0,5 HP, PLC Siemens S7-1200,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WebSocket [19].</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gồm lá cây thật, phân chim nhân tạo (bột khoáng sấy khô) và bụi đất mịn. Dữ liệu gán nhãn gồm 1.250 ảnh viền pin cho YOLOv8n-Seg và 1.250 dị vật cho YOLOv8n (650 lá, 600 phân chim).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[15] (6,8 MB, 100 chu kỳ) định vị viền và nắn phối cảnh về khung 896 × 1792 px để tạo 32 ô 224 × 224 px (Hình 3). Tiền xử lý này áp dụng thống nhất khi huấn luyện và suy luận EfficientNet-B0; mỗi ô tương ứng 1/32 diện tích bề mặt (83,8 × 133,8 mm).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LR = 0,01); EfficientNet-B0 [16]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Cosine (0,01); 75 epoch</w:t>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r>
      <w:r>
        <w:rPr>
          <w:rFonts w:ascii="Times New Roman" w:hAnsi="Times New Roman"/>
          <w:sz w:val="22"/>
        </w:rPr>
        <w:t>PLC S7-1200 CPU 1214C [17] điều khiển chu trình theo máy trạng thái hữu hạn. Máy tính biên gửi cờ qua Snap7 [18] (cổng 102): DB1.DBX0.0 (chu trình ướt xử lý bụi 30 s), DB1.DBX0.1 (chu trình khô quét lá 24 s), DB1.DBX0.2 (chu trình ướt xử lý phân chim 30 s), ưu tiên dị vật. PLC đóng ngắt bơm và đảo chiều động cơ; công tắc Home (</w:t>
      </w:r>
      <w:r>
        <w:rPr>
          <w:rFonts w:ascii="Times New Roman" w:hAnsi="Times New Roman"/>
          <w:i/>
          <w:sz w:val="22"/>
        </w:rPr>
        <w:t>x</w:t>
      </w:r>
      <w:r>
        <w:rPr>
          <w:rFonts w:ascii="Times New Roman" w:hAnsi="Times New Roman"/>
          <w:sz w:val="22"/>
        </w:rPr>
        <w:t xml:space="preserve"> = 0 mm</w:t>
      </w:r>
      <w:r>
        <w:rPr>
          <w:rFonts w:ascii="Times New Roman" w:hAnsi="Times New Roman"/>
          <w:sz w:val="22"/>
        </w:rPr>
        <w:t>) và End (</w:t>
      </w:r>
      <w:r>
        <w:rPr>
          <w:rFonts w:ascii="Times New Roman" w:hAnsi="Times New Roman"/>
          <w:i/>
          <w:sz w:val="22"/>
        </w:rPr>
        <w:t>x</w:t>
      </w:r>
      <w:r>
        <w:rPr>
          <w:rFonts w:ascii="Times New Roman" w:hAnsi="Times New Roman"/>
          <w:sz w:val="22"/>
        </w:rPr>
        <w:t xml:space="preserve"> = 670 mm</w:t>
      </w:r>
      <w:r>
        <w:rPr>
          <w:rFonts w:ascii="Times New Roman" w:hAnsi="Times New Roman"/>
          <w:sz w:val="22"/>
        </w:rPr>
        <w:t xml:space="preserve">) nối ngõ vào số để giới hạn hành trình độc lập. Khi cơ cấu về Home,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 nếu chưa đạt, cho phép lặp tối đa 2 lần trước khi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i w:val="0"/>
                <w:sz w:val="20"/>
              </w:rPr>
              <w:t>Độ trễ</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22"/>
        </w:rPr>
        <w:t>Trên máy tính biên (CPU Intel Core i7-7600U), YOLOv8n-Seg chỉ chạy khi khởi tạo (~2,5 s); chu kỳ giám sát gồm phân loại bụi và phát hiện dị vật mất khoảng 1,1 s. Chu kỳ 10 phút/lần giúp hệ thống nghỉ phần lớn thời gian.</w:t>
      </w:r>
    </w:p>
    <w:p w14:paraId="0EE09941" w14:textId="77777777" w:rsidR="00585D16" w:rsidRDefault="00DE7B86">
      <w:pPr>
        <w:widowControl w:val="0"/>
      </w:pPr>
      <w:r>
        <w:rPr>
          <w:rFonts w:ascii="Times New Roman" w:hAnsi="Times New Roman"/>
          <w:color w:val="000000"/>
          <w:sz w:val="22"/>
        </w:rPr>
        <w:t>YOLOv8n có hàm mất mát ổn định từ chu kỳ 50 (Hình 4). Trên 125 ảnh kiểm thử, mô hình đạt Precision 81,8%, Recall 75,2% và mAP@0,5 79,5% (106,8 ms). AP@0,5 của lớp lá là 82,4% (Recall 78,5%); lớp phân chim đạt 76,6% (Recall 71,8%). Theo nhóm tác giả, độ chính xác lớp phân chim thấp hơn do hình thái loang biến thiên phức tạp, phù hợp với nhận định của Liu và cs. [20]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 xml:space="preserve">Web SCADA và ứng dụng React Native (Hình 7) kết nối máy tính biên qua WebSocket [19],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chỉ làm tải phụ trợ khép mạch đo; (2) tập kiểm thử trích từ 12 ảnh mẹ nên các ô ảnh có tương quan quang học, chưa bảo đảm tính khái quát hóa cho nhiều chủng loại pin và điều kiện thời tiết khác nhau; (3) phân chim nhân tạo mô phỏng từ bột khoáng; (4) vệt nước đọng sau phun có thể gây nhiễu phân loại ô; (5) chưa đo độc lập bức xạ mặt trời và nhiệt độ cell để định lượng chi tiết hiện tượng điểm nóng [5].</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color w:val="000000"/>
          <w:sz w:val="20"/>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[2] P. Lin et al., “Assessment of power loss caused by soiling PV modules using a dual branch multi-modality deep learning network framework,” Renew. Energy, vol. 248, p. 122926, 2025, </w:t>
      </w:r>
      <w:proofErr w:type="spellStart"/>
      <w:r>
        <w:rPr>
          <w:rFonts w:ascii="Times New Roman" w:hAnsi="Times New Roman"/>
          <w:sz w:val="20"/>
          <w:szCs w:val="20"/>
        </w:rPr>
        <w:t>doi</w:t>
      </w:r>
      <w:proofErr w:type="spellEnd"/>
      <w:r>
        <w:rPr>
          <w:rFonts w:ascii="Times New Roman" w:hAnsi="Times New Roman"/>
          <w:sz w:val="20"/>
          <w:szCs w:val="20"/>
        </w:rPr>
        <w:t>: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[3] T. Sarver et al., “A comprehensive review of the impact of dust on the use of solar energy: History, investigations, results, literature, and mitigation approaches,” Renew. Sustain. Energy Rev., vol. 22, pp. 698–733, 2013, </w:t>
      </w:r>
      <w:proofErr w:type="spellStart"/>
      <w:r>
        <w:rPr>
          <w:rFonts w:ascii="Times New Roman" w:hAnsi="Times New Roman"/>
          <w:sz w:val="20"/>
          <w:szCs w:val="20"/>
        </w:rPr>
        <w:t>doi</w:t>
      </w:r>
      <w:proofErr w:type="spellEnd"/>
      <w:r>
        <w:rPr>
          <w:rFonts w:ascii="Times New Roman" w:hAnsi="Times New Roman"/>
          <w:sz w:val="20"/>
          <w:szCs w:val="20"/>
        </w:rPr>
        <w:t>: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[4] A. Sayyah, M. N. Horenstein, and M. K. Mazumder, “Energy yield loss caused by dust deposition on photovoltaic panels,” Sol. Energy, vol. 107, pp. 576–604, 2014, </w:t>
      </w:r>
      <w:proofErr w:type="spellStart"/>
      <w:r>
        <w:rPr>
          <w:rFonts w:ascii="Times New Roman" w:hAnsi="Times New Roman"/>
          <w:sz w:val="20"/>
          <w:szCs w:val="20"/>
        </w:rPr>
        <w:t>doi</w:t>
      </w:r>
      <w:proofErr w:type="spellEnd"/>
      <w:r>
        <w:rPr>
          <w:rFonts w:ascii="Times New Roman" w:hAnsi="Times New Roman"/>
          <w:sz w:val="20"/>
          <w:szCs w:val="20"/>
        </w:rPr>
        <w:t>: 10.1016/j.solener.2014.05.030.</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[5] M. </w:t>
      </w:r>
      <w:proofErr w:type="spellStart"/>
      <w:r>
        <w:rPr>
          <w:rFonts w:ascii="Times New Roman" w:hAnsi="Times New Roman"/>
          <w:sz w:val="20"/>
          <w:szCs w:val="20"/>
        </w:rPr>
        <w:t>Dhimish</w:t>
      </w:r>
      <w:proofErr w:type="spellEnd"/>
      <w:r>
        <w:rPr>
          <w:rFonts w:ascii="Times New Roman" w:hAnsi="Times New Roman"/>
          <w:sz w:val="20"/>
          <w:szCs w:val="20"/>
        </w:rPr>
        <w:t xml:space="preserve"> et al., “PV output power enhancement using two mitigation techniques for hot spots and partially shaded solar cells,” </w:t>
      </w:r>
      <w:proofErr w:type="spellStart"/>
      <w:r>
        <w:rPr>
          <w:rFonts w:ascii="Times New Roman" w:hAnsi="Times New Roman"/>
          <w:sz w:val="20"/>
          <w:szCs w:val="20"/>
        </w:rPr>
        <w:t>Electr</w:t>
      </w:r>
      <w:proofErr w:type="spellEnd"/>
      <w:r>
        <w:rPr>
          <w:rFonts w:ascii="Times New Roman" w:hAnsi="Times New Roman"/>
          <w:sz w:val="20"/>
          <w:szCs w:val="20"/>
        </w:rPr>
        <w:t xml:space="preserve">. Power Syst. Res., vol. 158, pp. 15–25, 2018, </w:t>
      </w:r>
      <w:proofErr w:type="spellStart"/>
      <w:r>
        <w:rPr>
          <w:rFonts w:ascii="Times New Roman" w:hAnsi="Times New Roman"/>
          <w:sz w:val="20"/>
          <w:szCs w:val="20"/>
        </w:rPr>
        <w:t>doi</w:t>
      </w:r>
      <w:proofErr w:type="spellEnd"/>
      <w:r>
        <w:rPr>
          <w:rFonts w:ascii="Times New Roman" w:hAnsi="Times New Roman"/>
          <w:sz w:val="20"/>
          <w:szCs w:val="20"/>
        </w:rPr>
        <w:t>: 10.1016/j.epsr.2018.01.002.</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[6] W. Javed, B. Guo, and B. Figgis, “Modeling of photovoltaic soiling loss as a function of environmental variables,” Sol. Energy, vol. 157, pp. 397–407, 2017, </w:t>
      </w:r>
      <w:proofErr w:type="spellStart"/>
      <w:r>
        <w:rPr>
          <w:rFonts w:ascii="Times New Roman" w:hAnsi="Times New Roman"/>
          <w:sz w:val="20"/>
          <w:szCs w:val="20"/>
        </w:rPr>
        <w:t>doi</w:t>
      </w:r>
      <w:proofErr w:type="spellEnd"/>
      <w:r>
        <w:rPr>
          <w:rFonts w:ascii="Times New Roman" w:hAnsi="Times New Roman"/>
          <w:sz w:val="20"/>
          <w:szCs w:val="20"/>
        </w:rPr>
        <w:t>: 10.1016/j.solener.2017.08.046.</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[7] M. A. M. Ramli et al., “On the investigation of photovoltaic output power reduction due to dust accumulation and weather conditions,” Renew. Energy, vol. 99, pp. 836–844, 2016, </w:t>
      </w:r>
      <w:proofErr w:type="spellStart"/>
      <w:r>
        <w:rPr>
          <w:rFonts w:ascii="Times New Roman" w:hAnsi="Times New Roman"/>
          <w:sz w:val="20"/>
          <w:szCs w:val="20"/>
        </w:rPr>
        <w:t>doi</w:t>
      </w:r>
      <w:proofErr w:type="spellEnd"/>
      <w:r>
        <w:rPr>
          <w:rFonts w:ascii="Times New Roman" w:hAnsi="Times New Roman"/>
          <w:sz w:val="20"/>
          <w:szCs w:val="20"/>
        </w:rPr>
        <w:t>: 10.1016/j.renene.2016.07.063.</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[8] M. Valerino, M. Bergin, C. </w:t>
      </w:r>
      <w:proofErr w:type="spellStart"/>
      <w:r>
        <w:rPr>
          <w:rFonts w:ascii="Times New Roman" w:hAnsi="Times New Roman"/>
          <w:sz w:val="20"/>
          <w:szCs w:val="20"/>
        </w:rPr>
        <w:t>Ghoroi</w:t>
      </w:r>
      <w:proofErr w:type="spellEnd"/>
      <w:r>
        <w:rPr>
          <w:rFonts w:ascii="Times New Roman" w:hAnsi="Times New Roman"/>
          <w:sz w:val="20"/>
          <w:szCs w:val="20"/>
        </w:rPr>
        <w:t xml:space="preserve">, A. Ratnaparkhi, and G. P. Smestad, “Low-cost solar PV soiling sensor validation and size resolved soiling impacts: A comprehensive field study in Western India,” Sol. Energy, vol. 204, pp. 307–315, 2020, </w:t>
      </w:r>
      <w:proofErr w:type="spellStart"/>
      <w:r>
        <w:rPr>
          <w:rFonts w:ascii="Times New Roman" w:hAnsi="Times New Roman"/>
          <w:sz w:val="20"/>
          <w:szCs w:val="20"/>
        </w:rPr>
        <w:t>doi</w:t>
      </w:r>
      <w:proofErr w:type="spellEnd"/>
      <w:r>
        <w:rPr>
          <w:rFonts w:ascii="Times New Roman" w:hAnsi="Times New Roman"/>
          <w:sz w:val="20"/>
          <w:szCs w:val="20"/>
        </w:rPr>
        <w:t>: 10.1016/j.solener.2020.03.118.</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[9] J. Luo et al., “A photovoltaic panel cleaning robot with a lightweight YOLO v8,” Front. Robot. AI, vol. 12, p. 1606774, 2025, </w:t>
      </w:r>
      <w:proofErr w:type="spellStart"/>
      <w:r>
        <w:rPr>
          <w:rFonts w:ascii="Times New Roman" w:hAnsi="Times New Roman"/>
          <w:sz w:val="20"/>
          <w:szCs w:val="20"/>
        </w:rPr>
        <w:t>doi</w:t>
      </w:r>
      <w:proofErr w:type="spellEnd"/>
      <w:r>
        <w:rPr>
          <w:rFonts w:ascii="Times New Roman" w:hAnsi="Times New Roman"/>
          <w:sz w:val="20"/>
          <w:szCs w:val="20"/>
        </w:rPr>
        <w:t>: 10.3389/frobt.2025.1606774.</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[10] W. Ji et al., “Review of key technologies and development trends of photovoltaic panel cleaning robots,” Appl. Energy, vol. 411, Art. no. 127642, May 2026, </w:t>
      </w:r>
      <w:proofErr w:type="spellStart"/>
      <w:r>
        <w:rPr>
          <w:rFonts w:ascii="Times New Roman" w:hAnsi="Times New Roman"/>
          <w:sz w:val="20"/>
          <w:szCs w:val="20"/>
        </w:rPr>
        <w:t>doi</w:t>
      </w:r>
      <w:proofErr w:type="spellEnd"/>
      <w:r>
        <w:rPr>
          <w:rFonts w:ascii="Times New Roman" w:hAnsi="Times New Roman"/>
          <w:sz w:val="20"/>
          <w:szCs w:val="20"/>
        </w:rPr>
        <w:t>: 10.1016/j.apenergy.2026.127642.</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[11] S. Hossain et al., “Enhancing solar panel performance: A machine learning approach to dust detection and automated water sprinkle-based cleaning strategy,” Sol. Energy, vol. 287, p. 113240, 2025, </w:t>
      </w:r>
      <w:proofErr w:type="spellStart"/>
      <w:r>
        <w:rPr>
          <w:rFonts w:ascii="Times New Roman" w:hAnsi="Times New Roman"/>
          <w:sz w:val="20"/>
          <w:szCs w:val="20"/>
        </w:rPr>
        <w:t>doi</w:t>
      </w:r>
      <w:proofErr w:type="spellEnd"/>
      <w:r>
        <w:rPr>
          <w:rFonts w:ascii="Times New Roman" w:hAnsi="Times New Roman"/>
          <w:sz w:val="20"/>
          <w:szCs w:val="20"/>
        </w:rPr>
        <w:t>: 10.1016/j.solener.2025.113240.</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[12] J. Yang et al., “Research on mechanism design and kinematic characteristics of self-propelled photovoltaic cleaning robot,” Appl. Sci., vol. 13, no. 12, p. 6967, 2023, </w:t>
      </w:r>
      <w:proofErr w:type="spellStart"/>
      <w:r>
        <w:rPr>
          <w:rFonts w:ascii="Times New Roman" w:hAnsi="Times New Roman"/>
          <w:sz w:val="20"/>
          <w:szCs w:val="20"/>
        </w:rPr>
        <w:t>doi</w:t>
      </w:r>
      <w:proofErr w:type="spellEnd"/>
      <w:r>
        <w:rPr>
          <w:rFonts w:ascii="Times New Roman" w:hAnsi="Times New Roman"/>
          <w:sz w:val="20"/>
          <w:szCs w:val="20"/>
        </w:rPr>
        <w:t>: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[13] M. Fang et al., “</w:t>
      </w:r>
      <w:proofErr w:type="spellStart"/>
      <w:r>
        <w:rPr>
          <w:rFonts w:ascii="Times New Roman" w:hAnsi="Times New Roman"/>
          <w:sz w:val="20"/>
          <w:szCs w:val="20"/>
        </w:rPr>
        <w:t>DGImNet</w:t>
      </w:r>
      <w:proofErr w:type="spellEnd"/>
      <w:r>
        <w:rPr>
          <w:rFonts w:ascii="Times New Roman" w:hAnsi="Times New Roman"/>
          <w:sz w:val="20"/>
          <w:szCs w:val="20"/>
        </w:rPr>
        <w:t xml:space="preserve">: A deep learning model for photovoltaic soiling loss estimation based on dust grid images,” Appl. Energy, vol. 376, Part B, p. 124335, 2024, </w:t>
      </w:r>
      <w:proofErr w:type="spellStart"/>
      <w:r>
        <w:rPr>
          <w:rFonts w:ascii="Times New Roman" w:hAnsi="Times New Roman"/>
          <w:sz w:val="20"/>
          <w:szCs w:val="20"/>
        </w:rPr>
        <w:t>doi</w:t>
      </w:r>
      <w:proofErr w:type="spellEnd"/>
      <w:r>
        <w:rPr>
          <w:rFonts w:ascii="Times New Roman" w:hAnsi="Times New Roman"/>
          <w:sz w:val="20"/>
          <w:szCs w:val="20"/>
        </w:rPr>
        <w:t>: 10.1016/j.apenergy.2024.124335.</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[14] H. El Karch et al., “AI-based smart real-time PV panels soiling recognizing system using deep neural network framework on NVIDIA Jetson Nano Embedded GPU,” Ing. Syst. Inf., vol. 29, no. 5, pp. 1687–1699, 2024, </w:t>
      </w:r>
      <w:proofErr w:type="spellStart"/>
      <w:r>
        <w:rPr>
          <w:rFonts w:ascii="Times New Roman" w:hAnsi="Times New Roman"/>
          <w:sz w:val="20"/>
          <w:szCs w:val="20"/>
        </w:rPr>
        <w:t>doi</w:t>
      </w:r>
      <w:proofErr w:type="spellEnd"/>
      <w:r>
        <w:rPr>
          <w:rFonts w:ascii="Times New Roman" w:hAnsi="Times New Roman"/>
          <w:sz w:val="20"/>
          <w:szCs w:val="20"/>
        </w:rPr>
        <w:t>: 10.18280/isi.290503.</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lastRenderedPageBreak/>
        <w:t>[15] G. Jocher, A. Chaurasia, and J. Qiu, “</w:t>
      </w:r>
      <w:proofErr w:type="spellStart"/>
      <w:r>
        <w:rPr>
          <w:rFonts w:ascii="Times New Roman" w:hAnsi="Times New Roman"/>
          <w:sz w:val="20"/>
          <w:szCs w:val="20"/>
        </w:rPr>
        <w:t>Ultralytics</w:t>
      </w:r>
      <w:proofErr w:type="spellEnd"/>
      <w:r>
        <w:rPr>
          <w:rFonts w:ascii="Times New Roman" w:hAnsi="Times New Roman"/>
          <w:sz w:val="20"/>
          <w:szCs w:val="20"/>
        </w:rPr>
        <w:t xml:space="preserve"> YOLO,” version 8.0.0, GitHub, 2023. [</w:t>
      </w:r>
      <w:proofErr w:type="spellStart"/>
      <w:r>
        <w:rPr>
          <w:rFonts w:ascii="Times New Roman" w:hAnsi="Times New Roman"/>
          <w:sz w:val="20"/>
          <w:szCs w:val="20"/>
        </w:rPr>
        <w:t>Trực</w:t>
      </w:r>
      <w:proofErr w:type="spellEnd"/>
      <w:r>
        <w:rPr>
          <w:rFonts w:ascii="Times New Roman" w:hAnsi="Times New Roman"/>
          <w:sz w:val="20"/>
          <w:szCs w:val="20"/>
        </w:rPr>
        <w:t xml:space="preserve"> </w:t>
      </w:r>
      <w:proofErr w:type="spellStart"/>
      <w:r>
        <w:rPr>
          <w:rFonts w:ascii="Times New Roman" w:hAnsi="Times New Roman"/>
          <w:sz w:val="20"/>
          <w:szCs w:val="20"/>
        </w:rPr>
        <w:t>tuyến</w:t>
      </w:r>
      <w:proofErr w:type="spellEnd"/>
      <w:r>
        <w:rPr>
          <w:rFonts w:ascii="Times New Roman" w:hAnsi="Times New Roman"/>
          <w:sz w:val="20"/>
          <w:szCs w:val="20"/>
        </w:rPr>
        <w:t xml:space="preserve">]. </w:t>
      </w:r>
      <w:proofErr w:type="spellStart"/>
      <w:r>
        <w:rPr>
          <w:rFonts w:ascii="Times New Roman" w:hAnsi="Times New Roman"/>
          <w:sz w:val="20"/>
          <w:szCs w:val="20"/>
        </w:rPr>
        <w:t>Khả</w:t>
      </w:r>
      <w:proofErr w:type="spellEnd"/>
      <w:r>
        <w:rPr>
          <w:rFonts w:ascii="Times New Roman" w:hAnsi="Times New Roman"/>
          <w:sz w:val="20"/>
          <w:szCs w:val="20"/>
        </w:rPr>
        <w:t xml:space="preserve"> </w:t>
      </w:r>
      <w:proofErr w:type="spellStart"/>
      <w:r>
        <w:rPr>
          <w:rFonts w:ascii="Times New Roman" w:hAnsi="Times New Roman"/>
          <w:sz w:val="20"/>
          <w:szCs w:val="20"/>
        </w:rPr>
        <w:t>dụng</w:t>
      </w:r>
      <w:proofErr w:type="spellEnd"/>
      <w:r>
        <w:rPr>
          <w:rFonts w:ascii="Times New Roman" w:hAnsi="Times New Roman"/>
          <w:sz w:val="20"/>
          <w:szCs w:val="20"/>
        </w:rPr>
        <w:t>: https://github.com/ultralytics/ultralytics [</w:t>
      </w:r>
      <w:proofErr w:type="spellStart"/>
      <w:r>
        <w:rPr>
          <w:rFonts w:ascii="Times New Roman" w:hAnsi="Times New Roman"/>
          <w:sz w:val="20"/>
          <w:szCs w:val="20"/>
        </w:rPr>
        <w:t>Truy</w:t>
      </w:r>
      <w:proofErr w:type="spellEnd"/>
      <w:r>
        <w:rPr>
          <w:rFonts w:ascii="Times New Roman" w:hAnsi="Times New Roman"/>
          <w:sz w:val="20"/>
          <w:szCs w:val="20"/>
        </w:rPr>
        <w:t xml:space="preserve"> </w:t>
      </w:r>
      <w:proofErr w:type="spellStart"/>
      <w:r>
        <w:rPr>
          <w:rFonts w:ascii="Times New Roman" w:hAnsi="Times New Roman"/>
          <w:sz w:val="20"/>
          <w:szCs w:val="20"/>
        </w:rPr>
        <w:t>cập</w:t>
      </w:r>
      <w:proofErr w:type="spellEnd"/>
      <w:r>
        <w:rPr>
          <w:rFonts w:ascii="Times New Roman" w:hAnsi="Times New Roman"/>
          <w:sz w:val="20"/>
          <w:szCs w:val="20"/>
        </w:rPr>
        <w:t>: 01-10-2026].</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[16] M. Tan and Q. V. Le, “</w:t>
      </w:r>
      <w:proofErr w:type="spellStart"/>
      <w:r>
        <w:rPr>
          <w:rFonts w:ascii="Times New Roman" w:hAnsi="Times New Roman"/>
          <w:sz w:val="20"/>
          <w:szCs w:val="20"/>
        </w:rPr>
        <w:t>EfficientNet</w:t>
      </w:r>
      <w:proofErr w:type="spellEnd"/>
      <w:r>
        <w:rPr>
          <w:rFonts w:ascii="Times New Roman" w:hAnsi="Times New Roman"/>
          <w:sz w:val="20"/>
          <w:szCs w:val="20"/>
        </w:rPr>
        <w:t>: Rethinking model scaling for convolutional neural networks,” in Proc. 36th Int. Conf. Mach. Learn. (ICML), 2019, pp. 6105–6114.</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[17] Siemens AG, “SIMATIC S7-1200 programmable controller system manual,” Siemens AG, Nuremberg, Germany, System Manual Edition 12/2024, Doc. ID A5E02486680-AQ, 2024. [</w:t>
      </w:r>
      <w:proofErr w:type="spellStart"/>
      <w:r>
        <w:rPr>
          <w:rFonts w:ascii="Times New Roman" w:hAnsi="Times New Roman"/>
          <w:sz w:val="20"/>
          <w:szCs w:val="20"/>
        </w:rPr>
        <w:t>Trực</w:t>
      </w:r>
      <w:proofErr w:type="spellEnd"/>
      <w:r>
        <w:rPr>
          <w:rFonts w:ascii="Times New Roman" w:hAnsi="Times New Roman"/>
          <w:sz w:val="20"/>
          <w:szCs w:val="20"/>
        </w:rPr>
        <w:t xml:space="preserve"> </w:t>
      </w:r>
      <w:proofErr w:type="spellStart"/>
      <w:r>
        <w:rPr>
          <w:rFonts w:ascii="Times New Roman" w:hAnsi="Times New Roman"/>
          <w:sz w:val="20"/>
          <w:szCs w:val="20"/>
        </w:rPr>
        <w:t>tuyến</w:t>
      </w:r>
      <w:proofErr w:type="spellEnd"/>
      <w:r>
        <w:rPr>
          <w:rFonts w:ascii="Times New Roman" w:hAnsi="Times New Roman"/>
          <w:sz w:val="20"/>
          <w:szCs w:val="20"/>
        </w:rPr>
        <w:t xml:space="preserve">]. </w:t>
      </w:r>
      <w:proofErr w:type="spellStart"/>
      <w:r>
        <w:rPr>
          <w:rFonts w:ascii="Times New Roman" w:hAnsi="Times New Roman"/>
          <w:sz w:val="20"/>
          <w:szCs w:val="20"/>
        </w:rPr>
        <w:t>Khả</w:t>
      </w:r>
      <w:proofErr w:type="spellEnd"/>
      <w:r>
        <w:rPr>
          <w:rFonts w:ascii="Times New Roman" w:hAnsi="Times New Roman"/>
          <w:sz w:val="20"/>
          <w:szCs w:val="20"/>
        </w:rPr>
        <w:t xml:space="preserve"> </w:t>
      </w:r>
      <w:proofErr w:type="spellStart"/>
      <w:r>
        <w:rPr>
          <w:rFonts w:ascii="Times New Roman" w:hAnsi="Times New Roman"/>
          <w:sz w:val="20"/>
          <w:szCs w:val="20"/>
        </w:rPr>
        <w:t>dụng</w:t>
      </w:r>
      <w:proofErr w:type="spellEnd"/>
      <w:r>
        <w:rPr>
          <w:rFonts w:ascii="Times New Roman" w:hAnsi="Times New Roman"/>
          <w:sz w:val="20"/>
          <w:szCs w:val="20"/>
        </w:rPr>
        <w:t>: https://support.industry.siemens.com/cs/document/109977302 [</w:t>
      </w:r>
      <w:proofErr w:type="spellStart"/>
      <w:r>
        <w:rPr>
          <w:rFonts w:ascii="Times New Roman" w:hAnsi="Times New Roman"/>
          <w:sz w:val="20"/>
          <w:szCs w:val="20"/>
        </w:rPr>
        <w:t>Truy</w:t>
      </w:r>
      <w:proofErr w:type="spellEnd"/>
      <w:r>
        <w:rPr>
          <w:rFonts w:ascii="Times New Roman" w:hAnsi="Times New Roman"/>
          <w:sz w:val="20"/>
          <w:szCs w:val="20"/>
        </w:rPr>
        <w:t xml:space="preserve"> </w:t>
      </w:r>
      <w:proofErr w:type="spellStart"/>
      <w:r>
        <w:rPr>
          <w:rFonts w:ascii="Times New Roman" w:hAnsi="Times New Roman"/>
          <w:sz w:val="20"/>
          <w:szCs w:val="20"/>
        </w:rPr>
        <w:t>cập</w:t>
      </w:r>
      <w:proofErr w:type="spellEnd"/>
      <w:r>
        <w:rPr>
          <w:rFonts w:ascii="Times New Roman" w:hAnsi="Times New Roman"/>
          <w:sz w:val="20"/>
          <w:szCs w:val="20"/>
        </w:rPr>
        <w:t>: 01-10-2026].</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[18] D. Nardella, “Snap7: An </w:t>
      </w:r>
      <w:proofErr w:type="gramStart"/>
      <w:r>
        <w:rPr>
          <w:rFonts w:ascii="Times New Roman" w:hAnsi="Times New Roman"/>
          <w:sz w:val="20"/>
          <w:szCs w:val="20"/>
        </w:rPr>
        <w:t>open source</w:t>
      </w:r>
      <w:proofErr w:type="gramEnd"/>
      <w:r>
        <w:rPr>
          <w:rFonts w:ascii="Times New Roman" w:hAnsi="Times New Roman"/>
          <w:sz w:val="20"/>
          <w:szCs w:val="20"/>
        </w:rPr>
        <w:t xml:space="preserve"> multi-platform Ethernet S7 communication suite,” SourceForge, Version 1.4.2, 2021. [</w:t>
      </w:r>
      <w:proofErr w:type="spellStart"/>
      <w:r>
        <w:rPr>
          <w:rFonts w:ascii="Times New Roman" w:hAnsi="Times New Roman"/>
          <w:sz w:val="20"/>
          <w:szCs w:val="20"/>
        </w:rPr>
        <w:t>Trực</w:t>
      </w:r>
      <w:proofErr w:type="spellEnd"/>
      <w:r>
        <w:rPr>
          <w:rFonts w:ascii="Times New Roman" w:hAnsi="Times New Roman"/>
          <w:sz w:val="20"/>
          <w:szCs w:val="20"/>
        </w:rPr>
        <w:t xml:space="preserve"> </w:t>
      </w:r>
      <w:proofErr w:type="spellStart"/>
      <w:r>
        <w:rPr>
          <w:rFonts w:ascii="Times New Roman" w:hAnsi="Times New Roman"/>
          <w:sz w:val="20"/>
          <w:szCs w:val="20"/>
        </w:rPr>
        <w:t>tuyến</w:t>
      </w:r>
      <w:proofErr w:type="spellEnd"/>
      <w:r>
        <w:rPr>
          <w:rFonts w:ascii="Times New Roman" w:hAnsi="Times New Roman"/>
          <w:sz w:val="20"/>
          <w:szCs w:val="20"/>
        </w:rPr>
        <w:t xml:space="preserve">]. </w:t>
      </w:r>
      <w:proofErr w:type="spellStart"/>
      <w:r>
        <w:rPr>
          <w:rFonts w:ascii="Times New Roman" w:hAnsi="Times New Roman"/>
          <w:sz w:val="20"/>
          <w:szCs w:val="20"/>
        </w:rPr>
        <w:t>Khả</w:t>
      </w:r>
      <w:proofErr w:type="spellEnd"/>
      <w:r>
        <w:rPr>
          <w:rFonts w:ascii="Times New Roman" w:hAnsi="Times New Roman"/>
          <w:sz w:val="20"/>
          <w:szCs w:val="20"/>
        </w:rPr>
        <w:t xml:space="preserve"> </w:t>
      </w:r>
      <w:proofErr w:type="spellStart"/>
      <w:r>
        <w:rPr>
          <w:rFonts w:ascii="Times New Roman" w:hAnsi="Times New Roman"/>
          <w:sz w:val="20"/>
          <w:szCs w:val="20"/>
        </w:rPr>
        <w:t>dụng</w:t>
      </w:r>
      <w:proofErr w:type="spellEnd"/>
      <w:r>
        <w:rPr>
          <w:rFonts w:ascii="Times New Roman" w:hAnsi="Times New Roman"/>
          <w:sz w:val="20"/>
          <w:szCs w:val="20"/>
        </w:rPr>
        <w:t>: https://snap7.sourceforge.net/ [</w:t>
      </w:r>
      <w:proofErr w:type="spellStart"/>
      <w:r>
        <w:rPr>
          <w:rFonts w:ascii="Times New Roman" w:hAnsi="Times New Roman"/>
          <w:sz w:val="20"/>
          <w:szCs w:val="20"/>
        </w:rPr>
        <w:t>Truy</w:t>
      </w:r>
      <w:proofErr w:type="spellEnd"/>
      <w:r>
        <w:rPr>
          <w:rFonts w:ascii="Times New Roman" w:hAnsi="Times New Roman"/>
          <w:sz w:val="20"/>
          <w:szCs w:val="20"/>
        </w:rPr>
        <w:t xml:space="preserve"> </w:t>
      </w:r>
      <w:proofErr w:type="spellStart"/>
      <w:r>
        <w:rPr>
          <w:rFonts w:ascii="Times New Roman" w:hAnsi="Times New Roman"/>
          <w:sz w:val="20"/>
          <w:szCs w:val="20"/>
        </w:rPr>
        <w:t>cập</w:t>
      </w:r>
      <w:proofErr w:type="spellEnd"/>
      <w:r>
        <w:rPr>
          <w:rFonts w:ascii="Times New Roman" w:hAnsi="Times New Roman"/>
          <w:sz w:val="20"/>
          <w:szCs w:val="20"/>
        </w:rPr>
        <w:t>: 01-10-2026].</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[19] I. Fette and A. Melnikov, “The WebSocket Protocol,” Internet Engineering Task Force (IETF), RFC 6455, Dec. 2011, </w:t>
      </w:r>
      <w:proofErr w:type="spellStart"/>
      <w:r>
        <w:rPr>
          <w:rFonts w:ascii="Times New Roman" w:hAnsi="Times New Roman"/>
          <w:sz w:val="20"/>
          <w:szCs w:val="20"/>
        </w:rPr>
        <w:t>doi</w:t>
      </w:r>
      <w:proofErr w:type="spellEnd"/>
      <w:r>
        <w:rPr>
          <w:rFonts w:ascii="Times New Roman" w:hAnsi="Times New Roman"/>
          <w:sz w:val="20"/>
          <w:szCs w:val="20"/>
        </w:rPr>
        <w:t>: 10.17487/RFC6455.</w:t>
      </w:r>
    </w:p>
    <w:p w14:paraId="23FD43A9" w14:textId="77777777" w:rsidR="006C4C35" w:rsidRDefault="00000000">
      <w:pPr>
        <w:spacing w:line="240" w:lineRule="auto" w:before="0" w:after="20"/>
        <w:ind w:left="280" w:hanging="280"/>
        <w:rPr>
          <w:sz w:val="19"/>
          <w:szCs w:val="19"/>
        </w:rPr>
      </w:pPr>
      <w:r>
        <w:rPr>
          <w:rFonts w:ascii="Times New Roman" w:hAnsi="Times New Roman"/>
          <w:sz w:val="20"/>
          <w:szCs w:val="20"/>
        </w:rPr>
        <w:t xml:space="preserve">[20] L. Liu, Q. Li, X. Liao, and W. Wu, “Bird droppings defects detection in photovoltaic modules based on CA-YOLOv5,” Processes, vol. 12, no. 6, p. 1248, Jun. 2024, </w:t>
      </w:r>
      <w:proofErr w:type="spellStart"/>
      <w:r>
        <w:rPr>
          <w:rFonts w:ascii="Times New Roman" w:hAnsi="Times New Roman"/>
          <w:sz w:val="20"/>
          <w:szCs w:val="20"/>
        </w:rPr>
        <w:t>doi</w:t>
      </w:r>
      <w:proofErr w:type="spellEnd"/>
      <w:r>
        <w:rPr>
          <w:rFonts w:ascii="Times New Roman" w:hAnsi="Times New Roman"/>
          <w:sz w:val="20"/>
          <w:szCs w:val="20"/>
        </w:rPr>
        <w:t>: 10.3390/pr12061248.</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