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color w:val="000000"/>
          <w:sz w:val="28"/>
          <w:szCs w:val="28"/>
        </w:rPr>
        <w:t xml:space="preserve">Aplicación Móvil de Orientación Vocacional para la Selección de Especialidades Técnicas en el ETITC</w:t>
      </w:r>
    </w:p>
    <w:p>
      <w:pPr>
        <w:pBdr>
          <w:bottom w:val="single" w:color="4da92c" w:sz="6"/>
        </w:pBdr>
        <w:spacing w:after="160"/>
      </w:pPr>
    </w:p>
    <w:p>
      <w:pPr>
        <w:spacing w:after="60"/>
        <w:jc w:val="center"/>
      </w:pPr>
      <w:r>
        <w:rPr>
          <w:rFonts w:ascii="Times New Roman" w:cs="Times New Roman" w:eastAsia="Times New Roman" w:hAnsi="Times New Roman"/>
          <w:i/>
          <w:iCs/>
          <w:color w:val="595959"/>
          <w:sz w:val="18"/>
          <w:szCs w:val="18"/>
        </w:rPr>
        <w:t xml:space="preserve">Proyecto de Desarrollo de Software — Especialidades Técnicas</w:t>
      </w:r>
    </w:p>
    <w:p>
      <w:pPr>
        <w:spacing w:after="60"/>
        <w:jc w:val="center"/>
      </w:pPr>
      <w:r>
        <w:rPr>
          <w:rFonts w:ascii="Times New Roman" w:cs="Times New Roman" w:eastAsia="Times New Roman" w:hAnsi="Times New Roman"/>
          <w:color w:val="595959"/>
          <w:sz w:val="18"/>
          <w:szCs w:val="18"/>
        </w:rPr>
        <w:t xml:space="preserve">Escuela Tecnológica Instituto Técnico Central (ETITC)</w:t>
      </w:r>
    </w:p>
    <w:p>
      <w:pPr>
        <w:spacing w:after="200"/>
        <w:jc w:val="center"/>
      </w:pPr>
      <w:r>
        <w:rPr>
          <w:rFonts w:ascii="Times New Roman" w:cs="Times New Roman" w:eastAsia="Times New Roman" w:hAnsi="Times New Roman"/>
          <w:color w:val="595959"/>
          <w:sz w:val="18"/>
          <w:szCs w:val="18"/>
        </w:rPr>
        <w:t xml:space="preserve">Bogotá D.C., Colombia — 2025</w:t>
      </w:r>
    </w:p>
    <w:p>
      <w:pPr>
        <w:pBdr>
          <w:bottom w:val="single" w:color="287840" w:sz="6"/>
        </w:pBdr>
        <w:spacing w:after="160"/>
      </w:pPr>
    </w:p>
    <w:p>
      <w:pPr>
        <w:spacing w:after="120" w:before="240" w:line="240"/>
        <w:jc w:val="center"/>
      </w:pPr>
      <w:r>
        <w:rPr>
          <w:rFonts w:ascii="Times New Roman" w:cs="Times New Roman" w:eastAsia="Times New Roman" w:hAnsi="Times New Roman"/>
          <w:b/>
          <w:bCs/>
          <w:smallCaps/>
          <w:color w:val="287840"/>
          <w:sz w:val="20"/>
          <w:szCs w:val="20"/>
        </w:rPr>
        <w:t xml:space="preserve">I.  Resumen</w:t>
      </w:r>
    </w:p>
    <w:p>
      <w:pPr>
        <w:spacing w:after="120" w:line="240"/>
        <w:jc w:val="both"/>
      </w:pPr>
      <w:r>
        <w:rPr>
          <w:rFonts w:ascii="Times New Roman" w:cs="Times New Roman" w:eastAsia="Times New Roman" w:hAnsi="Times New Roman"/>
          <w:b w:val="false"/>
          <w:bCs w:val="false"/>
          <w:i w:val="false"/>
          <w:iCs w:val="false"/>
          <w:color w:val="000000"/>
          <w:sz w:val="20"/>
          <w:szCs w:val="20"/>
        </w:rPr>
        <w:t xml:space="preserve">Este artículo presenta el diseño, desarrollo e implementación de una aplicación móvil y de escritorio desarrollada con el framework Flet (Python), cuyo propósito es orientar a los estudiantes del ETITC en la selección de su especialidad técnica de manera objetiva. La herramienta integra el historial académico del estudiante (promedios por área) con un análisis de perfil vocacional realizado por el modelo de lenguaje LLaMA 3.1 a través de la API de Groq, produciendo una recomendación personalizada entre cuatro especialidades: Mecatrónica, Sistemas, Procesos Industriales y Diseño. Los avances actuales incluyen autenticación, gestión de notas, test vocacional con inteligencia artificial, validación de calidad de respuestas y presentación gamificada de resultados.</w:t>
      </w:r>
    </w:p>
    <w:p>
      <w:pPr>
        <w:spacing w:after="200" w:line="240"/>
        <w:jc w:val="both"/>
      </w:pPr>
      <w:r>
        <w:rPr>
          <w:rFonts w:ascii="Times New Roman" w:cs="Times New Roman" w:eastAsia="Times New Roman" w:hAnsi="Times New Roman"/>
          <w:b w:val="false"/>
          <w:bCs w:val="false"/>
          <w:i/>
          <w:iCs/>
          <w:color w:val="000000"/>
          <w:sz w:val="20"/>
          <w:szCs w:val="20"/>
        </w:rPr>
        <w:t xml:space="preserve">Palabras clave — orientación vocacional, inteligencia artificial, Flet, LLaMA, ETITC, especialidades técnicas.</w:t>
      </w:r>
    </w:p>
    <w:p>
      <w:pPr>
        <w:pBdr>
          <w:bottom w:val="single" w:color="287840" w:sz="6"/>
        </w:pBdr>
        <w:spacing w:after="160"/>
      </w:pPr>
    </w:p>
    <w:p>
      <w:pPr>
        <w:spacing w:after="120" w:before="240" w:line="240"/>
        <w:jc w:val="center"/>
      </w:pPr>
      <w:r>
        <w:rPr>
          <w:rFonts w:ascii="Times New Roman" w:cs="Times New Roman" w:eastAsia="Times New Roman" w:hAnsi="Times New Roman"/>
          <w:b/>
          <w:bCs/>
          <w:smallCaps/>
          <w:color w:val="287840"/>
          <w:sz w:val="20"/>
          <w:szCs w:val="20"/>
        </w:rPr>
        <w:t xml:space="preserve">II.  Introducción</w:t>
      </w:r>
    </w:p>
    <w:p>
      <w:pPr>
        <w:spacing w:after="120" w:line="240"/>
        <w:jc w:val="both"/>
      </w:pPr>
      <w:r>
        <w:rPr>
          <w:rFonts w:ascii="Times New Roman" w:cs="Times New Roman" w:eastAsia="Times New Roman" w:hAnsi="Times New Roman"/>
          <w:b w:val="false"/>
          <w:bCs w:val="false"/>
          <w:i w:val="false"/>
          <w:iCs w:val="false"/>
          <w:color w:val="000000"/>
          <w:sz w:val="20"/>
          <w:szCs w:val="20"/>
        </w:rPr>
        <w:t xml:space="preserve">La elección de una especialidad técnica es una de las decisiones más determinantes en la trayectoria formativa de un estudiante de educación media técnica. En el contexto del ETITC, institución de reconocida trayectoria en la formación técnica de Bogotá D.C., los estudiantes enfrentan esta decisión con información limitada sobre sus aptitudes, intereses y el perfil real de cada especialidad.</w:t>
      </w:r>
    </w:p>
    <w:p>
      <w:pPr>
        <w:spacing w:after="120" w:line="240"/>
        <w:jc w:val="both"/>
      </w:pPr>
      <w:r>
        <w:rPr>
          <w:rFonts w:ascii="Times New Roman" w:cs="Times New Roman" w:eastAsia="Times New Roman" w:hAnsi="Times New Roman"/>
          <w:b w:val="false"/>
          <w:bCs w:val="false"/>
          <w:i w:val="false"/>
          <w:iCs w:val="false"/>
          <w:color w:val="000000"/>
          <w:sz w:val="20"/>
          <w:szCs w:val="20"/>
        </w:rPr>
        <w:t xml:space="preserve">Históricamente, la orientación vocacional en instituciones técnicas se ha apoyado en test impresos, entrevistas individuales o la observación del docente. Estos métodos, aunque valiosos, presentan limitaciones en escalabilidad, objetividad y accesibilidad. El avance de los modelos de lenguaje de gran escala (LLMs) ofrece una oportunidad para automatizar y personalizar este proceso.</w:t>
      </w:r>
    </w:p>
    <w:p>
      <w:pPr>
        <w:spacing w:after="120" w:line="240"/>
        <w:jc w:val="both"/>
      </w:pPr>
      <w:r>
        <w:rPr>
          <w:rFonts w:ascii="Times New Roman" w:cs="Times New Roman" w:eastAsia="Times New Roman" w:hAnsi="Times New Roman"/>
          <w:b w:val="false"/>
          <w:bCs w:val="false"/>
          <w:i w:val="false"/>
          <w:iCs w:val="false"/>
          <w:color w:val="000000"/>
          <w:sz w:val="20"/>
          <w:szCs w:val="20"/>
        </w:rPr>
        <w:t xml:space="preserve">El presente proyecto propone y desarrolla una solución tecnológica que combina el historial académico del estudiante con un análisis conversacional impulsado por inteligencia artificial, con el fin de emitir una recomendación fundamentada sobre la especialidad más adecuada para cada perfil.</w:t>
      </w:r>
    </w:p>
    <w:p>
      <w:pPr>
        <w:pBdr>
          <w:bottom w:val="single" w:color="287840" w:sz="6"/>
        </w:pBdr>
        <w:spacing w:after="160"/>
      </w:pPr>
    </w:p>
    <w:p>
      <w:pPr>
        <w:spacing w:after="120" w:before="240" w:line="240"/>
        <w:jc w:val="center"/>
      </w:pPr>
      <w:r>
        <w:rPr>
          <w:rFonts w:ascii="Times New Roman" w:cs="Times New Roman" w:eastAsia="Times New Roman" w:hAnsi="Times New Roman"/>
          <w:b/>
          <w:bCs/>
          <w:smallCaps/>
          <w:color w:val="287840"/>
          <w:sz w:val="20"/>
          <w:szCs w:val="20"/>
        </w:rPr>
        <w:t xml:space="preserve">III.  Planteamiento del Problema</w:t>
      </w:r>
    </w:p>
    <w:p>
      <w:pPr>
        <w:spacing w:after="120" w:line="240"/>
        <w:jc w:val="both"/>
      </w:pPr>
      <w:r>
        <w:rPr>
          <w:rFonts w:ascii="Times New Roman" w:cs="Times New Roman" w:eastAsia="Times New Roman" w:hAnsi="Times New Roman"/>
          <w:b w:val="false"/>
          <w:bCs w:val="false"/>
          <w:i w:val="false"/>
          <w:iCs w:val="false"/>
          <w:color w:val="000000"/>
          <w:sz w:val="20"/>
          <w:szCs w:val="20"/>
        </w:rPr>
        <w:t xml:space="preserve">La falta de herramientas tecnológicas accesibles y personalizadas para la orientación vocacional en instituciones técnicas colombianas genera que muchos estudiantes seleccionen su especialidad por criterios externos (amigos, disponibilidad de cupo, percepción popular) antes que por afinidad real con el área de conocimiento. Esto deriva en bajo rendimiento, deserción y desaprovechamiento del potencial individual.</w:t>
      </w:r>
    </w:p>
    <w:p>
      <w:pPr>
        <w:spacing w:after="160" w:line="240"/>
        <w:jc w:val="both"/>
      </w:pPr>
      <w:r>
        <w:rPr>
          <w:rFonts w:ascii="Times New Roman" w:cs="Times New Roman" w:eastAsia="Times New Roman" w:hAnsi="Times New Roman"/>
          <w:b/>
          <w:bCs/>
          <w:i w:val="false"/>
          <w:iCs w:val="false"/>
          <w:color w:val="000000"/>
          <w:sz w:val="20"/>
          <w:szCs w:val="20"/>
        </w:rPr>
        <w:t xml:space="preserve">Pregunta de investigación: </w:t>
      </w:r>
      <w:r>
        <w:rPr>
          <w:rFonts w:ascii="Times New Roman" w:cs="Times New Roman" w:eastAsia="Times New Roman" w:hAnsi="Times New Roman"/>
          <w:b w:val="false"/>
          <w:bCs w:val="false"/>
          <w:i/>
          <w:iCs/>
          <w:color w:val="000000"/>
          <w:sz w:val="20"/>
          <w:szCs w:val="20"/>
        </w:rPr>
        <w:t xml:space="preserve">¿Cómo elaborar una app que permita a los estudiantes elegir de manera adecuada su especialidad en el ETITC?</w:t>
      </w:r>
    </w:p>
    <w:p>
      <w:pPr>
        <w:pBdr>
          <w:bottom w:val="single" w:color="287840" w:sz="6"/>
        </w:pBdr>
        <w:spacing w:after="160"/>
      </w:pPr>
    </w:p>
    <w:p>
      <w:pPr>
        <w:spacing w:after="120" w:before="240" w:line="240"/>
        <w:jc w:val="center"/>
      </w:pPr>
      <w:r>
        <w:rPr>
          <w:rFonts w:ascii="Times New Roman" w:cs="Times New Roman" w:eastAsia="Times New Roman" w:hAnsi="Times New Roman"/>
          <w:b/>
          <w:bCs/>
          <w:smallCaps/>
          <w:color w:val="287840"/>
          <w:sz w:val="20"/>
          <w:szCs w:val="20"/>
        </w:rPr>
        <w:t xml:space="preserve">IV.  Objetivos</w:t>
      </w:r>
    </w:p>
    <w:p>
      <w:pPr>
        <w:spacing w:after="80" w:before="160" w:line="240"/>
        <w:jc w:val="left"/>
      </w:pPr>
      <w:r>
        <w:rPr>
          <w:rFonts w:ascii="Times New Roman" w:cs="Times New Roman" w:eastAsia="Times New Roman" w:hAnsi="Times New Roman"/>
          <w:b/>
          <w:bCs/>
          <w:i/>
          <w:iCs/>
          <w:color w:val="595959"/>
          <w:sz w:val="20"/>
          <w:szCs w:val="20"/>
        </w:rPr>
        <w:t xml:space="preserve">A.  Objetivo General</w:t>
      </w:r>
    </w:p>
    <w:p>
      <w:pPr>
        <w:spacing w:after="120" w:line="240"/>
        <w:jc w:val="both"/>
      </w:pPr>
      <w:r>
        <w:rPr>
          <w:rFonts w:ascii="Times New Roman" w:cs="Times New Roman" w:eastAsia="Times New Roman" w:hAnsi="Times New Roman"/>
          <w:b w:val="false"/>
          <w:bCs w:val="false"/>
          <w:i w:val="false"/>
          <w:iCs w:val="false"/>
          <w:color w:val="000000"/>
          <w:sz w:val="20"/>
          <w:szCs w:val="20"/>
        </w:rPr>
        <w:t xml:space="preserve">Desarrollar una aplicación multiplataforma (móvil y escritorio) que oriente a los estudiantes del ETITC en la selección de su especialidad técnica, integrando análisis de rendimiento académico e inteligencia artificial.</w:t>
      </w:r>
    </w:p>
    <w:p>
      <w:pPr>
        <w:spacing w:after="80" w:before="160" w:line="240"/>
        <w:jc w:val="left"/>
      </w:pPr>
      <w:r>
        <w:rPr>
          <w:rFonts w:ascii="Times New Roman" w:cs="Times New Roman" w:eastAsia="Times New Roman" w:hAnsi="Times New Roman"/>
          <w:b/>
          <w:bCs/>
          <w:i/>
          <w:iCs/>
          <w:color w:val="595959"/>
          <w:sz w:val="20"/>
          <w:szCs w:val="20"/>
        </w:rPr>
        <w:t xml:space="preserve">B.  Objetivos Específicos — Avances del Proyecto</w:t>
      </w:r>
    </w:p>
    <w:p>
      <w:pPr>
        <w:spacing w:after="120" w:line="240"/>
        <w:jc w:val="both"/>
      </w:pPr>
      <w:r>
        <w:rPr>
          <w:rFonts w:ascii="Times New Roman" w:cs="Times New Roman" w:eastAsia="Times New Roman" w:hAnsi="Times New Roman"/>
          <w:b/>
          <w:bCs/>
          <w:i w:val="false"/>
          <w:iCs w:val="false"/>
          <w:color w:val="000000"/>
          <w:sz w:val="20"/>
          <w:szCs w:val="20"/>
        </w:rPr>
        <w:t xml:space="preserve">OE1. </w:t>
      </w:r>
      <w:r>
        <w:rPr>
          <w:rFonts w:ascii="Times New Roman" w:cs="Times New Roman" w:eastAsia="Times New Roman" w:hAnsi="Times New Roman"/>
          <w:b w:val="false"/>
          <w:bCs w:val="false"/>
          <w:i w:val="false"/>
          <w:iCs w:val="false"/>
          <w:color w:val="000000"/>
          <w:sz w:val="20"/>
          <w:szCs w:val="20"/>
        </w:rPr>
        <w:t xml:space="preserve">Implementar un sistema de autenticación seguro.</w:t>
      </w:r>
    </w:p>
    <w:p>
      <w:pPr>
        <w:spacing w:after="160" w:line="240"/>
        <w:jc w:val="both"/>
      </w:pPr>
      <w:r>
        <w:rPr>
          <w:rFonts w:ascii="Times New Roman" w:cs="Times New Roman" w:eastAsia="Times New Roman" w:hAnsi="Times New Roman"/>
          <w:b w:val="false"/>
          <w:bCs w:val="false"/>
          <w:i w:val="false"/>
          <w:iCs w:val="false"/>
          <w:color w:val="000000"/>
          <w:sz w:val="20"/>
          <w:szCs w:val="20"/>
        </w:rPr>
        <w:t xml:space="preserve">Se desarrolló un módulo de registro e inicio de sesión con almacenamiento en base de datos SQLite. Los usuarios pueden registrarse manualmente o ser cargados de forma masiva desde un archivo CSV con el listado de estudiantes ("Notas procesadas.csv"). Las contraseñas se generan aleatoriamente para usuarios importados y se almacenan junto con los datos de sesión.</w:t>
      </w:r>
    </w:p>
    <w:p>
      <w:pPr>
        <w:spacing w:after="120" w:line="240"/>
        <w:jc w:val="both"/>
      </w:pPr>
      <w:r>
        <w:rPr>
          <w:rFonts w:ascii="Times New Roman" w:cs="Times New Roman" w:eastAsia="Times New Roman" w:hAnsi="Times New Roman"/>
          <w:b/>
          <w:bCs/>
          <w:i w:val="false"/>
          <w:iCs w:val="false"/>
          <w:color w:val="000000"/>
          <w:sz w:val="20"/>
          <w:szCs w:val="20"/>
        </w:rPr>
        <w:t xml:space="preserve">OE2. </w:t>
      </w:r>
      <w:r>
        <w:rPr>
          <w:rFonts w:ascii="Times New Roman" w:cs="Times New Roman" w:eastAsia="Times New Roman" w:hAnsi="Times New Roman"/>
          <w:b w:val="false"/>
          <w:bCs w:val="false"/>
          <w:i w:val="false"/>
          <w:iCs w:val="false"/>
          <w:color w:val="000000"/>
          <w:sz w:val="20"/>
          <w:szCs w:val="20"/>
        </w:rPr>
        <w:t xml:space="preserve">Diseñar un módulo de ingreso y corrección de notas académicas.</w:t>
      </w:r>
    </w:p>
    <w:p>
      <w:pPr>
        <w:spacing w:after="160" w:line="240"/>
        <w:jc w:val="both"/>
      </w:pPr>
      <w:r>
        <w:rPr>
          <w:rFonts w:ascii="Times New Roman" w:cs="Times New Roman" w:eastAsia="Times New Roman" w:hAnsi="Times New Roman"/>
          <w:b w:val="false"/>
          <w:bCs w:val="false"/>
          <w:i w:val="false"/>
          <w:iCs w:val="false"/>
          <w:color w:val="000000"/>
          <w:sz w:val="20"/>
          <w:szCs w:val="20"/>
        </w:rPr>
        <w:t xml:space="preserve">Se implementó la pantalla de ingreso de notas con cuatro períodos (P1–P4) para cada una de las cuatro especialidades, con validación de rango (3.0–5.0) y retroalimentación visual por campo. Adicionalmente, se añadió un botón "Editar mis notas" en la pantalla de promedios, que redirige a una ruta diferenciada (/notas/editar) con un banner de advertencia contextual, permitiendo al estudiante corregir datos ingresados incorrectamente.</w:t>
      </w:r>
    </w:p>
    <w:p>
      <w:pPr>
        <w:spacing w:after="120" w:line="240"/>
        <w:jc w:val="both"/>
      </w:pPr>
      <w:r>
        <w:rPr>
          <w:rFonts w:ascii="Times New Roman" w:cs="Times New Roman" w:eastAsia="Times New Roman" w:hAnsi="Times New Roman"/>
          <w:b/>
          <w:bCs/>
          <w:i w:val="false"/>
          <w:iCs w:val="false"/>
          <w:color w:val="000000"/>
          <w:sz w:val="20"/>
          <w:szCs w:val="20"/>
        </w:rPr>
        <w:t xml:space="preserve">OE3. </w:t>
      </w:r>
      <w:r>
        <w:rPr>
          <w:rFonts w:ascii="Times New Roman" w:cs="Times New Roman" w:eastAsia="Times New Roman" w:hAnsi="Times New Roman"/>
          <w:b w:val="false"/>
          <w:bCs w:val="false"/>
          <w:i w:val="false"/>
          <w:iCs w:val="false"/>
          <w:color w:val="000000"/>
          <w:sz w:val="20"/>
          <w:szCs w:val="20"/>
        </w:rPr>
        <w:t xml:space="preserve">Integrar un test vocacional evaluado por inteligencia artificial.</w:t>
      </w:r>
    </w:p>
    <w:p>
      <w:pPr>
        <w:spacing w:after="160" w:line="240"/>
        <w:jc w:val="both"/>
      </w:pPr>
      <w:r>
        <w:rPr>
          <w:rFonts w:ascii="Times New Roman" w:cs="Times New Roman" w:eastAsia="Times New Roman" w:hAnsi="Times New Roman"/>
          <w:b w:val="false"/>
          <w:bCs w:val="false"/>
          <w:i w:val="false"/>
          <w:iCs w:val="false"/>
          <w:color w:val="000000"/>
          <w:sz w:val="20"/>
          <w:szCs w:val="20"/>
        </w:rPr>
        <w:t xml:space="preserve">Se construyó un formulario de cinco preguntas abiertas orientadas a identificar intereses, habilidades y motivaciones del estudiante. Las respuestas se envían al modelo LLaMA 3.1-8B (vía API de Groq) mediante solicitudes HTTP con urllib, sin dependencias externas adicionales. El modelo retorna puntajes de afinidad (0–100) para cada especialidad en formato JSON, los cuales se almacenan y visualizan.</w:t>
      </w:r>
    </w:p>
    <w:p>
      <w:pPr>
        <w:spacing w:after="120" w:line="240"/>
        <w:jc w:val="both"/>
      </w:pPr>
      <w:r>
        <w:rPr>
          <w:rFonts w:ascii="Times New Roman" w:cs="Times New Roman" w:eastAsia="Times New Roman" w:hAnsi="Times New Roman"/>
          <w:b/>
          <w:bCs/>
          <w:i w:val="false"/>
          <w:iCs w:val="false"/>
          <w:color w:val="000000"/>
          <w:sz w:val="20"/>
          <w:szCs w:val="20"/>
        </w:rPr>
        <w:t xml:space="preserve">OE4. </w:t>
      </w:r>
      <w:r>
        <w:rPr>
          <w:rFonts w:ascii="Times New Roman" w:cs="Times New Roman" w:eastAsia="Times New Roman" w:hAnsi="Times New Roman"/>
          <w:b w:val="false"/>
          <w:bCs w:val="false"/>
          <w:i w:val="false"/>
          <w:iCs w:val="false"/>
          <w:color w:val="000000"/>
          <w:sz w:val="20"/>
          <w:szCs w:val="20"/>
        </w:rPr>
        <w:t xml:space="preserve">Implementar validación de calidad de texto para el test de IA.</w:t>
      </w:r>
    </w:p>
    <w:p>
      <w:pPr>
        <w:spacing w:after="160" w:line="240"/>
        <w:jc w:val="both"/>
      </w:pPr>
      <w:r>
        <w:rPr>
          <w:rFonts w:ascii="Times New Roman" w:cs="Times New Roman" w:eastAsia="Times New Roman" w:hAnsi="Times New Roman"/>
          <w:b w:val="false"/>
          <w:bCs w:val="false"/>
          <w:i w:val="false"/>
          <w:iCs w:val="false"/>
          <w:color w:val="000000"/>
          <w:sz w:val="20"/>
          <w:szCs w:val="20"/>
        </w:rPr>
        <w:t xml:space="preserve">Se desarrolló la función evaluar_calidad_respuestas() que detecta tres tipos de problemas antes de enviar las respuestas a la IA: (1) texto insuficiente (&lt;80 caracteres significativos), (2) texto repetitivo o ilegible (un carácter representa más del 60% del total), y (3) ausencia de palabras clave orientacionales. Cuando se detecta alguno de estos casos, se bloquea el envío y se muestra un banner de advertencia con orientación específica al estudiante.</w:t>
      </w:r>
    </w:p>
    <w:p>
      <w:pPr>
        <w:spacing w:after="120" w:line="240"/>
        <w:jc w:val="both"/>
      </w:pPr>
      <w:r>
        <w:rPr>
          <w:rFonts w:ascii="Times New Roman" w:cs="Times New Roman" w:eastAsia="Times New Roman" w:hAnsi="Times New Roman"/>
          <w:b/>
          <w:bCs/>
          <w:i w:val="false"/>
          <w:iCs w:val="false"/>
          <w:color w:val="000000"/>
          <w:sz w:val="20"/>
          <w:szCs w:val="20"/>
        </w:rPr>
        <w:t xml:space="preserve">OE5. </w:t>
      </w:r>
      <w:r>
        <w:rPr>
          <w:rFonts w:ascii="Times New Roman" w:cs="Times New Roman" w:eastAsia="Times New Roman" w:hAnsi="Times New Roman"/>
          <w:b w:val="false"/>
          <w:bCs w:val="false"/>
          <w:i w:val="false"/>
          <w:iCs w:val="false"/>
          <w:color w:val="000000"/>
          <w:sz w:val="20"/>
          <w:szCs w:val="20"/>
        </w:rPr>
        <w:t xml:space="preserve">Presentar resultados de forma clara, completa y motivadora.</w:t>
      </w:r>
    </w:p>
    <w:p>
      <w:pPr>
        <w:spacing w:after="200" w:line="240"/>
        <w:jc w:val="both"/>
      </w:pPr>
      <w:r>
        <w:rPr>
          <w:rFonts w:ascii="Times New Roman" w:cs="Times New Roman" w:eastAsia="Times New Roman" w:hAnsi="Times New Roman"/>
          <w:b w:val="false"/>
          <w:bCs w:val="false"/>
          <w:i w:val="false"/>
          <w:iCs w:val="false"/>
          <w:color w:val="000000"/>
          <w:sz w:val="20"/>
          <w:szCs w:val="20"/>
        </w:rPr>
        <w:t xml:space="preserve">Se diseñó una pantalla de resultados gamificada que incluye: tarjeta hero con gradiente institucional, porcentaje de afinidad, badge de perfil, descripción completa de la especialidad recomendada, habilidades a desarrollar, salida laboral, barras de ranking comparativo y registro de la segunda opción elegida. Se agregó además un aviso metodológico que explica al estudiante cómo se calculó el resultado (combinación de promedios académicos + análisis de IA).</w:t>
      </w:r>
    </w:p>
    <w:p>
      <w:pPr>
        <w:pBdr>
          <w:bottom w:val="single" w:color="287840" w:sz="6"/>
        </w:pBdr>
        <w:spacing w:after="160"/>
      </w:pPr>
    </w:p>
    <w:p>
      <w:pPr>
        <w:spacing w:after="120" w:before="240" w:line="240"/>
        <w:jc w:val="center"/>
      </w:pPr>
      <w:r>
        <w:rPr>
          <w:rFonts w:ascii="Times New Roman" w:cs="Times New Roman" w:eastAsia="Times New Roman" w:hAnsi="Times New Roman"/>
          <w:b/>
          <w:bCs/>
          <w:smallCaps/>
          <w:color w:val="287840"/>
          <w:sz w:val="20"/>
          <w:szCs w:val="20"/>
        </w:rPr>
        <w:t xml:space="preserve">V.  Arquitectura del Sistema</w:t>
      </w:r>
    </w:p>
    <w:p>
      <w:pPr>
        <w:spacing w:after="120" w:line="240"/>
        <w:jc w:val="both"/>
      </w:pPr>
      <w:r>
        <w:rPr>
          <w:rFonts w:ascii="Times New Roman" w:cs="Times New Roman" w:eastAsia="Times New Roman" w:hAnsi="Times New Roman"/>
          <w:b w:val="false"/>
          <w:bCs w:val="false"/>
          <w:i w:val="false"/>
          <w:iCs w:val="false"/>
          <w:color w:val="000000"/>
          <w:sz w:val="20"/>
          <w:szCs w:val="20"/>
        </w:rPr>
        <w:t xml:space="preserve">La aplicación sigue una arquitectura cliente-local de una sola capa, donde la lógica de negocio, la interfaz y la persistencia coexisten en el mismo proceso Python. La comunicación con el modelo de IA se realiza de forma asíncrona mediante hilos (threading), evitando el bloqueo de la interfaz.</w:t>
      </w:r>
    </w:p>
    <w:p>
      <w:pPr>
        <w:spacing w:after="80" w:before="160" w:line="240"/>
        <w:jc w:val="left"/>
      </w:pPr>
      <w:r>
        <w:rPr>
          <w:rFonts w:ascii="Times New Roman" w:cs="Times New Roman" w:eastAsia="Times New Roman" w:hAnsi="Times New Roman"/>
          <w:b/>
          <w:bCs/>
          <w:i/>
          <w:iCs/>
          <w:color w:val="595959"/>
          <w:sz w:val="20"/>
          <w:szCs w:val="20"/>
        </w:rPr>
        <w:t xml:space="preserve">A.  Stack Tecnológico</w:t>
      </w:r>
    </w:p>
    <w:p>
      <w:pPr>
        <w:pStyle w:val="ListParagraph"/>
        <w:numPr>
          <w:ilvl w:val="0"/>
          <w:numId w:val="2"/>
        </w:numPr>
        <w:spacing w:after="80" w:line="240"/>
      </w:pPr>
      <w:r>
        <w:rPr>
          <w:rFonts w:ascii="Times New Roman" w:cs="Times New Roman" w:eastAsia="Times New Roman" w:hAnsi="Times New Roman"/>
          <w:b w:val="false"/>
          <w:bCs w:val="false"/>
          <w:sz w:val="20"/>
          <w:szCs w:val="20"/>
        </w:rPr>
        <w:t xml:space="preserve">Lenguaje: Python 3.10+</w:t>
      </w:r>
    </w:p>
    <w:p>
      <w:pPr>
        <w:pStyle w:val="ListParagraph"/>
        <w:numPr>
          <w:ilvl w:val="0"/>
          <w:numId w:val="2"/>
        </w:numPr>
        <w:spacing w:after="80" w:line="240"/>
      </w:pPr>
      <w:r>
        <w:rPr>
          <w:rFonts w:ascii="Times New Roman" w:cs="Times New Roman" w:eastAsia="Times New Roman" w:hAnsi="Times New Roman"/>
          <w:b w:val="false"/>
          <w:bCs w:val="false"/>
          <w:sz w:val="20"/>
          <w:szCs w:val="20"/>
        </w:rPr>
        <w:t xml:space="preserve">Framework UI: Flet (Flutter cross-platform para Python)</w:t>
      </w:r>
    </w:p>
    <w:p>
      <w:pPr>
        <w:pStyle w:val="ListParagraph"/>
        <w:numPr>
          <w:ilvl w:val="0"/>
          <w:numId w:val="2"/>
        </w:numPr>
        <w:spacing w:after="80" w:line="240"/>
      </w:pPr>
      <w:r>
        <w:rPr>
          <w:rFonts w:ascii="Times New Roman" w:cs="Times New Roman" w:eastAsia="Times New Roman" w:hAnsi="Times New Roman"/>
          <w:b w:val="false"/>
          <w:bCs w:val="false"/>
          <w:sz w:val="20"/>
          <w:szCs w:val="20"/>
        </w:rPr>
        <w:t xml:space="preserve">Base de datos: SQLite 3 (sin servidor, archivo local)</w:t>
      </w:r>
    </w:p>
    <w:p>
      <w:pPr>
        <w:pStyle w:val="ListParagraph"/>
        <w:numPr>
          <w:ilvl w:val="0"/>
          <w:numId w:val="2"/>
        </w:numPr>
        <w:spacing w:after="80" w:line="240"/>
      </w:pPr>
      <w:r>
        <w:rPr>
          <w:rFonts w:ascii="Times New Roman" w:cs="Times New Roman" w:eastAsia="Times New Roman" w:hAnsi="Times New Roman"/>
          <w:b w:val="false"/>
          <w:bCs w:val="false"/>
          <w:sz w:val="20"/>
          <w:szCs w:val="20"/>
        </w:rPr>
        <w:t xml:space="preserve">IA / LLM: LLaMA 3.1-8B-Instant vía Groq Cloud API</w:t>
      </w:r>
    </w:p>
    <w:p>
      <w:pPr>
        <w:pStyle w:val="ListParagraph"/>
        <w:numPr>
          <w:ilvl w:val="0"/>
          <w:numId w:val="2"/>
        </w:numPr>
        <w:spacing w:after="80" w:line="240"/>
      </w:pPr>
      <w:r>
        <w:rPr>
          <w:rFonts w:ascii="Times New Roman" w:cs="Times New Roman" w:eastAsia="Times New Roman" w:hAnsi="Times New Roman"/>
          <w:b w:val="false"/>
          <w:bCs w:val="false"/>
          <w:sz w:val="20"/>
          <w:szCs w:val="20"/>
        </w:rPr>
        <w:t xml:space="preserve">Comunicación HTTP: urllib (biblioteca estándar de Python)</w:t>
      </w:r>
    </w:p>
    <w:p>
      <w:pPr>
        <w:pStyle w:val="ListParagraph"/>
        <w:numPr>
          <w:ilvl w:val="0"/>
          <w:numId w:val="2"/>
        </w:numPr>
        <w:spacing w:after="80" w:line="240"/>
      </w:pPr>
      <w:r>
        <w:rPr>
          <w:rFonts w:ascii="Times New Roman" w:cs="Times New Roman" w:eastAsia="Times New Roman" w:hAnsi="Times New Roman"/>
          <w:b w:val="false"/>
          <w:bCs w:val="false"/>
          <w:sz w:val="20"/>
          <w:szCs w:val="20"/>
        </w:rPr>
        <w:t xml:space="preserve">Formato de intercambio: JSON (respuestas del modelo y persistencia de puntajes)</w:t>
      </w:r>
    </w:p>
    <w:p>
      <w:pPr>
        <w:spacing w:after="80" w:before="160" w:line="240"/>
        <w:jc w:val="left"/>
      </w:pPr>
      <w:r>
        <w:rPr>
          <w:rFonts w:ascii="Times New Roman" w:cs="Times New Roman" w:eastAsia="Times New Roman" w:hAnsi="Times New Roman"/>
          <w:b/>
          <w:bCs/>
          <w:i/>
          <w:iCs/>
          <w:color w:val="595959"/>
          <w:sz w:val="20"/>
          <w:szCs w:val="20"/>
        </w:rPr>
        <w:t xml:space="preserve">B.  Módulos Funcionales</w:t>
      </w:r>
    </w:p>
    <w:p>
      <w:pPr>
        <w:spacing w:after="120" w:line="240"/>
        <w:jc w:val="both"/>
      </w:pPr>
      <w:r>
        <w:rPr>
          <w:rFonts w:ascii="Times New Roman" w:cs="Times New Roman" w:eastAsia="Times New Roman" w:hAnsi="Times New Roman"/>
          <w:b w:val="false"/>
          <w:bCs w:val="false"/>
          <w:i w:val="false"/>
          <w:iCs w:val="false"/>
          <w:color w:val="000000"/>
          <w:sz w:val="20"/>
          <w:szCs w:val="20"/>
        </w:rPr>
        <w:t xml:space="preserve">La Tabla I resume los módulos implementados hasta la fecha:</w:t>
      </w:r>
    </w:p>
    <w:p>
      <w:pPr>
        <w:spacing w:after="80" w:line="240"/>
        <w:jc w:val="center"/>
      </w:pPr>
      <w:r>
        <w:rPr>
          <w:rFonts w:ascii="Times New Roman" w:cs="Times New Roman" w:eastAsia="Times New Roman" w:hAnsi="Times New Roman"/>
          <w:b w:val="false"/>
          <w:bCs w:val="false"/>
          <w:i/>
          <w:iCs/>
          <w:color w:val="000000"/>
          <w:sz w:val="20"/>
          <w:szCs w:val="20"/>
        </w:rPr>
        <w:t xml:space="preserve">Tabla I. Módulos funcionales implementados.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2600"/>
      </w:tblGrid>
      <w:tr>
        <w:trPr>
          <w:tblHeader/>
        </w:trPr>
        <w:tc>
          <w:tcPr>
            <w:tcW w:type="dxa" w:w="220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pPr>
              <w:jc w:val="center"/>
            </w:pPr>
            <w:r>
              <w:rPr>
                <w:rFonts w:ascii="Times New Roman" w:cs="Times New Roman" w:eastAsia="Times New Roman" w:hAnsi="Times New Roman"/>
                <w:b/>
                <w:bCs/>
                <w:sz w:val="18"/>
                <w:szCs w:val="18"/>
              </w:rPr>
              <w:t xml:space="preserve">Módulo</w:t>
            </w:r>
          </w:p>
        </w:tc>
        <w:tc>
          <w:tcPr>
            <w:tcW w:type="dxa" w:w="456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pPr>
              <w:jc w:val="center"/>
            </w:pPr>
            <w:r>
              <w:rPr>
                <w:rFonts w:ascii="Times New Roman" w:cs="Times New Roman" w:eastAsia="Times New Roman" w:hAnsi="Times New Roman"/>
                <w:b/>
                <w:bCs/>
                <w:sz w:val="18"/>
                <w:szCs w:val="18"/>
              </w:rPr>
              <w:t xml:space="preserve">Descripción</w:t>
            </w:r>
          </w:p>
        </w:tc>
        <w:tc>
          <w:tcPr>
            <w:tcW w:type="dxa" w:w="260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pPr>
              <w:jc w:val="center"/>
            </w:pPr>
            <w:r>
              <w:rPr>
                <w:rFonts w:ascii="Times New Roman" w:cs="Times New Roman" w:eastAsia="Times New Roman" w:hAnsi="Times New Roman"/>
                <w:b/>
                <w:bCs/>
                <w:sz w:val="18"/>
                <w:szCs w:val="18"/>
              </w:rPr>
              <w:t xml:space="preserve">Tecnología</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18"/>
                <w:szCs w:val="18"/>
              </w:rPr>
              <w:t xml:space="preserve">Autenticación</w:t>
            </w:r>
          </w:p>
        </w:tc>
        <w:tc>
          <w:tcPr>
            <w:tcW w:type="dxa" w:w="45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18"/>
                <w:szCs w:val="18"/>
              </w:rPr>
              <w:t xml:space="preserve">Registro e inicio de sesión con usuario y contraseña cifrada</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18"/>
                <w:szCs w:val="18"/>
              </w:rPr>
              <w:t xml:space="preserve">SQLite + Flet</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18"/>
                <w:szCs w:val="18"/>
              </w:rPr>
              <w:t xml:space="preserve">Gestión de notas</w:t>
            </w:r>
          </w:p>
        </w:tc>
        <w:tc>
          <w:tcPr>
            <w:tcW w:type="dxa" w:w="45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18"/>
                <w:szCs w:val="18"/>
              </w:rPr>
              <w:t xml:space="preserve">Ingreso y cálculo de promedios en 4 especialidades (escala 3.0–5.0)</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18"/>
                <w:szCs w:val="18"/>
              </w:rPr>
              <w:t xml:space="preserve">SQLite + Flet</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18"/>
                <w:szCs w:val="18"/>
              </w:rPr>
              <w:t xml:space="preserve">Carga masiva CSV</w:t>
            </w:r>
          </w:p>
        </w:tc>
        <w:tc>
          <w:tcPr>
            <w:tcW w:type="dxa" w:w="45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18"/>
                <w:szCs w:val="18"/>
              </w:rPr>
              <w:t xml:space="preserve">Importación automática de estudiantes desde archivo de notas procesadas</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18"/>
                <w:szCs w:val="18"/>
              </w:rPr>
              <w:t xml:space="preserve">csv + SQLite</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18"/>
                <w:szCs w:val="18"/>
              </w:rPr>
              <w:t xml:space="preserve">Test vocacional IA</w:t>
            </w:r>
          </w:p>
        </w:tc>
        <w:tc>
          <w:tcPr>
            <w:tcW w:type="dxa" w:w="45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18"/>
                <w:szCs w:val="18"/>
              </w:rPr>
              <w:t xml:space="preserve">Cuestionario de 5 preguntas evaluado por LLaMA 3.1 vía API de Groq</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18"/>
                <w:szCs w:val="18"/>
              </w:rPr>
              <w:t xml:space="preserve">urllib + Groq API</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18"/>
                <w:szCs w:val="18"/>
              </w:rPr>
              <w:t xml:space="preserve">Validación de calidad</w:t>
            </w:r>
          </w:p>
        </w:tc>
        <w:tc>
          <w:tcPr>
            <w:tcW w:type="dxa" w:w="45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18"/>
                <w:szCs w:val="18"/>
              </w:rPr>
              <w:t xml:space="preserve">Detección de respuestas ilegibles, cortas o sin palabras clave orientacionales</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18"/>
                <w:szCs w:val="18"/>
              </w:rPr>
              <w:t xml:space="preserve">Python (re, NLP básico)</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18"/>
                <w:szCs w:val="18"/>
              </w:rPr>
              <w:t xml:space="preserve">Resultados gamificados</w:t>
            </w:r>
          </w:p>
        </w:tc>
        <w:tc>
          <w:tcPr>
            <w:tcW w:type="dxa" w:w="45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18"/>
                <w:szCs w:val="18"/>
              </w:rPr>
              <w:t xml:space="preserve">Visualización de especialidad recomendada con barras de afinidad, badge y descripción de carrera</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18"/>
                <w:szCs w:val="18"/>
              </w:rPr>
              <w:t xml:space="preserve">Flet UI</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18"/>
                <w:szCs w:val="18"/>
              </w:rPr>
              <w:t xml:space="preserve">Edición de notas</w:t>
            </w:r>
          </w:p>
        </w:tc>
        <w:tc>
          <w:tcPr>
            <w:tcW w:type="dxa" w:w="45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18"/>
                <w:szCs w:val="18"/>
              </w:rPr>
              <w:t xml:space="preserve">Permite corregir notas erradas mediante ruta /notas/editar con banner de advertencia</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18"/>
                <w:szCs w:val="18"/>
              </w:rPr>
              <w:t xml:space="preserve">Flet routing</w:t>
            </w:r>
          </w:p>
        </w:tc>
      </w:tr>
    </w:tbl>
    <w:p>
      <w:pPr>
        <w:spacing w:after="160" w:line="240"/>
        <w:jc w:val="both"/>
      </w:pPr>
      <w:r>
        <w:rPr>
          <w:rFonts w:ascii="Times New Roman" w:cs="Times New Roman" w:eastAsia="Times New Roman" w:hAnsi="Times New Roman"/>
          <w:b w:val="false"/>
          <w:bCs w:val="false"/>
          <w:i w:val="false"/>
          <w:iCs w:val="false"/>
          <w:color w:val="000000"/>
          <w:sz w:val="20"/>
          <w:szCs w:val="20"/>
        </w:rPr>
        <w:t xml:space="preserve"/>
      </w:r>
    </w:p>
    <w:p>
      <w:pPr>
        <w:pBdr>
          <w:bottom w:val="single" w:color="287840" w:sz="6"/>
        </w:pBdr>
        <w:spacing w:after="160"/>
      </w:pPr>
    </w:p>
    <w:p>
      <w:pPr>
        <w:spacing w:after="120" w:before="240" w:line="240"/>
        <w:jc w:val="center"/>
      </w:pPr>
      <w:r>
        <w:rPr>
          <w:rFonts w:ascii="Times New Roman" w:cs="Times New Roman" w:eastAsia="Times New Roman" w:hAnsi="Times New Roman"/>
          <w:b/>
          <w:bCs/>
          <w:smallCaps/>
          <w:color w:val="287840"/>
          <w:sz w:val="20"/>
          <w:szCs w:val="20"/>
        </w:rPr>
        <w:t xml:space="preserve">VI.  Metodología de Desarrollo</w:t>
      </w:r>
    </w:p>
    <w:p>
      <w:pPr>
        <w:spacing w:after="120" w:line="240"/>
        <w:jc w:val="both"/>
      </w:pPr>
      <w:r>
        <w:rPr>
          <w:rFonts w:ascii="Times New Roman" w:cs="Times New Roman" w:eastAsia="Times New Roman" w:hAnsi="Times New Roman"/>
          <w:b w:val="false"/>
          <w:bCs w:val="false"/>
          <w:i w:val="false"/>
          <w:iCs w:val="false"/>
          <w:color w:val="000000"/>
          <w:sz w:val="20"/>
          <w:szCs w:val="20"/>
        </w:rPr>
        <w:t xml:space="preserve">El proyecto se desarrolla bajo un enfoque ágil iterativo. Cada iteración produce un incremento funcional validado en dispositivo real. Las fases ejecutadas son:</w:t>
      </w:r>
    </w:p>
    <w:p>
      <w:pPr>
        <w:pStyle w:val="ListParagraph"/>
        <w:numPr>
          <w:ilvl w:val="0"/>
          <w:numId w:val="2"/>
        </w:numPr>
        <w:spacing w:after="80" w:line="240"/>
      </w:pPr>
      <w:r>
        <w:rPr>
          <w:rFonts w:ascii="Times New Roman" w:cs="Times New Roman" w:eastAsia="Times New Roman" w:hAnsi="Times New Roman"/>
          <w:b w:val="false"/>
          <w:bCs w:val="false"/>
          <w:sz w:val="20"/>
          <w:szCs w:val="20"/>
        </w:rPr>
        <w:t xml:space="preserve">Análisis de requerimientos con docentes y estudiantes del ETITC.</w:t>
      </w:r>
    </w:p>
    <w:p>
      <w:pPr>
        <w:pStyle w:val="ListParagraph"/>
        <w:numPr>
          <w:ilvl w:val="0"/>
          <w:numId w:val="2"/>
        </w:numPr>
        <w:spacing w:after="80" w:line="240"/>
      </w:pPr>
      <w:r>
        <w:rPr>
          <w:rFonts w:ascii="Times New Roman" w:cs="Times New Roman" w:eastAsia="Times New Roman" w:hAnsi="Times New Roman"/>
          <w:b w:val="false"/>
          <w:bCs w:val="false"/>
          <w:sz w:val="20"/>
          <w:szCs w:val="20"/>
        </w:rPr>
        <w:t xml:space="preserve">Diseño de interfaz respetando la paleta institucional (verde oscuro #287840, verde medio #4DA92C, verde limón #94C121).</w:t>
      </w:r>
    </w:p>
    <w:p>
      <w:pPr>
        <w:pStyle w:val="ListParagraph"/>
        <w:numPr>
          <w:ilvl w:val="0"/>
          <w:numId w:val="2"/>
        </w:numPr>
        <w:spacing w:after="80" w:line="240"/>
      </w:pPr>
      <w:r>
        <w:rPr>
          <w:rFonts w:ascii="Times New Roman" w:cs="Times New Roman" w:eastAsia="Times New Roman" w:hAnsi="Times New Roman"/>
          <w:b w:val="false"/>
          <w:bCs w:val="false"/>
          <w:sz w:val="20"/>
          <w:szCs w:val="20"/>
        </w:rPr>
        <w:t xml:space="preserve">Implementación incremental de módulos (autenticación → notas → IA → resultados).</w:t>
      </w:r>
    </w:p>
    <w:p>
      <w:pPr>
        <w:pStyle w:val="ListParagraph"/>
        <w:numPr>
          <w:ilvl w:val="0"/>
          <w:numId w:val="2"/>
        </w:numPr>
        <w:spacing w:after="80" w:line="240"/>
      </w:pPr>
      <w:r>
        <w:rPr>
          <w:rFonts w:ascii="Times New Roman" w:cs="Times New Roman" w:eastAsia="Times New Roman" w:hAnsi="Times New Roman"/>
          <w:b w:val="false"/>
          <w:bCs w:val="false"/>
          <w:sz w:val="20"/>
          <w:szCs w:val="20"/>
        </w:rPr>
        <w:t xml:space="preserve">Pruebas funcionales en escritorio (Windows/Linux) y dispositivos Android.</w:t>
      </w:r>
    </w:p>
    <w:p>
      <w:pPr>
        <w:pStyle w:val="ListParagraph"/>
        <w:numPr>
          <w:ilvl w:val="0"/>
          <w:numId w:val="2"/>
        </w:numPr>
        <w:spacing w:after="80" w:line="240"/>
      </w:pPr>
      <w:r>
        <w:rPr>
          <w:rFonts w:ascii="Times New Roman" w:cs="Times New Roman" w:eastAsia="Times New Roman" w:hAnsi="Times New Roman"/>
          <w:b w:val="false"/>
          <w:bCs w:val="false"/>
          <w:sz w:val="20"/>
          <w:szCs w:val="20"/>
        </w:rPr>
        <w:t xml:space="preserve">Retroalimentación y ajuste de funcionalidades según errores detectados.</w:t>
      </w:r>
    </w:p>
    <w:p>
      <w:pPr>
        <w:spacing w:after="120" w:line="240"/>
        <w:jc w:val="both"/>
      </w:pPr>
      <w:r>
        <w:rPr>
          <w:rFonts w:ascii="Times New Roman" w:cs="Times New Roman" w:eastAsia="Times New Roman" w:hAnsi="Times New Roman"/>
          <w:b w:val="false"/>
          <w:bCs w:val="false"/>
          <w:i w:val="false"/>
          <w:iCs w:val="false"/>
          <w:color w:val="000000"/>
          <w:sz w:val="20"/>
          <w:szCs w:val="20"/>
        </w:rPr>
        <w:t xml:space="preserve"/>
      </w:r>
    </w:p>
    <w:p>
      <w:pPr>
        <w:pBdr>
          <w:bottom w:val="single" w:color="287840" w:sz="6"/>
        </w:pBdr>
        <w:spacing w:after="160"/>
      </w:pPr>
    </w:p>
    <w:p>
      <w:pPr>
        <w:spacing w:after="120" w:before="240" w:line="240"/>
        <w:jc w:val="center"/>
      </w:pPr>
      <w:r>
        <w:rPr>
          <w:rFonts w:ascii="Times New Roman" w:cs="Times New Roman" w:eastAsia="Times New Roman" w:hAnsi="Times New Roman"/>
          <w:b/>
          <w:bCs/>
          <w:smallCaps/>
          <w:color w:val="287840"/>
          <w:sz w:val="20"/>
          <w:szCs w:val="20"/>
        </w:rPr>
        <w:t xml:space="preserve">VII.  Resultados Preliminares</w:t>
      </w:r>
    </w:p>
    <w:p>
      <w:pPr>
        <w:spacing w:after="120" w:line="240"/>
        <w:jc w:val="both"/>
      </w:pPr>
      <w:r>
        <w:rPr>
          <w:rFonts w:ascii="Times New Roman" w:cs="Times New Roman" w:eastAsia="Times New Roman" w:hAnsi="Times New Roman"/>
          <w:b w:val="false"/>
          <w:bCs w:val="false"/>
          <w:i w:val="false"/>
          <w:iCs w:val="false"/>
          <w:color w:val="000000"/>
          <w:sz w:val="20"/>
          <w:szCs w:val="20"/>
        </w:rPr>
        <w:t xml:space="preserve">La aplicación se encuentra en fase de desarrollo activo. Los módulos completados han sido probados satisfactoriamente en entorno de escritorio. Se identificaron y resolvieron los siguientes aspectos durante las iteraciones:</w:t>
      </w:r>
    </w:p>
    <w:p>
      <w:pPr>
        <w:pStyle w:val="ListParagraph"/>
        <w:numPr>
          <w:ilvl w:val="0"/>
          <w:numId w:val="2"/>
        </w:numPr>
        <w:spacing w:after="80" w:line="240"/>
      </w:pPr>
      <w:r>
        <w:rPr>
          <w:rFonts w:ascii="Times New Roman" w:cs="Times New Roman" w:eastAsia="Times New Roman" w:hAnsi="Times New Roman"/>
          <w:b w:val="false"/>
          <w:bCs w:val="false"/>
          <w:sz w:val="20"/>
          <w:szCs w:val="20"/>
        </w:rPr>
        <w:t xml:space="preserve">Manejo de errores HTTP 401 por expiración de API key (documentado y corregido mediante regeneración en consola de Groq).</w:t>
      </w:r>
    </w:p>
    <w:p>
      <w:pPr>
        <w:pStyle w:val="ListParagraph"/>
        <w:numPr>
          <w:ilvl w:val="0"/>
          <w:numId w:val="2"/>
        </w:numPr>
        <w:spacing w:after="80" w:line="240"/>
      </w:pPr>
      <w:r>
        <w:rPr>
          <w:rFonts w:ascii="Times New Roman" w:cs="Times New Roman" w:eastAsia="Times New Roman" w:hAnsi="Times New Roman"/>
          <w:b w:val="false"/>
          <w:bCs w:val="false"/>
          <w:sz w:val="20"/>
          <w:szCs w:val="20"/>
        </w:rPr>
        <w:t xml:space="preserve">Validación de entradas numéricas con filtros de expresión regular en campos de notas.</w:t>
      </w:r>
    </w:p>
    <w:p>
      <w:pPr>
        <w:pStyle w:val="ListParagraph"/>
        <w:numPr>
          <w:ilvl w:val="0"/>
          <w:numId w:val="2"/>
        </w:numPr>
        <w:spacing w:after="80" w:line="240"/>
      </w:pPr>
      <w:r>
        <w:rPr>
          <w:rFonts w:ascii="Times New Roman" w:cs="Times New Roman" w:eastAsia="Times New Roman" w:hAnsi="Times New Roman"/>
          <w:b w:val="false"/>
          <w:bCs w:val="false"/>
          <w:sz w:val="20"/>
          <w:szCs w:val="20"/>
        </w:rPr>
        <w:t xml:space="preserve">Detección de respuestas ilegibles antes del llamado a la API, reduciendo consumo innecesario de tokens.</w:t>
      </w:r>
    </w:p>
    <w:p>
      <w:pPr>
        <w:pStyle w:val="ListParagraph"/>
        <w:numPr>
          <w:ilvl w:val="0"/>
          <w:numId w:val="2"/>
        </w:numPr>
        <w:spacing w:after="80" w:line="240"/>
      </w:pPr>
      <w:r>
        <w:rPr>
          <w:rFonts w:ascii="Times New Roman" w:cs="Times New Roman" w:eastAsia="Times New Roman" w:hAnsi="Times New Roman"/>
          <w:b w:val="false"/>
          <w:bCs w:val="false"/>
          <w:sz w:val="20"/>
          <w:szCs w:val="20"/>
        </w:rPr>
        <w:t xml:space="preserve">Corrección de notas erradas sin necesidad de cerrar sesión, mediante ruta dedicada.</w:t>
      </w:r>
    </w:p>
    <w:p>
      <w:pPr>
        <w:spacing w:after="120" w:line="240"/>
        <w:jc w:val="both"/>
      </w:pPr>
      <w:r>
        <w:rPr>
          <w:rFonts w:ascii="Times New Roman" w:cs="Times New Roman" w:eastAsia="Times New Roman" w:hAnsi="Times New Roman"/>
          <w:b w:val="false"/>
          <w:bCs w:val="false"/>
          <w:i w:val="false"/>
          <w:iCs w:val="false"/>
          <w:color w:val="000000"/>
          <w:sz w:val="20"/>
          <w:szCs w:val="20"/>
        </w:rPr>
        <w:t xml:space="preserve"/>
      </w:r>
    </w:p>
    <w:p>
      <w:pPr>
        <w:pBdr>
          <w:bottom w:val="single" w:color="287840" w:sz="6"/>
        </w:pBdr>
        <w:spacing w:after="160"/>
      </w:pPr>
    </w:p>
    <w:p>
      <w:pPr>
        <w:spacing w:after="120" w:before="240" w:line="240"/>
        <w:jc w:val="center"/>
      </w:pPr>
      <w:r>
        <w:rPr>
          <w:rFonts w:ascii="Times New Roman" w:cs="Times New Roman" w:eastAsia="Times New Roman" w:hAnsi="Times New Roman"/>
          <w:b/>
          <w:bCs/>
          <w:smallCaps/>
          <w:color w:val="287840"/>
          <w:sz w:val="20"/>
          <w:szCs w:val="20"/>
        </w:rPr>
        <w:t xml:space="preserve">VIII.  Conclusiones</w:t>
      </w:r>
    </w:p>
    <w:p>
      <w:pPr>
        <w:spacing w:after="120" w:line="240"/>
        <w:jc w:val="both"/>
      </w:pPr>
      <w:r>
        <w:rPr>
          <w:rFonts w:ascii="Times New Roman" w:cs="Times New Roman" w:eastAsia="Times New Roman" w:hAnsi="Times New Roman"/>
          <w:b w:val="false"/>
          <w:bCs w:val="false"/>
          <w:i w:val="false"/>
          <w:iCs w:val="false"/>
          <w:color w:val="000000"/>
          <w:sz w:val="20"/>
          <w:szCs w:val="20"/>
        </w:rPr>
        <w:t xml:space="preserve">El proyecto demuestra la viabilidad de integrar modelos de lenguaje de gran escala en herramientas de orientación vocacional para instituciones técnicas de educación media. La combinación de datos cuantitativos (promedios) con análisis cualitativo (respuestas abiertas evaluadas por IA) produce recomendaciones más completas que los métodos tradicionales.</w:t>
      </w:r>
    </w:p>
    <w:p>
      <w:pPr>
        <w:spacing w:after="120" w:line="240"/>
        <w:jc w:val="both"/>
      </w:pPr>
      <w:r>
        <w:rPr>
          <w:rFonts w:ascii="Times New Roman" w:cs="Times New Roman" w:eastAsia="Times New Roman" w:hAnsi="Times New Roman"/>
          <w:b w:val="false"/>
          <w:bCs w:val="false"/>
          <w:i w:val="false"/>
          <w:iCs w:val="false"/>
          <w:color w:val="000000"/>
          <w:sz w:val="20"/>
          <w:szCs w:val="20"/>
        </w:rPr>
        <w:t xml:space="preserve">Los avances logrados cubren el ciclo completo: desde la autenticación hasta la presentación de resultados, con validaciones robustas y experiencia de usuario cuidada. Las próximas iteraciones se enfocarán en pruebas con usuarios reales, ajuste del prompt de orientación y generación de reportes para docentes.</w:t>
      </w:r>
    </w:p>
    <w:p>
      <w:pPr>
        <w:pBdr>
          <w:bottom w:val="single" w:color="287840" w:sz="6"/>
        </w:pBdr>
        <w:spacing w:after="160"/>
      </w:pPr>
    </w:p>
    <w:p>
      <w:pPr>
        <w:spacing w:after="120" w:before="240" w:line="240"/>
        <w:jc w:val="center"/>
      </w:pPr>
      <w:r>
        <w:rPr>
          <w:rFonts w:ascii="Times New Roman" w:cs="Times New Roman" w:eastAsia="Times New Roman" w:hAnsi="Times New Roman"/>
          <w:b/>
          <w:bCs/>
          <w:smallCaps/>
          <w:color w:val="287840"/>
          <w:sz w:val="20"/>
          <w:szCs w:val="20"/>
        </w:rPr>
        <w:t xml:space="preserve">Referencias</w:t>
      </w:r>
    </w:p>
    <w:p>
      <w:pPr>
        <w:spacing w:after="80" w:line="240"/>
        <w:jc w:val="both"/>
      </w:pPr>
      <w:r>
        <w:rPr>
          <w:rFonts w:ascii="Times New Roman" w:cs="Times New Roman" w:eastAsia="Times New Roman" w:hAnsi="Times New Roman"/>
          <w:b w:val="false"/>
          <w:bCs w:val="false"/>
          <w:i w:val="false"/>
          <w:iCs w:val="false"/>
          <w:color w:val="000000"/>
          <w:sz w:val="20"/>
          <w:szCs w:val="20"/>
        </w:rPr>
        <w:t xml:space="preserve">[1] Flet. (2024). Flet — Build multi-platform apps in Python. https://flet.dev</w:t>
      </w:r>
    </w:p>
    <w:p>
      <w:pPr>
        <w:spacing w:after="80" w:line="240"/>
        <w:jc w:val="both"/>
      </w:pPr>
      <w:r>
        <w:rPr>
          <w:rFonts w:ascii="Times New Roman" w:cs="Times New Roman" w:eastAsia="Times New Roman" w:hAnsi="Times New Roman"/>
          <w:b w:val="false"/>
          <w:bCs w:val="false"/>
          <w:i w:val="false"/>
          <w:iCs w:val="false"/>
          <w:color w:val="000000"/>
          <w:sz w:val="20"/>
          <w:szCs w:val="20"/>
        </w:rPr>
        <w:t xml:space="preserve">[2] Groq. (2024). Groq Cloud API Documentation. https://console.groq.com/docs</w:t>
      </w:r>
    </w:p>
    <w:p>
      <w:pPr>
        <w:spacing w:after="80" w:line="240"/>
        <w:jc w:val="both"/>
      </w:pPr>
      <w:r>
        <w:rPr>
          <w:rFonts w:ascii="Times New Roman" w:cs="Times New Roman" w:eastAsia="Times New Roman" w:hAnsi="Times New Roman"/>
          <w:b w:val="false"/>
          <w:bCs w:val="false"/>
          <w:i w:val="false"/>
          <w:iCs w:val="false"/>
          <w:color w:val="000000"/>
          <w:sz w:val="20"/>
          <w:szCs w:val="20"/>
        </w:rPr>
        <w:t xml:space="preserve">[3] Meta AI. (2024). LLaMA 3: Open Foundation and Fine-Tuned Chat Models. https://ai.meta.com/llama/</w:t>
      </w:r>
    </w:p>
    <w:p>
      <w:pPr>
        <w:spacing w:after="80" w:line="240"/>
        <w:jc w:val="both"/>
      </w:pPr>
      <w:r>
        <w:rPr>
          <w:rFonts w:ascii="Times New Roman" w:cs="Times New Roman" w:eastAsia="Times New Roman" w:hAnsi="Times New Roman"/>
          <w:b w:val="false"/>
          <w:bCs w:val="false"/>
          <w:i w:val="false"/>
          <w:iCs w:val="false"/>
          <w:color w:val="000000"/>
          <w:sz w:val="20"/>
          <w:szCs w:val="20"/>
        </w:rPr>
        <w:t xml:space="preserve">[4] Ministerio de Educación Nacional de Colombia. (2023). Lineamientos de educación media técnica y articulación con la educación superior. MEN.</w:t>
      </w:r>
    </w:p>
    <w:p>
      <w:pPr>
        <w:spacing w:after="80" w:line="240"/>
        <w:jc w:val="both"/>
      </w:pPr>
      <w:r>
        <w:rPr>
          <w:rFonts w:ascii="Times New Roman" w:cs="Times New Roman" w:eastAsia="Times New Roman" w:hAnsi="Times New Roman"/>
          <w:b w:val="false"/>
          <w:bCs w:val="false"/>
          <w:i w:val="false"/>
          <w:iCs w:val="false"/>
          <w:color w:val="000000"/>
          <w:sz w:val="20"/>
          <w:szCs w:val="20"/>
        </w:rPr>
        <w:t xml:space="preserve">[5] ETITC. (2024). Proyecto Educativo Institucional. Escuela Tecnológica Instituto Técnico Central, Bogotá.</w:t>
      </w:r>
    </w:p>
    <w:p>
      <w:pPr>
        <w:spacing w:after="80" w:line="240"/>
        <w:jc w:val="both"/>
      </w:pPr>
      <w:r>
        <w:rPr>
          <w:rFonts w:ascii="Times New Roman" w:cs="Times New Roman" w:eastAsia="Times New Roman" w:hAnsi="Times New Roman"/>
          <w:b w:val="false"/>
          <w:bCs w:val="false"/>
          <w:i w:val="false"/>
          <w:iCs w:val="false"/>
          <w:color w:val="000000"/>
          <w:sz w:val="20"/>
          <w:szCs w:val="20"/>
        </w:rPr>
        <w:t xml:space="preserve">[6] Brown, T. et al. (2020). Language Models are Few-Shot Learners. Advances in Neural Information Processing Systems, 33.</w:t>
      </w:r>
    </w:p>
    <w:sectPr>
      <w:headerReference w:type="default" r:id="rId7"/>
      <w:footerReference w:type="default" r:id="rId8"/>
      <w:pgSz w:w="12240" w:h="15840" w:orient="portrait"/>
      <w:pgMar w:top="1080" w:right="1080" w:bottom="1080" w:left="1080" w:header="708" w:footer="708" w:gutter="0"/>
      <w:pgNumType/>
      <w:cols w:space="720"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87840" w:sz="4"/>
      </w:pBdr>
      <w:spacing w:before="80"/>
      <w:jc w:val="center"/>
    </w:pPr>
    <w:r>
      <w:rPr>
        <w:rFonts w:ascii="Times New Roman" w:cs="Times New Roman" w:eastAsia="Times New Roman" w:hAnsi="Times New Roman"/>
        <w:color w:val="595959"/>
        <w:sz w:val="16"/>
        <w:szCs w:val="16"/>
      </w:rPr>
      <w:t xml:space="preserve">Pág. </w:t>
    </w:r>
    <w:r>
      <w:rPr>
        <w:rFonts w:ascii="Times New Roman" w:cs="Times New Roman" w:eastAsia="Times New Roman" w:hAnsi="Times New Roman"/>
        <w:color w:val="595959"/>
        <w:sz w:val="16"/>
        <w:szCs w:val="16"/>
      </w:rPr>
      <w:fldChar w:fldCharType="begin"/>
      <w:instrText xml:space="preserve">PAGE</w:instrText>
      <w:fldChar w:fldCharType="separate"/>
      <w:fldChar w:fldCharType="end"/>
    </w:r>
    <w:r>
      <w:rPr>
        <w:rFonts w:ascii="Times New Roman" w:cs="Times New Roman" w:eastAsia="Times New Roman" w:hAnsi="Times New Roman"/>
        <w:color w:val="595959"/>
        <w:sz w:val="16"/>
        <w:szCs w:val="16"/>
      </w:rPr>
      <w:t xml:space="preserve"> de </w:t>
    </w:r>
    <w:r>
      <w:rPr>
        <w:rFonts w:ascii="Times New Roman" w:cs="Times New Roman" w:eastAsia="Times New Roman" w:hAnsi="Times New Roman"/>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87840" w:sz="4"/>
      </w:pBdr>
      <w:spacing w:after="80"/>
      <w:jc w:val="center"/>
    </w:pPr>
    <w:r>
      <w:rPr>
        <w:rFonts w:ascii="Times New Roman" w:cs="Times New Roman" w:eastAsia="Times New Roman" w:hAnsi="Times New Roman"/>
        <w:i/>
        <w:iCs/>
        <w:color w:val="595959"/>
        <w:sz w:val="16"/>
        <w:szCs w:val="16"/>
      </w:rPr>
      <w:t xml:space="preserve">ESCUELA TECNOLÓGICA INSTITUTO TÉCNICO CENTRAL (ETITC) —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2026-05-27T01:35:03.275Z</dcterms:created>
  <dcterms:modified xsi:type="dcterms:W3CDTF">2026-05-27T01:35:03.275Z</dcterms:modified>
</cp:coreProperties>
</file>

<file path=docProps/custom.xml><?xml version="1.0" encoding="utf-8"?>
<Properties xmlns="http://schemas.openxmlformats.org/officeDocument/2006/custom-properties" xmlns:vt="http://schemas.openxmlformats.org/officeDocument/2006/docPropsVTypes"/>
</file>