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7D2A4C"/>
          <w:sz w:val="32"/>
          <w:szCs w:val="32"/>
        </w:rPr>
        <w:t xml:space="preserve">COTIZACIÓN / PROFORMA</w:t>
      </w:r>
    </w:p>
    <w:p>
      <w:pPr>
        <w:spacing w:after="200"/>
      </w:pPr>
      <w:r>
        <w:rPr>
          <w:rFonts w:ascii="Arial" w:cs="Arial" w:eastAsia="Arial" w:hAnsi="Arial"/>
          <w:color w:val="6B5A62"/>
          <w:sz w:val="21"/>
          <w:szCs w:val="21"/>
        </w:rPr>
        <w:t xml:space="preserve">Servicio SIVEC PAP/VPH · sistema de información para el seguimiento del tamizaje de cáncer de cuello uterino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 w:val="false"/>
        </w:trPr>
        <w:tc>
          <w:tcPr>
            <w:tcW w:type="dxa" w:w="23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N° de cotización</w:t>
            </w:r>
          </w:p>
        </w:tc>
        <w:tc>
          <w:tcPr>
            <w:tcW w:type="dxa" w:w="67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FSD-COT-2026-[N°]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Fecha</w:t>
            </w:r>
          </w:p>
        </w:tc>
        <w:tc>
          <w:tcPr>
            <w:tcW w:type="dxa" w:w="67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[día] de [mes] de 2026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Validez de la oferta</w:t>
            </w:r>
          </w:p>
        </w:tc>
        <w:tc>
          <w:tcPr>
            <w:tcW w:type="dxa" w:w="67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 días calendario desde la fecha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Entidad</w:t>
            </w:r>
          </w:p>
        </w:tc>
        <w:tc>
          <w:tcPr>
            <w:tcW w:type="dxa" w:w="67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[Gobierno Autónomo Municipal / SEDES / Red de salud]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Atención</w:t>
            </w:r>
          </w:p>
        </w:tc>
        <w:tc>
          <w:tcPr>
            <w:tcW w:type="dxa" w:w="67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[Nombre y cargo]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Alcance</w:t>
            </w:r>
          </w:p>
        </w:tc>
        <w:tc>
          <w:tcPr>
            <w:tcW w:type="dxa" w:w="67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 Centro (9 centros de 1er nivel, 1 hospital de 2º nivel) e Instituto Oncológico con su laboratorio</w:t>
            </w:r>
          </w:p>
        </w:tc>
      </w:tr>
    </w:tbl>
    <w:p>
      <w:pPr>
        <w:pBdr>
          <w:bottom w:val="single" w:color="D9C2CC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7D2A4C"/>
          <w:sz w:val="24"/>
          <w:szCs w:val="24"/>
        </w:rPr>
        <w:t xml:space="preserve">1. Detalle y precios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26"/>
        <w:gridCol w:w="700"/>
        <w:gridCol w:w="1350"/>
        <w:gridCol w:w="1600"/>
        <w:gridCol w:w="1550"/>
      </w:tblGrid>
      <w:tr>
        <w:trPr>
          <w:tblHeader/>
        </w:trPr>
        <w:tc>
          <w:tcPr>
            <w:tcW w:type="dxa" w:w="6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shd w:fill="7D2A4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Ítem</w:t>
            </w:r>
          </w:p>
        </w:tc>
        <w:tc>
          <w:tcPr>
            <w:tcW w:type="dxa" w:w="32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shd w:fill="7D2A4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Establecimiento</w:t>
            </w:r>
          </w:p>
        </w:tc>
        <w:tc>
          <w:tcPr>
            <w:tcW w:type="dxa" w:w="7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shd w:fill="7D2A4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Cant.</w:t>
            </w:r>
          </w:p>
        </w:tc>
        <w:tc>
          <w:tcPr>
            <w:tcW w:type="dxa" w:w="135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shd w:fill="7D2A4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Mensualidad c/u</w:t>
            </w:r>
          </w:p>
        </w:tc>
        <w:tc>
          <w:tcPr>
            <w:tcW w:type="dxa" w:w="16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shd w:fill="7D2A4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Mensualidad total</w:t>
            </w:r>
          </w:p>
        </w:tc>
        <w:tc>
          <w:tcPr>
            <w:tcW w:type="dxa" w:w="155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shd w:fill="7D2A4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Implantación (única)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1er nivel sin colposcopía ni biopsia</w:t>
            </w:r>
          </w:p>
        </w:tc>
        <w:tc>
          <w:tcPr>
            <w:tcW w:type="dxa" w:w="7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35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US$ 120</w:t>
            </w:r>
          </w:p>
        </w:tc>
        <w:tc>
          <w:tcPr>
            <w:tcW w:type="dxa" w:w="16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US$ 960</w:t>
            </w:r>
          </w:p>
        </w:tc>
        <w:tc>
          <w:tcPr>
            <w:tcW w:type="dxa" w:w="155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US$ 1.800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1er nivel con colposcopía y biopsia</w:t>
            </w:r>
          </w:p>
        </w:tc>
        <w:tc>
          <w:tcPr>
            <w:tcW w:type="dxa" w:w="7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US$ 270</w:t>
            </w:r>
          </w:p>
        </w:tc>
        <w:tc>
          <w:tcPr>
            <w:tcW w:type="dxa" w:w="16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US$ 270</w:t>
            </w:r>
          </w:p>
        </w:tc>
        <w:tc>
          <w:tcPr>
            <w:tcW w:type="dxa" w:w="155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US$ 225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2º nivel (hospital)</w:t>
            </w:r>
          </w:p>
        </w:tc>
        <w:tc>
          <w:tcPr>
            <w:tcW w:type="dxa" w:w="7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US$ 275</w:t>
            </w:r>
          </w:p>
        </w:tc>
        <w:tc>
          <w:tcPr>
            <w:tcW w:type="dxa" w:w="16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US$ 275</w:t>
            </w:r>
          </w:p>
        </w:tc>
        <w:tc>
          <w:tcPr>
            <w:tcW w:type="dxa" w:w="155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US$ 525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3er / 4º nivel y laboratorio de citología PAP / VPH (Instituto Oncológico)</w:t>
            </w:r>
          </w:p>
        </w:tc>
        <w:tc>
          <w:tcPr>
            <w:tcW w:type="dxa" w:w="7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US$ 521</w:t>
            </w:r>
          </w:p>
        </w:tc>
        <w:tc>
          <w:tcPr>
            <w:tcW w:type="dxa" w:w="16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US$ 521</w:t>
            </w:r>
          </w:p>
        </w:tc>
        <w:tc>
          <w:tcPr>
            <w:tcW w:type="dxa" w:w="155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US$ 575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shd w:fill="F7E2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2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shd w:fill="F7E2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TOTALES (mensualidad por mes · implantación única)</w:t>
            </w:r>
          </w:p>
        </w:tc>
        <w:tc>
          <w:tcPr>
            <w:tcW w:type="dxa" w:w="7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shd w:fill="F7E2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135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shd w:fill="F7E2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shd w:fill="F7E2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US$ 2.026 · Bs 14.100,96</w:t>
            </w:r>
          </w:p>
        </w:tc>
        <w:tc>
          <w:tcPr>
            <w:tcW w:type="dxa" w:w="155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shd w:fill="F7E2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US$ 3.125 · Bs 21.750,00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Opcional: </w:t>
      </w:r>
      <w:r>
        <w:rPr>
          <w:rFonts w:ascii="Arial" w:cs="Arial" w:eastAsia="Arial" w:hAnsi="Arial"/>
          <w:sz w:val="21"/>
          <w:szCs w:val="21"/>
        </w:rPr>
        <w:t xml:space="preserve">tablero de la red y administración (gestor de red, mapa y metas): US$ 250 por mes por red (Bs 1.740,00) + US$ 275 de implantación (Bs 1.914,00).</w:t>
      </w:r>
    </w:p>
    <w:p>
      <w:pPr>
        <w:pBdr>
          <w:bottom w:val="single" w:color="D9C2CC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7D2A4C"/>
          <w:sz w:val="24"/>
          <w:szCs w:val="24"/>
        </w:rPr>
        <w:t xml:space="preserve">2. Resumen económico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000"/>
        <w:gridCol w:w="2000"/>
      </w:tblGrid>
      <w:tr>
        <w:trPr>
          <w:tblHeader/>
        </w:trPr>
        <w:tc>
          <w:tcPr>
            <w:tcW w:type="dxa" w:w="50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shd w:fill="7D2A4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20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shd w:fill="7D2A4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US$</w:t>
            </w:r>
          </w:p>
        </w:tc>
        <w:tc>
          <w:tcPr>
            <w:tcW w:type="dxa" w:w="20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shd w:fill="7D2A4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Bolivianos</w:t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Mensualidad del servicio</w:t>
            </w:r>
          </w:p>
        </w:tc>
        <w:tc>
          <w:tcPr>
            <w:tcW w:type="dxa" w:w="20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US$ 2.026</w:t>
            </w:r>
          </w:p>
        </w:tc>
        <w:tc>
          <w:tcPr>
            <w:tcW w:type="dxa" w:w="20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Bs 14.100,96</w:t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anual (12 meses)</w:t>
            </w:r>
          </w:p>
        </w:tc>
        <w:tc>
          <w:tcPr>
            <w:tcW w:type="dxa" w:w="20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US$ 24.312</w:t>
            </w:r>
          </w:p>
        </w:tc>
        <w:tc>
          <w:tcPr>
            <w:tcW w:type="dxa" w:w="20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Bs 169.211,52</w:t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Implantación (pago único)</w:t>
            </w:r>
          </w:p>
        </w:tc>
        <w:tc>
          <w:tcPr>
            <w:tcW w:type="dxa" w:w="20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US$ 3.125</w:t>
            </w:r>
          </w:p>
        </w:tc>
        <w:tc>
          <w:tcPr>
            <w:tcW w:type="dxa" w:w="20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Bs 21.750,00</w:t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shd w:fill="F7E2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PRIMER AÑO (12 mensualidades + implantación)</w:t>
            </w:r>
          </w:p>
        </w:tc>
        <w:tc>
          <w:tcPr>
            <w:tcW w:type="dxa" w:w="20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shd w:fill="F7E2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US$ 27.437</w:t>
            </w:r>
          </w:p>
        </w:tc>
        <w:tc>
          <w:tcPr>
            <w:tcW w:type="dxa" w:w="20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shd w:fill="F7E2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Bs 190.961,52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color w:val="6B5A62"/>
          <w:sz w:val="18"/>
          <w:szCs w:val="18"/>
        </w:rPr>
        <w:t xml:space="preserve">Tipo de cambio oficial: Bs 6,96 por dólar. Precios con impuestos de ley incluidos (se emite factura).</w:t>
      </w:r>
    </w:p>
    <w:p>
      <w:pPr>
        <w:pBdr>
          <w:bottom w:val="single" w:color="D9C2CC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7D2A4C"/>
          <w:sz w:val="24"/>
          <w:szCs w:val="24"/>
        </w:rPr>
        <w:t xml:space="preserve">3. Qué incluye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Uso del sistema por todo el personal autorizado de cada establecimiento, sin límite de usuarios.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Registro de tomas, lotes con código, recepción e informe del laboratorio con firma, resultados en la ficha, seguimiento de positivas, referencia y contrarreferencia, colposcopía con mapa del cuello, modo campaña y reportes para el SNIS.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Alojamiento en la nube, copias de seguridad diarias y copia semanal en otro proveedor, cifrado y registro de accesos.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Implantación: configuración de establecimientos y cuentas, capacitación en cada establecimiento y acompañamiento las primeras semanas.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Soporte técnico en horario hábil; urgencias (sistema caído) con respuesta en hasta 1 hora. Actualizaciones y mejoras sin costo adicional.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Los datos son de la entidad: exportación en cualquier momento y entrega en formato abierto (CSV y SQL) al terminar el contrato.</w:t>
      </w:r>
    </w:p>
    <w:p>
      <w:pPr>
        <w:pBdr>
          <w:bottom w:val="single" w:color="D9C2CC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7D2A4C"/>
          <w:sz w:val="24"/>
          <w:szCs w:val="24"/>
        </w:rPr>
        <w:t xml:space="preserve">4. Qué no incluye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Computadoras, impresoras, lectores de código de barras e internet de los establecimientos.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Un celular propio por establecimiento para el contacto por WhatsApp con las pacientes (recomendado).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Integraciones con otros sistemas distintas de la exportación estándar de datos (se cotizan aparte).</w:t>
      </w:r>
    </w:p>
    <w:p>
      <w:pPr>
        <w:pBdr>
          <w:bottom w:val="single" w:color="D9C2CC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7D2A4C"/>
          <w:sz w:val="24"/>
          <w:szCs w:val="24"/>
        </w:rPr>
        <w:t xml:space="preserve">5. Condiciones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Plazo de implantación: hasta 3 semanas desde la firma del contrato para los 11 establecimientos.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Forma de pago: mensualidad vencida, contra informe mensual de servicio y conformidad de la entidad; implantación al finalizar la capacitación de todos los establecimientos.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Vigencia sugerida: 12 meses, con evaluación de indicadores a los 3 meses.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La contratación se realiza conforme a las NB-SABS en la modalidad que corresponda al monto (referencia: ANPE).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______________________________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[Nombre del representante legal]</w:t>
      </w:r>
    </w:p>
    <w:p>
      <w:pPr>
        <w:spacing w:after="120" w:line="276"/>
      </w:pPr>
      <w:r>
        <w:rPr>
          <w:rFonts w:ascii="Arial" w:cs="Arial" w:eastAsia="Arial" w:hAnsi="Arial"/>
          <w:color w:val="6B5A62"/>
          <w:sz w:val="21"/>
          <w:szCs w:val="21"/>
        </w:rPr>
        <w:t xml:space="preserve">Representante legal · Ferreira Salud Digital S.R.L.</w:t>
      </w:r>
    </w:p>
    <w:sectPr>
      <w:headerReference w:type="default" r:id="rId7"/>
      <w:footerReference w:type="default" r:id="rId8"/>
      <w:pgSz w:w="11906" w:h="16838" w:orient="portrait"/>
      <w:pgMar w:top="1900" w:right="1440" w:bottom="1300" w:left="144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2CC" w:sz="4" w:space="4"/>
      </w:pBdr>
      <w:jc w:val="center"/>
    </w:pPr>
    <w:r>
      <w:rPr>
        <w:rFonts w:ascii="Arial" w:cs="Arial" w:eastAsia="Arial" w:hAnsi="Arial"/>
        <w:color w:val="6B5A62"/>
        <w:sz w:val="15"/>
        <w:szCs w:val="15"/>
      </w:rPr>
      <w:t xml:space="preserve">Ferreira Salud Digital S.R.L. · Documento comercial · Página </w:t>
    </w:r>
    <w:r>
      <w:rPr>
        <w:rFonts w:ascii="Arial" w:cs="Arial" w:eastAsia="Arial" w:hAnsi="Arial"/>
        <w:color w:val="6B5A6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5A62"/>
        <w:sz w:val="15"/>
        <w:szCs w:val="15"/>
      </w:rPr>
      <w:t xml:space="preserve"> de </w:t>
    </w:r>
    <w:r>
      <w:rPr>
        <w:rFonts w:ascii="Arial" w:cs="Arial" w:eastAsia="Arial" w:hAnsi="Arial"/>
        <w:color w:val="6B5A6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0"/>
      <w:gridCol w:w="8026"/>
    </w:tblGrid>
    <w:tr>
      <w:tc>
        <w:tcPr>
          <w:tcW w:type="dxa" w:w="1000"/>
          <w:tcBorders>
            <w:top w:val="none"/>
            <w:left w:val="none"/>
            <w:bottom w:val="none"/>
            <w:right w:val="none"/>
          </w:tcBorders>
        </w:tcPr>
        <w:p>
          <w:r>
            <w:drawing>
              <wp:inline distT="0" distB="0" distL="0" distR="0">
                <wp:extent cx="476250" cy="476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26"/>
          <w:tcBorders>
            <w:top w:val="none"/>
            <w:left w:val="none"/>
            <w:bottom w:val="none"/>
            <w:right w:val="none"/>
          </w:tcBorders>
        </w:tcPr>
        <w:p>
          <w:pPr>
            <w:spacing w:after="20"/>
          </w:pPr>
          <w:r>
            <w:rPr>
              <w:rFonts w:ascii="Arial" w:cs="Arial" w:eastAsia="Arial" w:hAnsi="Arial"/>
              <w:b/>
              <w:bCs/>
              <w:color w:val="7D2A4C"/>
              <w:spacing w:val="20"/>
              <w:sz w:val="26"/>
              <w:szCs w:val="26"/>
            </w:rPr>
            <w:t xml:space="preserve">FERREIRA SALUD DIGITAL S.R.L.</w:t>
          </w:r>
        </w:p>
        <w:p>
          <w:pPr>
            <w:spacing w:after="20"/>
          </w:pPr>
          <w:r>
            <w:rPr>
              <w:rFonts w:ascii="Arial" w:cs="Arial" w:eastAsia="Arial" w:hAnsi="Arial"/>
              <w:color w:val="6B5A62"/>
              <w:sz w:val="17"/>
              <w:szCs w:val="17"/>
            </w:rPr>
            <w:t xml:space="preserve">Tecnología para la salud · creadores del SIVEC PAP/VPH</w:t>
          </w:r>
        </w:p>
        <w:p>
          <w:r>
            <w:rPr>
              <w:rFonts w:ascii="Arial" w:cs="Arial" w:eastAsia="Arial" w:hAnsi="Arial"/>
              <w:color w:val="6B5A62"/>
              <w:sz w:val="16"/>
              <w:szCs w:val="16"/>
            </w:rPr>
            <w:t xml:space="preserve">Santa Cruz de la Sierra – Bolivia · NIT [en trámite] · [correo de la empresa] · [teléfono]</w:t>
          </w:r>
        </w:p>
      </w:tc>
    </w:tr>
  </w:tbl>
  <w:p>
    <w:pPr>
      <w:pBdr>
        <w:bottom w:val="single" w:color="7D2A4C" w:sz="8" w:space="4"/>
      </w:pBdr>
      <w:spacing w:after="200"/>
    </w:pPr>
    <w:r>
      <w:rPr>
        <w:rFonts w:ascii="Arial" w:cs="Arial" w:eastAsia="Arial" w:hAnsi="Arial"/>
        <w:color w:val="6B5A62"/>
        <w:sz w:val="16"/>
        <w:szCs w:val="16"/>
      </w:rPr>
      <w:t xml:space="preserve">Cotización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4434039a04c1c57612591f64aede2ae3f959f0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Ferreira Salud Digital S.R.L.</dc:creator>
  <cp:lastModifiedBy>Un-named</cp:lastModifiedBy>
  <cp:revision>1</cp:revision>
  <dcterms:created xsi:type="dcterms:W3CDTF">2026-09-30T09:02:34.574Z</dcterms:created>
  <dcterms:modified xsi:type="dcterms:W3CDTF">2026-09-30T09:02:34.574Z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