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7D2A4C"/>
          <w:sz w:val="32"/>
          <w:szCs w:val="32"/>
        </w:rPr>
        <w:t xml:space="preserve">FICHA TÉCNICA DE REFERENCIA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Servicio de sistema de información para el seguimiento del tamizaje de cáncer de cuello uterino</w:t>
      </w:r>
    </w:p>
    <w:p>
      <w:pPr>
        <w:pBdr>
          <w:left w:val="single" w:color="7D2A4C" w:sz="18" w:space="8"/>
        </w:pBdr>
        <w:shd w:fill="F7E2EA" w:color="auto" w:val="clear"/>
        <w:spacing w:after="20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Documento de referencia, no vinculante, preparado para ayudar a la entidad a describir la necesidad. Las especificaciones técnicas oficiales las define y aprueba la entidad contratante. Se redacta en términos funcionales, sin marcas ni tecnologías exclusivas, para permitir la participación de cualquier proveedor que cumpla.</w:t>
      </w:r>
    </w:p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1. Objeto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Contar con un servicio de sistema de información, en la nube y accesible desde el navegador, que acompañe el tamizaje de cáncer de cuello uterino desde la toma de la muestra hasta el tratamiento y el control, en los establecimientos de 1er, 2º, 3er y 4º nivel y en los laboratorios de citología y VPH de la red.</w:t>
      </w:r>
    </w:p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2. Problema que resuelve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Tiempos de espera del resultado prolongados y resultados que no llegan a la mujer.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Mujeres con resultado positivo sin seguimiento ni tratamiento documentado.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Muestras y resultados en papel (libros, listas y sobres) con pérdidas y duplicación de registros.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Informes al SNIS armados a mano.</w:t>
      </w:r>
    </w:p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3. Alcance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[Número] establecimientos de 1er nivel (de ellos [número] con colposcopía), [número] hospitales de 2º nivel, [número] de 3er/4º nivel y [número] laboratorios, de la [red / municipio / departamento].</w:t>
      </w:r>
    </w:p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4. Requisitos funcionales mínimos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rPr>
          <w:tblHeader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7D2A4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84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7D2A4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</w:t>
            </w:r>
          </w:p>
        </w:tc>
        <w:tc>
          <w:tcPr>
            <w:tcW w:type="dxa" w:w="84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de la mujer y de la toma (PAP convencional, VPH por profesional y autotoma) con datos de identificación, edad, contacto, cobertura y consentimiento.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F2</w:t>
            </w:r>
          </w:p>
        </w:tc>
        <w:tc>
          <w:tcPr>
            <w:tcW w:type="dxa" w:w="84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Armado de lotes de muestras con identificación única por muestra (código de barras o equivalente) y registro de envío y recepción.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F3</w:t>
            </w:r>
          </w:p>
        </w:tc>
        <w:tc>
          <w:tcPr>
            <w:tcW w:type="dxa" w:w="84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Módulo de laboratorio: recepción del lote, rechazo de muestras con motivo, informe de citología según Bethesda y de VPH con genotipo (16, 18, otros de alto riesgo o sin genotipificar), con firma del responsable.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F4</w:t>
            </w:r>
          </w:p>
        </w:tc>
        <w:tc>
          <w:tcPr>
            <w:tcW w:type="dxa" w:w="84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Resultado disponible en la ficha del establecimiento de origen al momento de su firma, con aviso de resultado nuevo y registro de su entrega a la mujer.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F5</w:t>
            </w:r>
          </w:p>
        </w:tc>
        <w:tc>
          <w:tcPr>
            <w:tcW w:type="dxa" w:w="84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Seguimiento de positivas: conducta, referencia a colposcopía, citas, inasistencias, contrarreferencia, resultado de biopsia y tratamiento.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F6</w:t>
            </w:r>
          </w:p>
        </w:tc>
        <w:tc>
          <w:tcPr>
            <w:tcW w:type="dxa" w:w="84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Registro de colposcopía: IVAA, prueba de Schiller, zona de transformación, mapa del cuello por horas, hallazgos, biopsia y tratamiento en el momento.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F7</w:t>
            </w:r>
          </w:p>
        </w:tc>
        <w:tc>
          <w:tcPr>
            <w:tcW w:type="dxa" w:w="84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Emisión de los formularios del programa (solicitud, historia clínica, referencia y contrarreferencia, receta) sin volver a escribir los datos.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F8</w:t>
            </w:r>
          </w:p>
        </w:tc>
        <w:tc>
          <w:tcPr>
            <w:tcW w:type="dxa" w:w="84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Informe mensual para el SNIS por grupo de edad y análisis de indicadores para el Comité de Análisis de Información (CAI).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F9</w:t>
            </w:r>
          </w:p>
        </w:tc>
        <w:tc>
          <w:tcPr>
            <w:tcW w:type="dxa" w:w="84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Tablero de la red: metas, cobertura, tiempos, positivas sin tratamiento y comparación entre establecimientos.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F10</w:t>
            </w:r>
          </w:p>
        </w:tc>
        <w:tc>
          <w:tcPr>
            <w:tcW w:type="dxa" w:w="84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Funcionamiento en jornadas de tamizaje masivo (campañas) con recepción, consultorio y paso de cada mujer a la ficha de su establecimiento.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F11</w:t>
            </w:r>
          </w:p>
        </w:tc>
        <w:tc>
          <w:tcPr>
            <w:tcW w:type="dxa" w:w="8426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Continuidad del registro ante cortes de internet, con envío automático al recuperar la conexión.</w:t>
            </w:r>
          </w:p>
        </w:tc>
      </w:tr>
    </w:tbl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5. Requisitos de seguridad y datos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Acceso con usuario personal y roles; cada persona ve solo lo que corresponde a su función y establecimiento.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Registro de accesos y de quién firma cada documento.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Comunicaciones cifradas; copias de seguridad diarias con prueba de restauración.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Los datos son de propiedad de la entidad; exportación en formato abierto en cualquier momento y entrega completa al finalizar el servicio.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Confidencialidad de la información clínica conforme a la normativa vigente.</w:t>
      </w:r>
    </w:p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6. Niveles de servicio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7D2A4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4513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shd w:fill="7D2A4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 mínimo sugerido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Disponibilidad mensual del sistema</w:t>
            </w:r>
          </w:p>
        </w:tc>
        <w:tc>
          <w:tcPr>
            <w:tcW w:type="dxa" w:w="4513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≥ 99,5 %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Respuesta a incidentes críticos (sistema caído)</w:t>
            </w:r>
          </w:p>
        </w:tc>
        <w:tc>
          <w:tcPr>
            <w:tcW w:type="dxa" w:w="4513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≤ 1 hora en horario hábil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Respuesta a consultas de uso</w:t>
            </w:r>
          </w:p>
        </w:tc>
        <w:tc>
          <w:tcPr>
            <w:tcW w:type="dxa" w:w="4513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≤ 1 día hábil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Copia de seguridad</w:t>
            </w:r>
          </w:p>
        </w:tc>
        <w:tc>
          <w:tcPr>
            <w:tcW w:type="dxa" w:w="4513"/>
            <w:tcBorders>
              <w:top w:val="single" w:color="D9C2CC" w:sz="4"/>
              <w:left w:val="single" w:color="D9C2CC" w:sz="4"/>
              <w:bottom w:val="single" w:color="D9C2CC" w:sz="4"/>
              <w:right w:val="single" w:color="D9C2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Diaria, con prueba de restauración periódica</w:t>
            </w:r>
          </w:p>
        </w:tc>
      </w:tr>
    </w:tbl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7. Implantación y capacitación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Configuración de establecimientos, usuarios y roles.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Capacitación presencial en cada establecimiento y material de apoyo.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Acompañamiento durante las primeras semanas de uso.</w:t>
      </w:r>
    </w:p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8. Indicadores para evaluar el servicio (a los 3 meses)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Días promedio desde la toma hasta el resultado disponible.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Porcentaje de resultados entregados a la mujer.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Porcentaje de positivas con conducta registrada, derivadas y tratadas.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Porcentaje de muestras rechazadas o insatisfactorias.</w:t>
      </w:r>
    </w:p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9. Experiencia del proveedor (sugerida)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Experiencia demostrable en la implementación de sistemas de información en salud en establecimientos del sistema público, verificable mediante certificado o carta de conformidad.</w:t>
      </w:r>
    </w:p>
    <w:p>
      <w:pPr>
        <w:pBdr>
          <w:bottom w:val="single" w:color="D9C2CC" w:sz="6" w:space="2"/>
        </w:pBdr>
        <w:spacing w:after="100" w:before="240"/>
      </w:pPr>
      <w:r>
        <w:rPr>
          <w:rFonts w:ascii="Arial" w:cs="Arial" w:eastAsia="Arial" w:hAnsi="Arial"/>
          <w:b/>
          <w:bCs/>
          <w:color w:val="7D2A4C"/>
          <w:sz w:val="24"/>
          <w:szCs w:val="24"/>
        </w:rPr>
        <w:t xml:space="preserve">10. Plazo y forma de pago sugeridos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Servicio mensual por 12 meses, con pago mensual contra informe de servicio y conformidad; implantación en un plazo máximo de [número] semanas.</w:t>
      </w:r>
    </w:p>
    <w:sectPr>
      <w:headerReference w:type="default" r:id="rId7"/>
      <w:footerReference w:type="default" r:id="rId8"/>
      <w:pgSz w:w="11906" w:h="16838" w:orient="portrait"/>
      <w:pgMar w:top="1900" w:right="1440" w:bottom="1300" w:left="1440" w:header="5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2CC" w:sz="4" w:space="4"/>
      </w:pBdr>
      <w:jc w:val="center"/>
    </w:pPr>
    <w:r>
      <w:rPr>
        <w:rFonts w:ascii="Arial" w:cs="Arial" w:eastAsia="Arial" w:hAnsi="Arial"/>
        <w:color w:val="6B5A62"/>
        <w:sz w:val="15"/>
        <w:szCs w:val="15"/>
      </w:rPr>
      <w:t xml:space="preserve">Ferreira Salud Digital S.R.L. · Documento comercial · Página </w:t>
    </w:r>
    <w:r>
      <w:rPr>
        <w:rFonts w:ascii="Arial" w:cs="Arial" w:eastAsia="Arial" w:hAnsi="Arial"/>
        <w:color w:val="6B5A6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5A62"/>
        <w:sz w:val="15"/>
        <w:szCs w:val="15"/>
      </w:rPr>
      <w:t xml:space="preserve"> de </w:t>
    </w:r>
    <w:r>
      <w:rPr>
        <w:rFonts w:ascii="Arial" w:cs="Arial" w:eastAsia="Arial" w:hAnsi="Arial"/>
        <w:color w:val="6B5A6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1000"/>
      <w:gridCol w:w="8026"/>
    </w:tblGrid>
    <w:tr>
      <w:tc>
        <w:tcPr>
          <w:tcW w:type="dxa" w:w="1000"/>
          <w:tcBorders>
            <w:top w:val="none"/>
            <w:left w:val="none"/>
            <w:bottom w:val="none"/>
            <w:right w:val="none"/>
          </w:tcBorders>
        </w:tcPr>
        <w:p>
          <w:r>
            <w:drawing>
              <wp:inline distT="0" distB="0" distL="0" distR="0">
                <wp:extent cx="476250" cy="4762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026"/>
          <w:tcBorders>
            <w:top w:val="none"/>
            <w:left w:val="none"/>
            <w:bottom w:val="none"/>
            <w:right w:val="none"/>
          </w:tcBorders>
        </w:tcPr>
        <w:p>
          <w:pPr>
            <w:spacing w:after="20"/>
          </w:pPr>
          <w:r>
            <w:rPr>
              <w:rFonts w:ascii="Arial" w:cs="Arial" w:eastAsia="Arial" w:hAnsi="Arial"/>
              <w:b/>
              <w:bCs/>
              <w:color w:val="7D2A4C"/>
              <w:spacing w:val="20"/>
              <w:sz w:val="26"/>
              <w:szCs w:val="26"/>
            </w:rPr>
            <w:t xml:space="preserve">FERREIRA SALUD DIGITAL S.R.L.</w:t>
          </w:r>
        </w:p>
        <w:p>
          <w:pPr>
            <w:spacing w:after="20"/>
          </w:pPr>
          <w:r>
            <w:rPr>
              <w:rFonts w:ascii="Arial" w:cs="Arial" w:eastAsia="Arial" w:hAnsi="Arial"/>
              <w:color w:val="6B5A62"/>
              <w:sz w:val="17"/>
              <w:szCs w:val="17"/>
            </w:rPr>
            <w:t xml:space="preserve">Tecnología para la salud · creadores del SIVEC PAP/VPH</w:t>
          </w:r>
        </w:p>
        <w:p>
          <w:r>
            <w:rPr>
              <w:rFonts w:ascii="Arial" w:cs="Arial" w:eastAsia="Arial" w:hAnsi="Arial"/>
              <w:color w:val="6B5A62"/>
              <w:sz w:val="16"/>
              <w:szCs w:val="16"/>
            </w:rPr>
            <w:t xml:space="preserve">Santa Cruz de la Sierra – Bolivia · NIT [en trámite] · [correo de la empresa] · [teléfono]</w:t>
          </w:r>
        </w:p>
      </w:tc>
    </w:tr>
  </w:tbl>
  <w:p>
    <w:pPr>
      <w:pBdr>
        <w:bottom w:val="single" w:color="7D2A4C" w:sz="8" w:space="4"/>
      </w:pBdr>
      <w:spacing w:after="200"/>
    </w:pPr>
    <w:r>
      <w:rPr>
        <w:rFonts w:ascii="Arial" w:cs="Arial" w:eastAsia="Arial" w:hAnsi="Arial"/>
        <w:color w:val="6B5A62"/>
        <w:sz w:val="16"/>
        <w:szCs w:val="16"/>
      </w:rPr>
      <w:t xml:space="preserve">Ficha técnica de referencia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4434039a04c1c57612591f64aede2ae3f959f0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Ferreira Salud Digital S.R.L.</dc:creator>
  <cp:lastModifiedBy>Un-named</cp:lastModifiedBy>
  <cp:revision>1</cp:revision>
  <dcterms:created xsi:type="dcterms:W3CDTF">2026-09-30T09:02:34.579Z</dcterms:created>
  <dcterms:modified xsi:type="dcterms:W3CDTF">2026-09-30T09:02:34.579Z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