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476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Guía operativa</w:t>
      </w:r>
    </w:p>
    <w:p>
      <w:pPr>
        <w:spacing w:after="320"/>
      </w:pPr>
      <w:r>
        <w:rPr>
          <w:color w:val="6A5660"/>
          <w:sz w:val="24"/>
          <w:szCs w:val="24"/>
        </w:rPr>
        <w:t xml:space="preserve">Versiones del código, informe SNIS, modo sin internet, contador y seguro</w:t>
      </w:r>
    </w:p>
    <w:p>
      <w:pPr>
        <w:pStyle w:val="Heading1"/>
        <w:keepNext/>
        <w:spacing w:after="140" w:before="320"/>
      </w:pPr>
      <w:r>
        <w:t xml:space="preserve">1. Guardar cada versión con fecha (prueba de autoría)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código vive en GitHub (sivec-pap-mapa). </w:t>
      </w:r>
      <w:r>
        <w:rPr>
          <w:b/>
          <w:bCs/>
        </w:rPr>
        <w:t xml:space="preserve">Verificar que el repositorio sea privado</w:t>
      </w:r>
      <w:r>
        <w:t xml:space="preserve"> (Settings → General → Danger Zone → Change visibility).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versión que se entrega a clientes lleva un número (hoy </w:t>
      </w:r>
      <w:r>
        <w:rPr>
          <w:b/>
          <w:bCs/>
        </w:rPr>
        <w:t xml:space="preserve">1.1.0</w:t>
      </w:r>
      <w:r>
        <w:t xml:space="preserve">) y se sella con `bash scripts/sello-version.sh`: genera un archivo con la huella digital (SHA-256) de cada archivo y la fecha, en docs/empresa/versiones/.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Una vez al año, llevar a una </w:t>
      </w:r>
      <w:r>
        <w:rPr>
          <w:b/>
          <w:bCs/>
        </w:rPr>
        <w:t xml:space="preserve">notaría</w:t>
      </w:r>
      <w:r>
        <w:t xml:space="preserve"> el USB con el código y el archivo de huellas, y pedir un acta de depósito. Guardar el acta con la carpeta del SENAPI.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versión importante se registra en el SENAPI como </w:t>
      </w:r>
      <w:r>
        <w:rPr>
          <w:b/>
          <w:bCs/>
        </w:rPr>
        <w:t xml:space="preserve">nueva versión</w:t>
      </w:r>
      <w:r>
        <w:t xml:space="preserve"> de la obra.</w:t>
      </w:r>
    </w:p>
    <w:p>
      <w:pPr>
        <w:pStyle w:val="Heading1"/>
        <w:keepNext/>
        <w:spacing w:after="140" w:before="320"/>
      </w:pPr>
      <w:r>
        <w:t xml:space="preserve">2. Informe mensual para el SNIS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 </w:t>
      </w:r>
      <w:r>
        <w:rPr>
          <w:b/>
          <w:bCs/>
        </w:rPr>
        <w:t xml:space="preserve">Balance</w:t>
      </w:r>
      <w:r>
        <w:t xml:space="preserve"> elegir el mes y tocar </w:t>
      </w:r>
      <w:r>
        <w:rPr>
          <w:b/>
          <w:bCs/>
        </w:rPr>
        <w:t xml:space="preserve">📤 Informe mensual SNIS</w:t>
      </w:r>
      <w:r>
        <w:t xml:space="preserve">: baja un Excel con tomas y resultados por grupo de edad (sin nombres) y una hoja de detalle con códigos.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Los grupos de edad y los renglones siguen el uso habitual del programa. </w:t>
      </w:r>
      <w:r>
        <w:rPr>
          <w:b/>
          <w:bCs/>
        </w:rPr>
        <w:t xml:space="preserve">Llevar el primer informe al estadístico de la Red</w:t>
      </w:r>
      <w:r>
        <w:t xml:space="preserve"> para confirmar los casilleros exactos del formulario vigente y ajustarlos en el sistema.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Siguiente paso: exportación automática al SNIS/SOAPS cuando el Ministerio lo habilite.</w:t>
      </w:r>
    </w:p>
    <w:p>
      <w:pPr>
        <w:pStyle w:val="Heading1"/>
        <w:keepNext/>
        <w:spacing w:after="140" w:before="320"/>
      </w:pPr>
      <w:r>
        <w:t xml:space="preserve">3. Trabajar sin internet (provincias)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Instalar el SIVEC desde el sitio (botón ⬇ Instalar SIVEC) </w:t>
      </w:r>
      <w:r>
        <w:rPr>
          <w:b/>
          <w:bCs/>
        </w:rPr>
        <w:t xml:space="preserve">con internet</w:t>
      </w:r>
      <w:r>
        <w:t xml:space="preserve">, y entrar una vez con el usuario del centro.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Sin internet: se registran las tomas nuevas; quedan en la computadora y aparece el botón </w:t>
      </w:r>
      <w:r>
        <w:rPr>
          <w:b/>
          <w:bCs/>
        </w:rPr>
        <w:t xml:space="preserve">📴 N tomas sin enviar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 volver internet se envían solas (o tocando el botón). Si alguna da error, el botón se pone rojo y muestra el motivo.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Sin internet </w:t>
      </w:r>
      <w:r>
        <w:rPr>
          <w:b/>
          <w:bCs/>
        </w:rPr>
        <w:t xml:space="preserve">no</w:t>
      </w:r>
      <w:r>
        <w:t xml:space="preserve"> se pueden ver otras pacientes, resultados ni la línea de tiempo: eso necesita conexión.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borrar los datos del navegador mientras haya tomas sin enviar.</w:t>
      </w:r>
    </w:p>
    <w:p>
      <w:pPr>
        <w:pStyle w:val="Heading1"/>
        <w:keepNext/>
        <w:spacing w:after="140" w:before="320"/>
      </w:pPr>
      <w:r>
        <w:t xml:space="preserve">4. Contador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Contratarlo </w:t>
      </w:r>
      <w:r>
        <w:rPr>
          <w:b/>
          <w:bCs/>
        </w:rPr>
        <w:t xml:space="preserve">antes</w:t>
      </w:r>
      <w:r>
        <w:t xml:space="preserve"> de sacar el NIT: arma el balance de apertura, inscribe en Impuestos y configura la facturación electrónica (SIAT).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Todos los meses: declaraciones de IVA (formulario 200) e IT (formulario 400), aunque no haya ventas; libros de compras y ventas.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Una vez al año: estados financieros y IUE; renovación de la matrícula en el SEPREC.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 personal: planillas, aportes a la Caja y a la Gestora, y el ROE del Ministerio de Trabajo.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Costo mensual aproximado: Bs </w:t>
      </w:r>
      <w:r>
        <w:rPr>
          <w:shd w:fill="FFF176" w:color="auto" w:val="clear"/>
        </w:rPr>
        <w:t xml:space="preserve">consultar con 2 o 3 contadores</w:t>
      </w:r>
      <w:r>
        <w:t xml:space="preserve">. Pedir referencias de clientes que venden al Estado.</w:t>
      </w:r>
    </w:p>
    <w:p>
      <w:pPr>
        <w:pStyle w:val="Heading1"/>
        <w:keepNext/>
        <w:spacing w:after="140" w:before="320"/>
      </w:pPr>
      <w:r>
        <w:t xml:space="preserve">5. Seguros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Seguro</w:t>
            </w:r>
          </w:p>
        </w:tc>
        <w:tc>
          <w:tcPr>
            <w:tcW w:type="dxa" w:w="3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Para qué</w:t>
            </w:r>
          </w:p>
        </w:tc>
        <w:tc>
          <w:tcPr>
            <w:tcW w:type="dxa" w:w="24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Cuándo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Póliza de caución / boleta de garantía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Garantía de seriedad y de cumplimiento que piden los contratos del Estado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 presentarse a cada contratación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Responsabilidad civil profesional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Reclamos por errores del servicio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 el primer contrato grande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Ciberseguro (si está disponible)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Costos de un incidente de datos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Cuando se sumen varias redes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Equipos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Computadoras y lectores de la empresa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Cuando haya equipo propio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Guía operativa SIVEC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22765a6188ff486f8c18b71780e6726628bb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operativa: versiones, SNIS, sin internet, contador y seguro</dc:title>
  <dc:creator>Enlace Clínico</dc:creator>
  <cp:lastModifiedBy>Un-named</cp:lastModifiedBy>
  <cp:revision>1</cp:revision>
  <dcterms:created xsi:type="dcterms:W3CDTF">2026-09-27T01:51:23.236Z</dcterms:created>
  <dcterms:modified xsi:type="dcterms:W3CDTF">2026-09-27T01:51:23.236Z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