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8575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7D2A4C"/>
          <w:sz w:val="40"/>
          <w:szCs w:val="40"/>
        </w:rPr>
        <w:t xml:space="preserve">Cómo abrir la empresa y venderle al Estado</w:t>
      </w:r>
    </w:p>
    <w:p>
      <w:pPr>
        <w:spacing w:after="320"/>
      </w:pPr>
      <w:r>
        <w:rPr>
          <w:color w:val="6A5660"/>
          <w:sz w:val="24"/>
          <w:szCs w:val="24"/>
        </w:rPr>
        <w:t>Ferreira Salud Digital · SIVEC — requisitos, orden de los trámites, posicionamiento y lo que falta · preparado el 26/09/2026</w:t>
      </w:r>
    </w:p>
    <w:p>
      <w:pPr>
        <w:shd w:fill="FDF0E1" w:color="auto" w:val="clear"/>
        <w:spacing w:after="160" w:before="80" w:line="280"/>
        <w:ind w:left="120" w:right="120"/>
      </w:pPr>
      <w:r>
        <w:rPr>
          <w:color w:val="9A4A07"/>
          <w:sz w:val="20"/>
          <w:szCs w:val="20"/>
        </w:rPr>
        <w:t xml:space="preserve">Guía de trabajo para revisar con el abogado y el contador. Los montos cambian: lo resaltado </w:t>
      </w:r>
      <w:r>
        <w:rPr>
          <w:color w:val="9A4A07"/>
          <w:sz w:val="20"/>
          <w:szCs w:val="20"/>
          <w:shd w:fill="FFF176" w:color="auto" w:val="clear"/>
        </w:rPr>
        <w:t xml:space="preserve">así</w:t>
      </w:r>
      <w:r>
        <w:rPr>
          <w:color w:val="9A4A07"/>
          <w:sz w:val="20"/>
          <w:szCs w:val="20"/>
        </w:rPr>
        <w:t xml:space="preserve"> se confirma en cada oficina antes de pagar.</w:t>
      </w:r>
    </w:p>
    <w:p>
      <w:pPr>
        <w:pStyle w:val="Heading1"/>
        <w:keepNext/>
        <w:spacing w:after="140" w:before="320"/>
      </w:pPr>
      <w:r>
        <w:t xml:space="preserve">1. El orden de los trámites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426"/>
        <w:gridCol w:w="1500"/>
      </w:tblGrid>
      <w:tr>
        <w:trPr>
          <w:tblHeader/>
        </w:trPr>
        <w:tc>
          <w:tcPr>
            <w:tcW w:type="dxa" w:w="5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#</w:t>
            </w:r>
          </w:p>
        </w:tc>
        <w:tc>
          <w:tcPr>
            <w:tcW w:type="dxa" w:w="26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Dónde</w:t>
            </w:r>
          </w:p>
        </w:tc>
        <w:tc>
          <w:tcPr>
            <w:tcW w:type="dxa" w:w="44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Qué se obtiene</w:t>
            </w:r>
          </w:p>
        </w:tc>
        <w:tc>
          <w:tcPr>
            <w:tcW w:type="dxa" w:w="15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Tiempo aprox.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SENAPI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Registro del SIVEC (derecho de autor) y búsqueda de la marca. </w:t>
            </w:r>
            <w:r>
              <w:rPr>
                <w:b/>
                <w:bCs/>
              </w:rPr>
              <w:t xml:space="preserve">Antes de mostrar el sistema a otros compradores.</w:t>
            </w:r>
            <w:r>
              <w:t xml:space="preserve"> (Carpeta aparte.)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1–2 meses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SEPREC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>Control de homonimia: reserva del nombre "Ferreira Salud Digital S.R.L."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 día hábil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Notaría de fe pública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Escritura de constitución (SRL) y poder del representante legal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1–2 semanas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Impuestos Nacionales (SIN)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NIT y facturación electrónica (SIAT)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1–2 semanas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SEPREC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Matrícula de comercio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1–2 semanas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Banco (Banco Unión recomendado)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Cuenta corriente de la empresa: ahí paga el Estado por SIGEP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 semana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Gobierno Municipal de Santa Cruz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Licencia de funcionamiento de la oficina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2–4 semanas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SICOES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RUPE: registro de proveedor del Estado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1–3 días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Ministerio de Trabajo, Caja de Salud, Gestora Pública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Registro de empleador (ROE) y seguridad social, </w:t>
            </w:r>
            <w:r>
              <w:rPr>
                <w:b/>
                <w:bCs/>
              </w:rPr>
              <w:t xml:space="preserve">cuando se contrate personal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 contratar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NIC Bolivia (ADSIB)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Dominio sivec.bo y/o enlaceclinico.com.bo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 semana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2. Qué tipo de empresa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Opción</w:t>
            </w:r>
          </w:p>
        </w:tc>
        <w:tc>
          <w:tcPr>
            <w:tcW w:type="dxa" w:w="34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A favor</w:t>
            </w:r>
          </w:p>
        </w:tc>
        <w:tc>
          <w:tcPr>
            <w:tcW w:type="dxa" w:w="32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En contra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S.R.L.</w:t>
            </w:r>
            <w:r>
              <w:t xml:space="preserve"> (Sociedad de Responsabilidad Limitada)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Protege el patrimonio personal: si hay una multa o un reclamo en un contrato, responde la empresa, no la casa del socio. Da más confianza al Estado.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Necesita </w:t>
            </w:r>
            <w:r>
              <w:rPr>
                <w:b/>
                <w:bCs/>
              </w:rPr>
              <w:t xml:space="preserve">al menos 2 socios</w:t>
            </w:r>
            <w:r>
              <w:t xml:space="preserve"> y escritura notarial. Más trámites y contador desde el inicio.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Empresa unipersonal</w:t>
            </w:r>
            <w:r>
              <w:t xml:space="preserve"> (comerciante individual)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Rápida y barata; un solo dueño.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Responde con </w:t>
            </w:r>
            <w:r>
              <w:rPr>
                <w:b/>
                <w:bCs/>
              </w:rPr>
              <w:t xml:space="preserve">todo el patrimonio personal</w:t>
            </w:r>
            <w:r>
              <w:t xml:space="preserve">. Menos imagen para contratos grandes.</w:t>
            </w:r>
          </w:p>
        </w:tc>
      </w:tr>
    </w:tbl>
    <w:p>
      <w:pPr>
        <w:spacing w:after="120"/>
      </w:pPr>
    </w:p>
    <w:p>
      <w:pPr>
        <w:spacing w:after="120" w:line="290"/>
      </w:pPr>
      <w:r>
        <w:rPr>
          <w:b/>
          <w:bCs/>
        </w:rPr>
        <w:t xml:space="preserve">Recomendación:</w:t>
      </w:r>
      <w:r>
        <w:t xml:space="preserve"> S.R.L. con el autor como socio mayoritario (por ejemplo 90 %) y un socio de confianza con el resto. El SIVEC </w:t>
      </w:r>
      <w:r>
        <w:rPr>
          <w:b/>
          <w:bCs/>
        </w:rPr>
        <w:t xml:space="preserve">no se aporta</w:t>
      </w:r>
      <w:r>
        <w:t xml:space="preserve"> a la sociedad: queda del autor y la empresa lo explota con una </w:t>
      </w:r>
      <w:r>
        <w:rPr>
          <w:b/>
          <w:bCs/>
        </w:rPr>
        <w:t xml:space="preserve">licencia exclusiva</w:t>
      </w:r>
      <w:r>
        <w:t xml:space="preserve"> (ver la carpeta del SENAPI). Así, si un socio sale, el sistema no se va con él.</w:t>
      </w:r>
    </w:p>
    <w:p>
      <w:pPr>
        <w:pStyle w:val="Heading2"/>
        <w:keepNext/>
        <w:spacing w:after="100" w:before="220"/>
      </w:pPr>
      <w:r>
        <w:t xml:space="preserve">Nombre de la empresa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>Ferreira Salud Digital S.R.L.</w:t>
      </w:r>
      <w:r>
        <w:t xml:space="preserve"> (elegido por el autor): lleva el apellido del autor, deja clara la autoría y dice lo que hace la empresa. Marca corta para logo y redes: </w:t>
      </w:r>
      <w:r>
        <w:rPr>
          <w:b/>
          <w:bCs/>
        </w:rPr>
        <w:t>Ferreira Salud</w:t>
      </w:r>
      <w:r>
        <w:t>. El producto sigue siendo SIVEC.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Alternativas por si no pasa la homonimia: </w:t>
      </w:r>
      <w:r>
        <w:rPr>
          <w:b/>
          <w:bCs/>
        </w:rPr>
        <w:t>Ferreira Salud S.R.L.</w:t>
      </w:r>
      <w:r>
        <w:t xml:space="preserve">, </w:t>
      </w:r>
      <w:r>
        <w:rPr>
          <w:b/>
          <w:bCs/>
        </w:rPr>
        <w:t>Ferreira HealthTech S.R.L.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Logo: carpeta docs/marca (versión clara, oscura e ícono). La marca del producto sigue siendo </w:t>
      </w:r>
      <w:r>
        <w:rPr>
          <w:b/>
          <w:bCs/>
        </w:rPr>
        <w:t xml:space="preserve">SIVEC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Objeto social (texto para la escritura)</w:t>
      </w:r>
    </w:p>
    <w:p>
      <w:pPr>
        <w:spacing w:after="120" w:line="290"/>
      </w:pPr>
      <w:r>
        <w:t xml:space="preserve">La sociedad tiene por objeto: el desarrollo, licenciamiento, implementación, alojamiento, mantenimiento y soporte de programas de ordenador y sistemas de información, en especial para el sector salud; la prestación de servicios de software como servicio, procesamiento y gestión de datos, capacitación, asesoramiento técnico y consultoría en salud digital; la comercialización de equipos y accesorios informáticos relacionados; y toda actividad conexa, pudiendo contratar con entidades públicas y privadas, nacionales y extranjeras.</w:t>
      </w:r>
    </w:p>
    <w:p>
      <w:pPr>
        <w:pStyle w:val="Heading1"/>
        <w:keepNext/>
        <w:spacing w:after="140" w:before="320"/>
      </w:pPr>
      <w:r>
        <w:t xml:space="preserve">3. Requisitos de cada trámite</w:t>
      </w:r>
    </w:p>
    <w:p>
      <w:pPr>
        <w:pStyle w:val="Heading2"/>
        <w:keepNext/>
        <w:spacing w:after="100" w:before="220"/>
      </w:pPr>
      <w:r>
        <w:t xml:space="preserve">3.1 SEPREC (Registro de Comercio)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Portal tramites.seprec.gob.bo, con la </w:t>
      </w:r>
      <w:r>
        <w:rPr>
          <w:b/>
          <w:bCs/>
        </w:rPr>
        <w:t xml:space="preserve">Ciudadanía Digital</w:t>
      </w:r>
      <w:r>
        <w:t xml:space="preserve"> del representante legal.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Control de homonimia</w:t>
      </w:r>
      <w:r>
        <w:t xml:space="preserve"> (formulario virtual y pago): en unas 8 horas hábiles avisa por correo si el nombre está libre y lo reserva.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Inscripción de la S.R.L.: </w:t>
      </w:r>
      <w:r>
        <w:rPr>
          <w:b/>
          <w:bCs/>
        </w:rPr>
        <w:t xml:space="preserve">testimonio de la escritura de constitución</w:t>
      </w:r>
      <w:r>
        <w:t xml:space="preserve">, </w:t>
      </w:r>
      <w:r>
        <w:rPr>
          <w:b/>
          <w:bCs/>
        </w:rPr>
        <w:t xml:space="preserve">poder notarial</w:t>
      </w:r>
      <w:r>
        <w:t xml:space="preserve"> del representante legal, </w:t>
      </w:r>
      <w:r>
        <w:rPr>
          <w:b/>
          <w:bCs/>
        </w:rPr>
        <w:t xml:space="preserve">balance de apertura</w:t>
      </w:r>
      <w:r>
        <w:t xml:space="preserve"> firmado por contador, cédulas de los socios, y los pagos. </w:t>
      </w:r>
      <w:r>
        <w:rPr>
          <w:shd w:fill="FFF176" w:color="auto" w:val="clear"/>
        </w:rPr>
        <w:t xml:space="preserve">Confirmar la lista exacta en seprec.gob.bo, trámite de SRL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Después se presenta la documentación en una plataforma del SEPREC y se obtiene la </w:t>
      </w:r>
      <w:r>
        <w:rPr>
          <w:b/>
          <w:bCs/>
        </w:rPr>
        <w:t xml:space="preserve">matrícula de comercio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3.2 Impuestos Nacionales: NIT y facturación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Requisitos habituales: testimonio de constitución, poder y cédula del representante legal, </w:t>
      </w:r>
      <w:r>
        <w:rPr>
          <w:b/>
          <w:bCs/>
        </w:rPr>
        <w:t xml:space="preserve">factura de luz del domicilio fiscal</w:t>
      </w:r>
      <w:r>
        <w:t xml:space="preserve">, croquis, correo y celular. </w:t>
      </w:r>
      <w:r>
        <w:rPr>
          <w:shd w:fill="FFF176" w:color="auto" w:val="clear"/>
        </w:rPr>
        <w:t xml:space="preserve">Confirmar en una oficina del SIN o en impuestos.gob.bo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Actividad económica: </w:t>
      </w:r>
      <w:r>
        <w:rPr>
          <w:b/>
          <w:bCs/>
        </w:rPr>
        <w:t xml:space="preserve">programación informática y consultoría</w:t>
      </w:r>
      <w:r>
        <w:t xml:space="preserve"> (principal) y </w:t>
      </w:r>
      <w:r>
        <w:rPr>
          <w:b/>
          <w:bCs/>
        </w:rPr>
        <w:t xml:space="preserve">procesamiento de datos y hospedaje</w:t>
      </w:r>
      <w:r>
        <w:t xml:space="preserve"> (secundaria).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Régimen general: </w:t>
      </w:r>
      <w:r>
        <w:rPr>
          <w:b/>
          <w:bCs/>
        </w:rPr>
        <w:t xml:space="preserve">IVA 13 %</w:t>
      </w:r>
      <w:r>
        <w:t xml:space="preserve">, </w:t>
      </w:r>
      <w:r>
        <w:rPr>
          <w:b/>
          <w:bCs/>
        </w:rPr>
        <w:t xml:space="preserve">IT 3 %</w:t>
      </w:r>
      <w:r>
        <w:t xml:space="preserve"> (mensuales) e </w:t>
      </w:r>
      <w:r>
        <w:rPr>
          <w:b/>
          <w:bCs/>
        </w:rPr>
        <w:t xml:space="preserve">IUE 25 %</w:t>
      </w:r>
      <w:r>
        <w:t xml:space="preserve"> (anual). El contador presenta las declaraciones.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Facturación electrónica</w:t>
      </w:r>
      <w:r>
        <w:t xml:space="preserve"> en el SIAT: sin factura no se cobra al Estado.</w:t>
      </w:r>
    </w:p>
    <w:p>
      <w:pPr>
        <w:shd w:fill="FDF0E1" w:color="auto" w:val="clear"/>
        <w:spacing w:after="160" w:before="80" w:line="280"/>
        <w:ind w:left="120" w:right="120"/>
      </w:pPr>
      <w:r>
        <w:rPr>
          <w:color w:val="9A4A07"/>
          <w:sz w:val="20"/>
          <w:szCs w:val="20"/>
        </w:rPr>
        <w:t xml:space="preserve">Los precios al Estado se ofertan con todos los impuestos incluidos. De US$ 100 facturados quedan unos US$ 84 después de IVA e IT, y sobre la utilidad se paga el IUE. Decidir con el contador si los precios del contrato ya incluyen impuestos (así están escritos en el modelo de contrato).</w:t>
      </w:r>
    </w:p>
    <w:p>
      <w:pPr>
        <w:pStyle w:val="Heading2"/>
        <w:keepNext/>
        <w:spacing w:after="100" w:before="220"/>
      </w:pPr>
      <w:r>
        <w:t xml:space="preserve">3.3 SICOES: RUPE (proveedor del Estado)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Registro en línea en www.sicoes.gob.bo, en dos etapas: datos de la empresa y del representante legal; luego se activa la cuenta por correo.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 necesita: </w:t>
      </w:r>
      <w:r>
        <w:rPr>
          <w:b/>
          <w:bCs/>
        </w:rPr>
        <w:t xml:space="preserve">NIT</w:t>
      </w:r>
      <w:r>
        <w:t xml:space="preserve">, </w:t>
      </w:r>
      <w:r>
        <w:rPr>
          <w:b/>
          <w:bCs/>
        </w:rPr>
        <w:t xml:space="preserve">matrícula de comercio</w:t>
      </w:r>
      <w:r>
        <w:t xml:space="preserve">, correo, </w:t>
      </w:r>
      <w:r>
        <w:rPr>
          <w:b/>
          <w:bCs/>
        </w:rPr>
        <w:t xml:space="preserve">cuenta bancaria</w:t>
      </w:r>
      <w:r>
        <w:t xml:space="preserve"> y poder facturar.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certificado RUPE es obligatorio para firmar contratos de </w:t>
      </w:r>
      <w:r>
        <w:rPr>
          <w:b/>
          <w:bCs/>
        </w:rPr>
        <w:t xml:space="preserve">más de Bs 20.000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Para presentar propuestas: formularios del documento base de contratación (DBC), experiencia (</w:t>
      </w:r>
      <w:r>
        <w:rPr>
          <w:b/>
          <w:bCs/>
        </w:rPr>
        <w:t xml:space="preserve">carta de conformidad del C.S. San Luis / Red Centro</w:t>
      </w:r>
      <w:r>
        <w:t xml:space="preserve">), hoja de vida del personal y, según el monto, </w:t>
      </w:r>
      <w:r>
        <w:rPr>
          <w:b/>
          <w:bCs/>
        </w:rPr>
        <w:t xml:space="preserve">boleta de garantía</w:t>
      </w:r>
      <w:r>
        <w:t xml:space="preserve"> o póliza de seriedad y de cumplimiento.</w:t>
      </w:r>
    </w:p>
    <w:p>
      <w:pPr>
        <w:pStyle w:val="Heading2"/>
        <w:keepNext/>
        <w:spacing w:after="100" w:before="220"/>
      </w:pPr>
      <w:r>
        <w:t xml:space="preserve">3.4 Cuando se contrate personal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Ministerio de Trabajo</w:t>
      </w:r>
      <w:r>
        <w:t xml:space="preserve">: Registro Obligatorio de Empleadores (ROE), contratos visados y planillas.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Caja Nacional de Salud</w:t>
      </w:r>
      <w:r>
        <w:t xml:space="preserve"> (u otra caja): afiliación del empleador y de los trabajadores.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Gestora Pública de la Seguridad Social</w:t>
      </w:r>
      <w:r>
        <w:t xml:space="preserve">: aportes de largo plazo.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Todo el personal firma </w:t>
      </w:r>
      <w:r>
        <w:rPr>
          <w:b/>
          <w:bCs/>
        </w:rPr>
        <w:t xml:space="preserve">confidencialidad y cesión de lo que desarrolle</w:t>
      </w:r>
      <w:r>
        <w:t xml:space="preserve"> para el SIVEC (modelo en el contrato de trabajo).</w:t>
      </w:r>
    </w:p>
    <w:p>
      <w:pPr>
        <w:pStyle w:val="Heading2"/>
        <w:keepNext/>
        <w:spacing w:after="100" w:before="220"/>
      </w:pPr>
      <w:r>
        <w:t xml:space="preserve">3.5 Dominio de internet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sivec.bo</w:t>
      </w:r>
      <w:r>
        <w:t xml:space="preserve"> y </w:t>
      </w:r>
      <w:r>
        <w:rPr>
          <w:b/>
          <w:bCs/>
        </w:rPr>
        <w:t xml:space="preserve">enlaceclinico.com.bo</w:t>
      </w:r>
      <w:r>
        <w:t xml:space="preserve"> en NIC Bolivia (ADSIB). El ".com.bo" pide documentos de la empresa (NIT/matrícula).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Conviene registrar también </w:t>
      </w:r>
      <w:r>
        <w:rPr>
          <w:b/>
          <w:bCs/>
        </w:rPr>
        <w:t xml:space="preserve">sivec.com.bo</w:t>
      </w:r>
      <w:r>
        <w:t xml:space="preserve"> para que nadie lo tome.</w:t>
      </w:r>
    </w:p>
    <w:p>
      <w:pPr>
        <w:pStyle w:val="Heading1"/>
        <w:keepNext/>
        <w:spacing w:after="140" w:before="320"/>
      </w:pPr>
      <w:r>
        <w:t xml:space="preserve">4. Software libre en el Estado (importante para vender)</w:t>
      </w:r>
    </w:p>
    <w:p>
      <w:pPr>
        <w:spacing w:after="120" w:line="290"/>
      </w:pPr>
      <w:r>
        <w:t xml:space="preserve">El Decreto Supremo 1793 y el Plan de Implementación de Software Libre y Estándares Abiertos (AGETIC) piden a las entidades públicas </w:t>
      </w:r>
      <w:r>
        <w:rPr>
          <w:b/>
          <w:bCs/>
        </w:rPr>
        <w:t xml:space="preserve">priorizar software libre</w:t>
      </w:r>
      <w:r>
        <w:t xml:space="preserve">; para comprar </w:t>
      </w:r>
      <w:r>
        <w:rPr>
          <w:b/>
          <w:bCs/>
        </w:rPr>
        <w:t xml:space="preserve">licencias</w:t>
      </w:r>
      <w:r>
        <w:t xml:space="preserve"> de software propietario deben pedir conformidad a la ADSIB con un informe técnico. Cómo nos posicionamos: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Vendemos un </w:t>
      </w:r>
      <w:r>
        <w:rPr>
          <w:b/>
          <w:bCs/>
        </w:rPr>
        <w:t xml:space="preserve">servicio</w:t>
      </w:r>
      <w:r>
        <w:t xml:space="preserve"> (implementación, alojamiento, soporte, capacitación y actualizaciones), no una licencia en caja.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Toda la tecnología de base es abierta: </w:t>
      </w:r>
      <w:r>
        <w:rPr>
          <w:b/>
          <w:bCs/>
        </w:rPr>
        <w:t xml:space="preserve">PostgreSQL</w:t>
      </w:r>
      <w:r>
        <w:t xml:space="preserve">, HTML5, estándares web. Los </w:t>
      </w:r>
      <w:r>
        <w:rPr>
          <w:b/>
          <w:bCs/>
        </w:rPr>
        <w:t xml:space="preserve">datos son de la entidad</w:t>
      </w:r>
      <w:r>
        <w:t xml:space="preserve"> y se entregan en formato abierto (CSV/SQL) cuando lo pidan.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 puede instalar en un </w:t>
      </w:r>
      <w:r>
        <w:rPr>
          <w:b/>
          <w:bCs/>
        </w:rPr>
        <w:t xml:space="preserve">servidor del Estado</w:t>
      </w:r>
      <w:r>
        <w:t xml:space="preserve"> si lo exigen.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Preparar una </w:t>
      </w:r>
      <w:r>
        <w:rPr>
          <w:b/>
          <w:bCs/>
        </w:rPr>
        <w:t xml:space="preserve">ficha técnica de una página</w:t>
      </w:r>
      <w:r>
        <w:t xml:space="preserve"> para la ADSIB/AGETIC con esos puntos, por si la entidad la necesita.</w:t>
      </w:r>
    </w:p>
    <w:p>
      <w:pPr>
        <w:pStyle w:val="Heading1"/>
        <w:keepNext/>
        <w:spacing w:after="140" w:before="320"/>
      </w:pPr>
      <w:r>
        <w:t xml:space="preserve">5. Posicionamiento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66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En una frase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SIVEC es el circuito digital del tamizaje de cáncer de cuello uterino: ninguna mujer positiva sin seguimiento.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Para quién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Gobierno Municipal (1er nivel), Gobernación/SEDES (2º, 3er y 4º nivel), Programa de Cáncer, Redes de salud. Después: clínicas y seguros privados.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El problema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Libros y planillas, resultados que no llegan, positivas que nadie busca, cinco veces el mismo dato, informes a mano.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Lo que nos diferencia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Hecho por un médico de la atención primaria; ya funciona en el C.S. San Luis con datos reales; une centro, laboratorio y hospital con línea de tiempo; autotoma de VPH; lotes con código de barras; tablero en vivo para la red.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 competimos con el Ministerio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SOAPS/SICE son el expediente general. SIVEC es el circuito que falta del tamizaje y exportará al SNIS para no digitar dos veces.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Prueba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Números reales de San Luis (tomas registradas, 100 % enviadas, resultados entregados, positivas identificadas).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Precio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1er nivel US$ 100/mes; 2º nivel US$ 250/mes; 3er nivel, laboratorio y Oncológico US$ 501/mes. En la Red Centro sale ≈ Bs 29 por toma.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Dónde nos ven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Presentación en vivo (modo presentación), reuniones con SEDES y Red, congresos de ginecología y salud pública, LinkedIn, sitio sivec.bo.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6. Base de datos: pasar a Supabase Pro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Crear en Supabase una </w:t>
      </w:r>
      <w:r>
        <w:rPr>
          <w:b/>
          <w:bCs/>
        </w:rPr>
        <w:t>organización "Ferreira Salud Digital"</w:t>
      </w:r>
      <w:r>
        <w:t xml:space="preserve"> con el correo de la empresa y </w:t>
      </w:r>
      <w:r>
        <w:rPr>
          <w:b/>
          <w:bCs/>
        </w:rPr>
        <w:t xml:space="preserve">transferir</w:t>
      </w:r>
      <w:r>
        <w:t xml:space="preserve"> ahí el proyecto actual (hoy está en el correo personal).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Pasar la organización al </w:t>
      </w:r>
      <w:r>
        <w:rPr>
          <w:b/>
          <w:bCs/>
        </w:rPr>
        <w:t xml:space="preserve">plan Pro</w:t>
      </w:r>
      <w:r>
        <w:t xml:space="preserve"> (US$ 25/mes + cómputo según tamaño). Activar el </w:t>
      </w:r>
      <w:r>
        <w:rPr>
          <w:b/>
          <w:bCs/>
        </w:rPr>
        <w:t xml:space="preserve">límite de gasto</w:t>
      </w:r>
      <w:r>
        <w:t xml:space="preserve"> (spend cap) para evitar sorpresas.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Ver la </w:t>
      </w:r>
      <w:r>
        <w:rPr>
          <w:b/>
          <w:bCs/>
        </w:rPr>
        <w:t xml:space="preserve">región</w:t>
      </w:r>
      <w:r>
        <w:t xml:space="preserve"> del proyecto: lo ideal es </w:t>
      </w:r>
      <w:r>
        <w:rPr>
          <w:b/>
          <w:bCs/>
        </w:rPr>
        <w:t xml:space="preserve">São Paulo (sa-east-1)</w:t>
      </w:r>
      <w:r>
        <w:t xml:space="preserve">. Si está en otra, planificar la migración antes de sumar centros.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Copias: Pro guarda </w:t>
      </w:r>
      <w:r>
        <w:rPr>
          <w:b/>
          <w:bCs/>
        </w:rPr>
        <w:t xml:space="preserve">7 días</w:t>
      </w:r>
      <w:r>
        <w:t xml:space="preserve"> de copias diarias. Sumar una </w:t>
      </w:r>
      <w:r>
        <w:rPr>
          <w:b/>
          <w:bCs/>
        </w:rPr>
        <w:t xml:space="preserve">copia semanal externa</w:t>
      </w:r>
      <w:r>
        <w:t xml:space="preserve"> automática (otro proveedor).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Pagar con una </w:t>
      </w:r>
      <w:r>
        <w:rPr>
          <w:b/>
          <w:bCs/>
        </w:rPr>
        <w:t xml:space="preserve">tarjeta que permita compras internacionales en dólares</w:t>
      </w:r>
      <w:r>
        <w:t xml:space="preserve"> (en Bolivia muchos bancos las limitan): confirmar con el banco antes.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Guardar la clave de administración del proyecto (service_role) </w:t>
      </w:r>
      <w:r>
        <w:rPr>
          <w:b/>
          <w:bCs/>
        </w:rPr>
        <w:t xml:space="preserve">solo</w:t>
      </w:r>
      <w:r>
        <w:t xml:space="preserve"> en el gestor de contraseñas; nunca en el sistema ni en el sitio.</w:t>
      </w:r>
    </w:p>
    <w:p>
      <w:pPr>
        <w:pStyle w:val="Heading1"/>
        <w:keepNext/>
        <w:spacing w:after="140" w:before="320"/>
      </w:pPr>
      <w:r>
        <w:t xml:space="preserve">7. Lo que todavía falta (y se suele olvidar)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Tema</w:t>
            </w:r>
          </w:p>
        </w:tc>
        <w:tc>
          <w:tcPr>
            <w:tcW w:type="dxa" w:w="62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Qué hacer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Carta de conformidad del piloto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Pedir al director del C.S. San Luis / Red Centro una carta que diga que el SIVEC funciona y sus resultados. Es la </w:t>
            </w:r>
            <w:r>
              <w:rPr>
                <w:b/>
                <w:bCs/>
              </w:rPr>
              <w:t xml:space="preserve">experiencia</w:t>
            </w:r>
            <w:r>
              <w:t xml:space="preserve"> que pide el SICOES.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Autorización para usar los números de San Luis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Los datos son del Estado: pedir permiso por escrito para mostrarlos en presentaciones.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Términos de uso y política de privacidad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Publicarlos en el sitio y aceptarlos en el primer ingreso.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Consentimiento de la paciente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Ya existe el consentimiento de Telesalud; revisar con el abogado que cubra el registro digital y el intercambio entre establecimientos (Constitución, art. 21 y 130; normas del expediente clínico).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Acuerdo de confidencialidad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Para todo socio, empleado, contador y abogado que vea el código o los datos.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Depósito del código fuente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Guardar cada versión con fecha (GitHub privado + copia sellada en notaría una vez al año). Sirve de prueba de autoría.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Plan ante incidentes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Qué hacer si se cae el sistema o hay una filtración: a quién avisar, en cuánto tiempo.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Seguro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Responsabilidad civil profesional / ciber, cuando haya contratos grandes.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Exportación al SNIS/SOAPS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La primera pregunta del Ministerio. Planificarla antes de ampliar.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Modo sin internet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Para provincias alejadas con mala conexión.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Soporte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Número de WhatsApp de la empresa, horario y responsable.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Contador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Desde el primer mes: declaraciones mensuales aunque no haya ventas.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SEPREC · Trámite de SRL: seprec.gob.bo/index.php/tramite2/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SICOES · Guía RUPE para empresas: sicoes.gob.bo/portal/docs/manualRupeEmpresa.pdf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Decreto Supremo 1793 (software libre, art. 23): lexivox.org/norms/BO-DS-N1793.html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AGETIC · Plan de Implementación de Software Libre: agetic.gob.bo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Bolivia Emprende · guías de marca y propiedad industrial: boliviaemprende.com</w:t>
      </w:r>
    </w:p>
    <w:sectPr>
      <w:footerReference w:type="default" r:id="rId7"/>
      <w:headerReference w:type="default" r:id="rId10"/>
      <w:headerReference w:type="first" r:id="rId11"/>
      <w:footerReference w:type="first" r:id="rId12"/>
      <w:footerReference w:type="even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Ferreira Salud Digital · Guía de la empresa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843071fef13c0f63ca92010a04e80fadbaa81b0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abrir la empresa – Enlace Clínico</dc:title>
  <dc:creator>Enlace Clínico</dc:creator>
  <cp:lastModifiedBy>Un-named</cp:lastModifiedBy>
  <cp:revision>1</cp:revision>
  <dcterms:created xsi:type="dcterms:W3CDTF">2026-09-27T04:39:31.507Z</dcterms:created>
  <dcterms:modified xsi:type="dcterms:W3CDTF">2026-09-27T04:39:31.507Z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