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2857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color w:val="7D2A4C"/>
          <w:sz w:val="40"/>
          <w:szCs w:val="40"/>
        </w:rPr>
        <w:t xml:space="preserve">Carpeta para el SENAPI</w:t>
      </w:r>
    </w:p>
    <w:p>
      <w:pPr>
        <w:spacing w:after="320"/>
      </w:pPr>
      <w:r>
        <w:rPr>
          <w:color w:val="6A5660"/>
          <w:sz w:val="24"/>
          <w:szCs w:val="24"/>
        </w:rPr>
        <w:t xml:space="preserve">Registro del programa SIVEC PAP/VPH (derecho de autor) y de la marca SIVEC · preparada el 26/09/2026</w:t>
      </w:r>
    </w:p>
    <w:p>
      <w:pPr>
        <w:shd w:fill="FDF0E1" w:color="auto" w:val="clear"/>
        <w:spacing w:after="160" w:before="80" w:line="280"/>
        <w:ind w:left="120" w:right="120"/>
      </w:pPr>
      <w:r>
        <w:rPr>
          <w:color w:val="9A4A07"/>
          <w:sz w:val="20"/>
          <w:szCs w:val="20"/>
        </w:rPr>
        <w:t xml:space="preserve">Lo resaltado en amarillo </w:t>
      </w:r>
      <w:r>
        <w:rPr>
          <w:color w:val="9A4A07"/>
          <w:sz w:val="20"/>
          <w:szCs w:val="20"/>
          <w:shd w:fill="FFF176" w:color="auto" w:val="clear"/>
        </w:rPr>
        <w:t xml:space="preserve">así</w:t>
      </w:r>
      <w:r>
        <w:rPr>
          <w:color w:val="9A4A07"/>
          <w:sz w:val="20"/>
          <w:szCs w:val="20"/>
        </w:rPr>
        <w:t xml:space="preserve"> se completa a mano antes de presentar. Los montos y formularios cambian: confirmarlos en la ventanilla del SENAPI o en senapi.gob.bo el día del trámite.</w:t>
      </w:r>
    </w:p>
    <w:p>
      <w:pPr>
        <w:pStyle w:val="Heading1"/>
        <w:keepNext/>
        <w:spacing w:after="140" w:before="320"/>
      </w:pPr>
      <w:r>
        <w:t xml:space="preserve">1. Qué se registra y en qué oficina</w:t>
      </w:r>
    </w:p>
    <w:p>
      <w:pPr>
        <w:spacing w:after="120" w:line="290"/>
      </w:pPr>
      <w:r>
        <w:t xml:space="preserve">La página de </w:t>
      </w:r>
      <w:r>
        <w:rPr>
          <w:b/>
          <w:bCs/>
        </w:rPr>
        <w:t xml:space="preserve">Patentes y Diseños Industriales</w:t>
      </w:r>
      <w:r>
        <w:t xml:space="preserve"> no corresponde al SIVEC: en Bolivia (Decisión 486 de la CAN, art. 15) </w:t>
      </w:r>
      <w:r>
        <w:rPr>
          <w:b/>
          <w:bCs/>
        </w:rPr>
        <w:t xml:space="preserve">los programas de ordenador no son invenciones patentables</w:t>
      </w:r>
      <w:r>
        <w:t xml:space="preserve">, y el derecho de autor </w:t>
      </w:r>
      <w:r>
        <w:rPr>
          <w:b/>
          <w:bCs/>
        </w:rPr>
        <w:t xml:space="preserve">no protege las ideas</w:t>
      </w:r>
      <w:r>
        <w:t xml:space="preserve">, sino su expresión. Por eso el SIVEC se protege con dos herramientas que sí funcionan: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Qué</w:t>
            </w:r>
          </w:p>
        </w:tc>
        <w:tc>
          <w:tcPr>
            <w:tcW w:type="dxa" w:w="30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Oficina del SENAPI</w:t>
            </w:r>
          </w:p>
        </w:tc>
        <w:tc>
          <w:tcPr>
            <w:tcW w:type="dxa" w:w="3426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Qué protege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Programa </w:t>
            </w:r>
            <w:r>
              <w:rPr>
                <w:b/>
                <w:bCs/>
              </w:rPr>
              <w:t xml:space="preserve">SIVEC PAP/VPH</w:t>
            </w:r>
            <w:r>
              <w:t xml:space="preserve"> (software)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Dirección de Derecho de Autor y Derechos Conexos · registro de obra: programa de ordenador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El código, las pantallas y la estructura de la base de datos. Nadie puede copiarlo, venderlo ni modificarlo sin permiso.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Documento </w:t>
            </w:r>
            <w:r>
              <w:rPr>
                <w:b/>
                <w:bCs/>
              </w:rPr>
              <w:t xml:space="preserve">"SIVEC: Sistema Integral de Vigilancia y Enlace Clínico – diseño y propuesta"</w:t>
            </w:r>
            <w:r>
              <w:t xml:space="preserve"> (obra literaria) y la demostración del SIVEC completo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Derecho de Autor · obra literaria y programa de ordenador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Deja </w:t>
            </w:r>
            <w:r>
              <w:rPr>
                <w:b/>
                <w:bCs/>
              </w:rPr>
              <w:t xml:space="preserve">fecha cierta</w:t>
            </w:r>
            <w:r>
              <w:t xml:space="preserve"> del diseño del SIVEC completo (módulos, circuito, línea de tiempo) a nombre del autor.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Marca </w:t>
            </w:r>
            <w:r>
              <w:rPr>
                <w:b/>
                <w:bCs/>
              </w:rPr>
              <w:t xml:space="preserve">SIVEC</w:t>
            </w:r>
            <w:r>
              <w:t xml:space="preserve"> (nombre + logo)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Dirección de Propiedad Industrial · signos distintivos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Nadie más puede usar el nombre SIVEC para software o servicios de salud.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Marca </w:t>
            </w:r>
            <w:r>
              <w:rPr>
                <w:b/>
                <w:bCs/>
              </w:rPr>
              <w:t>Ferreira Salud</w:t>
            </w:r>
            <w:r>
              <w:t xml:space="preserve"> (empresa)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Propiedad Industrial · signos distintivos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El nombre de la empresa en el mercado (hacer después de reservar el nombre en el SEPREC).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t xml:space="preserve">2. A nombre de quién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Autor y titular: la persona natural</w:t>
      </w:r>
      <w:r>
        <w:t xml:space="preserve"> </w:t>
      </w:r>
      <w:r>
        <w:rPr>
          <w:shd w:fill="FFF176" w:color="auto" w:val="clear"/>
        </w:rPr>
        <w:t xml:space="preserve">Nombre completo del autor</w:t>
      </w:r>
      <w:r>
        <w:t xml:space="preserve">. El autor nunca pierde el reconocimiento de autoría (derecho moral).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Cuando exista la empresa, </w:t>
      </w:r>
      <w:r>
        <w:rPr>
          <w:b/>
          <w:bCs/>
        </w:rPr>
        <w:t xml:space="preserve">no ceder el software</w:t>
      </w:r>
      <w:r>
        <w:t xml:space="preserve">: el autor le da a la empresa una </w:t>
      </w:r>
      <w:r>
        <w:rPr>
          <w:b/>
          <w:bCs/>
        </w:rPr>
        <w:t xml:space="preserve">licencia exclusiva de explotación</w:t>
      </w:r>
      <w:r>
        <w:t xml:space="preserve"> por contrato. Si mañana cambian los socios, el SIVEC sigue siendo del autor.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 parte del desarrollo se hizo en horario o con equipos del C.S. San Luis, conviene una </w:t>
      </w:r>
      <w:r>
        <w:rPr>
          <w:b/>
          <w:bCs/>
        </w:rPr>
        <w:t xml:space="preserve">nota del director</w:t>
      </w:r>
      <w:r>
        <w:t xml:space="preserve"> (o de la Red) que diga que el SIVEC fue creado por iniciativa propia del autor. Los datos de las pacientes </w:t>
      </w:r>
      <w:r>
        <w:rPr>
          <w:b/>
          <w:bCs/>
        </w:rPr>
        <w:t xml:space="preserve">no</w:t>
      </w:r>
      <w:r>
        <w:t xml:space="preserve"> son parte de la obra y </w:t>
      </w:r>
      <w:r>
        <w:rPr>
          <w:b/>
          <w:bCs/>
        </w:rPr>
        <w:t xml:space="preserve">nunca</w:t>
      </w:r>
      <w:r>
        <w:t xml:space="preserve"> se entregan al SENAPI.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programa se desarrolló con apoyo de herramientas de programación asistida por inteligencia artificial. </w:t>
      </w:r>
      <w:r>
        <w:rPr>
          <w:b/>
          <w:bCs/>
        </w:rPr>
        <w:t xml:space="preserve">Consultar con el abogado</w:t>
      </w:r>
      <w:r>
        <w:t xml:space="preserve"> cómo declararlo; el diseño, las decisiones clínicas y la dirección del desarrollo son del autor.</w:t>
      </w:r>
    </w:p>
    <w:p>
      <w:pPr>
        <w:pStyle w:val="Heading1"/>
        <w:keepNext/>
        <w:spacing w:after="140" w:before="320"/>
      </w:pPr>
      <w:r>
        <w:t xml:space="preserve">3. Lista para el registro del programa (derecho de autor)</w:t>
      </w:r>
    </w:p>
    <w:p>
      <w:pPr>
        <w:spacing w:after="120" w:line="290"/>
      </w:pPr>
      <w:r>
        <w:t xml:space="preserve">Presentar en un </w:t>
      </w:r>
      <w:r>
        <w:rPr>
          <w:b/>
          <w:bCs/>
        </w:rPr>
        <w:t xml:space="preserve">sobre manila sin cerrar</w:t>
      </w:r>
      <w:r>
        <w:t xml:space="preserve">, cada requisito </w:t>
      </w:r>
      <w:r>
        <w:rPr>
          <w:b/>
          <w:bCs/>
        </w:rPr>
        <w:t xml:space="preserve">numerado y en este orden</w:t>
      </w:r>
      <w:r>
        <w:t xml:space="preserve">, en la ventanilla del SENAPI (oficina de Santa Cruz o La Paz). Los depósitos valen </w:t>
      </w:r>
      <w:r>
        <w:rPr>
          <w:b/>
          <w:bCs/>
        </w:rPr>
        <w:t xml:space="preserve">15 días hábiles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Formulario de solicitud de registro de Derecho de Autor</w:t>
      </w:r>
      <w:r>
        <w:t xml:space="preserve"> (programa de ordenador), llenado en el sistema dda.senapi.gob.bo con los datos de la sección 5 e impreso.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Fotocopia de la cédula de identidad</w:t>
      </w:r>
      <w:r>
        <w:t xml:space="preserve"> del autor.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Depósito al SENAPI</w:t>
      </w:r>
      <w:r>
        <w:t xml:space="preserve"> en el Banco Unión: Bs </w:t>
      </w:r>
      <w:r>
        <w:rPr>
          <w:shd w:fill="FFF176" w:color="auto" w:val="clear"/>
        </w:rPr>
        <w:t xml:space="preserve">monto según tarifa vigente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Depósito a la Gaceta Oficial de Bolivia</w:t>
      </w:r>
      <w:r>
        <w:t xml:space="preserve"> en el Banco Unión: Bs </w:t>
      </w:r>
      <w:r>
        <w:rPr>
          <w:shd w:fill="FFF176" w:color="auto" w:val="clear"/>
        </w:rPr>
        <w:t xml:space="preserve">monto según tarifa vigente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Descripción del programa</w:t>
      </w:r>
      <w:r>
        <w:t xml:space="preserve"> (sección 6 de esta carpeta), impresa y firmada.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Soporte (USB o CD)</w:t>
      </w:r>
      <w:r>
        <w:t xml:space="preserve"> con el contenido de la sección 7: el programa, la estructura de la base de datos y el </w:t>
      </w:r>
      <w:r>
        <w:rPr>
          <w:b/>
          <w:bCs/>
        </w:rPr>
        <w:t xml:space="preserve">video demostrativo</w:t>
      </w:r>
      <w:r>
        <w:t xml:space="preserve"> (obligatorio porque es una aplicación web).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Material auxiliar</w:t>
      </w:r>
      <w:r>
        <w:t xml:space="preserve">: manual de usuario con capturas de pantalla (sin datos reales).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Declaración jurada de autoría</w:t>
      </w:r>
      <w:r>
        <w:t xml:space="preserve"> firmada (sección 8).</w:t>
      </w:r>
    </w:p>
    <w:p>
      <w:pPr>
        <w:pStyle w:val="Heading1"/>
        <w:keepNext/>
        <w:spacing w:after="140" w:before="320"/>
      </w:pPr>
      <w:r>
        <w:t xml:space="preserve">4. Lista para el registro de la marca SIVEC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Primero, la búsqueda de antecedentes</w:t>
      </w:r>
      <w:r>
        <w:t xml:space="preserve"> (formulario PI-112, en el sistema SIPI del SENAPI). Responde en unos 8 días hábiles si "SIVEC" está libre. Hacerla </w:t>
      </w:r>
      <w:r>
        <w:rPr>
          <w:b/>
          <w:bCs/>
        </w:rPr>
        <w:t xml:space="preserve">antes</w:t>
      </w:r>
      <w:r>
        <w:t xml:space="preserve"> de imprimir material con la marca.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Formulario de solicitud de registro de marca</w:t>
      </w:r>
      <w:r>
        <w:t xml:space="preserve">, marca </w:t>
      </w:r>
      <w:r>
        <w:rPr>
          <w:b/>
          <w:bCs/>
        </w:rPr>
        <w:t xml:space="preserve">mixta</w:t>
      </w:r>
      <w:r>
        <w:t xml:space="preserve"> (nombre + logo). Adjuntar el logo impreso a color (archivo docs/marca/sivec-logo.png) en la cantidad que pida el formulario.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Fotocopia de la cédula de identidad</w:t>
      </w:r>
      <w:r>
        <w:t xml:space="preserve"> del titular.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Pagos</w:t>
      </w:r>
      <w:r>
        <w:t xml:space="preserve"> (datos de 2025, persona natural nacional): SENAPI Bs 75 + Gaceta Oficial Bs 255 + SENAPI Bs 750 </w:t>
      </w:r>
      <w:r>
        <w:rPr>
          <w:b/>
          <w:bCs/>
        </w:rPr>
        <w:t xml:space="preserve">por cada clase</w:t>
      </w:r>
      <w:r>
        <w:t xml:space="preserve">. </w:t>
      </w:r>
      <w:r>
        <w:rPr>
          <w:shd w:fill="FFF176" w:color="auto" w:val="clear"/>
        </w:rPr>
        <w:t xml:space="preserve">Confirmar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Clases de Niza sugeridas</w:t>
      </w:r>
      <w:r>
        <w:t xml:space="preserve">: </w:t>
      </w:r>
      <w:r>
        <w:rPr>
          <w:b/>
          <w:bCs/>
        </w:rPr>
        <w:t xml:space="preserve">9</w:t>
      </w:r>
      <w:r>
        <w:t xml:space="preserve"> (software y aplicaciones), </w:t>
      </w:r>
      <w:r>
        <w:rPr>
          <w:b/>
          <w:bCs/>
        </w:rPr>
        <w:t xml:space="preserve">42</w:t>
      </w:r>
      <w:r>
        <w:t xml:space="preserve"> (software como servicio, desarrollo y alojamiento de software) y </w:t>
      </w:r>
      <w:r>
        <w:rPr>
          <w:b/>
          <w:bCs/>
        </w:rPr>
        <w:t xml:space="preserve">44</w:t>
      </w:r>
      <w:r>
        <w:t xml:space="preserve"> (servicios de información médica). Cada clase es una solicitud y un pago. Si hay que elegir una sola: </w:t>
      </w:r>
      <w:r>
        <w:rPr>
          <w:b/>
          <w:bCs/>
        </w:rPr>
        <w:t xml:space="preserve">clase 42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Presentar en </w:t>
      </w:r>
      <w:r>
        <w:rPr>
          <w:b/>
          <w:bCs/>
        </w:rPr>
        <w:t xml:space="preserve">carpeta amarilla</w:t>
      </w:r>
      <w:r>
        <w:t xml:space="preserve">, con todas las hojas </w:t>
      </w:r>
      <w:r>
        <w:rPr>
          <w:b/>
          <w:bCs/>
        </w:rPr>
        <w:t xml:space="preserve">foliadas</w:t>
      </w:r>
      <w:r>
        <w:t xml:space="preserve"> (numeradas).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Plazo: </w:t>
      </w:r>
      <w:r>
        <w:rPr>
          <w:b/>
          <w:bCs/>
        </w:rPr>
        <w:t xml:space="preserve">6 a 8 meses</w:t>
      </w:r>
      <w:r>
        <w:t xml:space="preserve"> si nadie se opone (hay publicación en la Gaceta y 30 días hábiles para oposiciones).</w:t>
      </w:r>
    </w:p>
    <w:p>
      <w:pPr>
        <w:pStyle w:val="Heading1"/>
        <w:keepNext/>
        <w:spacing w:after="140" w:before="320"/>
      </w:pPr>
      <w:r>
        <w:t xml:space="preserve">5. Datos para llenar el formulario del programa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Campo</w:t>
            </w:r>
          </w:p>
        </w:tc>
        <w:tc>
          <w:tcPr>
            <w:tcW w:type="dxa" w:w="6426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Qué poner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Título de la obra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SIVEC PAP/VPH – Sistema Integral de Vigilancia y Enlace Clínico para el tamizaje de cáncer de cuello uterino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Tipo de obra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Programa de ordenador (software) · aplicación web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Versión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1.0 (septiembre de 2026)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Carácter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Obra originaria, individual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Autor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Nombre completo</w:t>
            </w:r>
            <w:r>
              <w:t xml:space="preserve"> · CI </w:t>
            </w:r>
            <w:r>
              <w:rPr>
                <w:shd w:fill="FFF176" w:color="auto" w:val="clear"/>
              </w:rPr>
              <w:t xml:space="preserve">número y expedido</w:t>
            </w:r>
            <w:r>
              <w:t xml:space="preserve"> · nacionalidad </w:t>
            </w:r>
            <w:r>
              <w:rPr>
                <w:shd w:fill="FFF176" w:color="auto" w:val="clear"/>
              </w:rPr>
              <w:t xml:space="preserve">__________</w:t>
            </w:r>
            <w:r>
              <w:t xml:space="preserve"> · profesión: médico · domicilio: </w:t>
            </w:r>
            <w:r>
              <w:rPr>
                <w:shd w:fill="FFF176" w:color="auto" w:val="clear"/>
              </w:rPr>
              <w:t xml:space="preserve">dirección</w:t>
            </w:r>
            <w:r>
              <w:t xml:space="preserve">, Santa Cruz de la Sierra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Titular de los derechos patrimoniales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El mismo autor (persona natural)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Fecha de creación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Desarrollo desde </w:t>
            </w:r>
            <w:r>
              <w:rPr>
                <w:shd w:fill="FFF176" w:color="auto" w:val="clear"/>
              </w:rPr>
              <w:t xml:space="preserve">mes y año de inicio</w:t>
            </w:r>
            <w:r>
              <w:t xml:space="preserve">; versión 1.0 terminada el 26/09/2026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Publicación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En uso interno en el C.S. San Luis (Red Centro, Santa Cruz) desde </w:t>
            </w:r>
            <w:r>
              <w:rPr>
                <w:shd w:fill="FFF176" w:color="auto" w:val="clear"/>
              </w:rPr>
              <w:t xml:space="preserve">fecha</w:t>
            </w:r>
            <w:r>
              <w:t xml:space="preserve">; no comercializada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País de origen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Bolivia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Lenguajes y tecnología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HTML5, CSS y JavaScript (interfaz); SQL de PostgreSQL (base de datos y reglas de seguridad)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spacing w:after="140" w:before="320"/>
      </w:pPr>
      <w:r>
        <w:t xml:space="preserve">6. Descripción del programa</w:t>
      </w:r>
    </w:p>
    <w:p>
      <w:pPr>
        <w:spacing w:after="120" w:line="290"/>
      </w:pPr>
      <w:r>
        <w:rPr>
          <w:b/>
          <w:bCs/>
        </w:rPr>
        <w:t xml:space="preserve">SIVEC PAP/VPH</w:t>
      </w:r>
      <w:r>
        <w:t xml:space="preserve"> es un sistema web para el </w:t>
      </w:r>
      <w:r>
        <w:rPr>
          <w:b/>
          <w:bCs/>
        </w:rPr>
        <w:t xml:space="preserve">tamizaje de cáncer de cuello uterino</w:t>
      </w:r>
      <w:r>
        <w:t xml:space="preserve"> (Papanicolaou y prueba de VPH) en la red pública de salud. Registra a cada mujer una sola vez y sigue su </w:t>
      </w:r>
      <w:r>
        <w:rPr>
          <w:b/>
          <w:bCs/>
        </w:rPr>
        <w:t xml:space="preserve">línea de tiempo</w:t>
      </w:r>
      <w:r>
        <w:t xml:space="preserve"> completa: desde la toma de la muestra hasta el resultado, la derivación, la colposcopia, la biopsia, el tratamiento y el control, aunque se atienda en distintos establecimientos.</w:t>
      </w:r>
    </w:p>
    <w:p>
      <w:pPr>
        <w:pStyle w:val="Heading2"/>
        <w:keepNext/>
        <w:spacing w:after="100" w:before="220"/>
      </w:pPr>
      <w:r>
        <w:t xml:space="preserve">Usuarios y funciones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Usuario</w:t>
            </w:r>
          </w:p>
        </w:tc>
        <w:tc>
          <w:tcPr>
            <w:tcW w:type="dxa" w:w="6426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Qué hace en el SIVEC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Profesional del centro de salud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Registra la paciente y la toma (PAP, VPH por profesional o por autotoma), la consulta (SOAP), imprime los formularios oficiales (D-1, D-8, registro de toma, consentimiento), arma el lote de muestras con código de barras, recibe el resultado digital, deriva a colposcopia y recibe la contrarreferencia.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Laboratorio (citología y VPH)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Recibe los lotes escaneando el código de barras, rechaza muestras con motivo, informa Bethesda y VPH con genotipo y prueba usada, y firma: el resultado llega solo a la ficha del centro.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Colposcopia (hospital)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Da la cita, registra colposcopia, biopsia y tratamiento, y devuelve la contrarreferencia al centro.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Gestor de red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Tablero en vivo de su red: metas, resultados, positivas sin tratar, tiempos del laboratorio y mapa.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Administrador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Redes, establecimientos, servicios, usuarios y permisos; mapa de todos los establecimientos.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t xml:space="preserve">Módulos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Registro de pacientes y tomas, con aviso si la mujer ya tiene tomas en otro establecimiento.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Ficha con </w:t>
      </w:r>
      <w:r>
        <w:rPr>
          <w:b/>
          <w:bCs/>
        </w:rPr>
        <w:t xml:space="preserve">línea de tiempo</w:t>
      </w:r>
      <w:r>
        <w:t xml:space="preserve"> entre establecimientos (toma → envío → laboratorio → informe → entrega → derivación → colposcopia → biopsia → tratamiento).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Seguimiento de positivas (PAP+ y VPH+) por etapas y búsqueda activa.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Lotes de envío con código de barras, hoja de remisión y etiquetas; laboratorio propio, de otro establecimiento o externo.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Portal del laboratorio y portal de colposcopia.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Autotoma de VPH (en el establecimiento o en casa con kit).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Tablero de red, panel de indicadores, mapa georreferenciado y balance semanal.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Administración de redes, establecimientos, usuarios y permisos.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Modo presentación que oculta los datos personales para demostraciones.</w:t>
      </w:r>
    </w:p>
    <w:p>
      <w:pPr>
        <w:pStyle w:val="Heading2"/>
        <w:keepNext/>
        <w:spacing w:after="100" w:before="220"/>
      </w:pPr>
      <w:r>
        <w:t xml:space="preserve">Tecnología y seguridad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Aplicación web: funciona en cualquier navegador, sin instalar programas; puede instalarse como aplicación (PWA).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Base de datos PostgreSQL con </w:t>
      </w:r>
      <w:r>
        <w:rPr>
          <w:b/>
          <w:bCs/>
        </w:rPr>
        <w:t xml:space="preserve">reglas de seguridad por fila</w:t>
      </w:r>
      <w:r>
        <w:t xml:space="preserve">: cada establecimiento lee solo lo suyo; la línea de tiempo entre establecimientos queda registrada.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Inicio de sesión por persona, con permisos por función.</w:t>
      </w:r>
    </w:p>
    <w:p>
      <w:pPr>
        <w:pStyle w:val="Heading2"/>
        <w:keepNext/>
        <w:spacing w:after="100" w:before="220"/>
      </w:pPr>
      <w:r>
        <w:t xml:space="preserve">Lo original de la obra</w:t>
      </w:r>
    </w:p>
    <w:p>
      <w:pPr>
        <w:spacing w:after="120" w:line="290"/>
      </w:pPr>
      <w:r>
        <w:t xml:space="preserve">La organización del circuito completo del tamizaje en un solo sistema; la línea de tiempo de la mujer entre establecimientos; el lote digital con código de barras que une centro y laboratorio; la derivación y contrarreferencia digitales; y el diseño de las pantallas y de la base de datos, creados por el autor a partir de su práctica como médico en la atención primaria.</w:t>
      </w:r>
    </w:p>
    <w:p>
      <w:pPr>
        <w:pStyle w:val="Heading1"/>
        <w:keepNext/>
        <w:spacing w:after="140" w:before="320"/>
      </w:pPr>
      <w:r>
        <w:t xml:space="preserve">7. Contenido del USB o CD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Archivo</w:t>
            </w:r>
          </w:p>
        </w:tc>
        <w:tc>
          <w:tcPr>
            <w:tcW w:type="dxa" w:w="5626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Qué es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SIVEC-PAP-sistema.html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El programa completo (código fuente y ejecutable: se abre en el navegador)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SUPABASE-SQL.md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Estructura de la base de datos y reglas de seguridad (Pasos 1 a 25)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web/ (carpeta)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Versión sitio: manifest, service worker, íconos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SIVEC-video-demostrativo.webm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Video de 3 a 5 minutos del sistema en uso, con datos ficticios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Manual-de-usuario.pdf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Capturas de pantalla de cada módulo, con datos ficticios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Descripcion-del-programa.pdf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La sección 6 de esta carpeta, firmada</w:t>
            </w:r>
          </w:p>
        </w:tc>
      </w:tr>
    </w:tbl>
    <w:p>
      <w:pPr>
        <w:spacing w:after="120"/>
      </w:pPr>
    </w:p>
    <w:p>
      <w:pPr>
        <w:shd w:fill="FDF0E1" w:color="auto" w:val="clear"/>
        <w:spacing w:after="160" w:before="80" w:line="280"/>
        <w:ind w:left="120" w:right="120"/>
      </w:pPr>
      <w:r>
        <w:rPr>
          <w:color w:val="9A4A07"/>
          <w:sz w:val="20"/>
          <w:szCs w:val="20"/>
        </w:rPr>
        <w:t xml:space="preserve">Nunca poner datos reales de pacientes en el USB, el video ni las capturas. Usar el modo presentación o datos ficticios.</w:t>
      </w:r>
    </w:p>
    <w:p>
      <w:r>
        <w:br w:type="page"/>
      </w:r>
    </w:p>
    <w:p>
      <w:pPr>
        <w:pStyle w:val="Heading1"/>
        <w:keepNext/>
        <w:spacing w:after="140" w:before="320"/>
      </w:pPr>
      <w:r>
        <w:t xml:space="preserve">8. Declaración jurada de autoría</w:t>
      </w:r>
    </w:p>
    <w:p>
      <w:pPr>
        <w:spacing w:after="120" w:line="290"/>
      </w:pPr>
      <w:r>
        <w:t xml:space="preserve">Yo, </w:t>
      </w:r>
      <w:r>
        <w:rPr>
          <w:shd w:fill="FFF176" w:color="auto" w:val="clear"/>
        </w:rPr>
        <w:t xml:space="preserve">Nombre completo</w:t>
      </w:r>
      <w:r>
        <w:t xml:space="preserve">, con cédula de identidad N° </w:t>
      </w:r>
      <w:r>
        <w:rPr>
          <w:shd w:fill="FFF176" w:color="auto" w:val="clear"/>
        </w:rPr>
        <w:t xml:space="preserve">__________</w:t>
      </w:r>
      <w:r>
        <w:t xml:space="preserve"> expedida en </w:t>
      </w:r>
      <w:r>
        <w:rPr>
          <w:shd w:fill="FFF176" w:color="auto" w:val="clear"/>
        </w:rPr>
        <w:t xml:space="preserve">__________</w:t>
      </w:r>
      <w:r>
        <w:t xml:space="preserve">, mayor de edad, hábil por derecho, con domicilio en </w:t>
      </w:r>
      <w:r>
        <w:rPr>
          <w:shd w:fill="FFF176" w:color="auto" w:val="clear"/>
        </w:rPr>
        <w:t xml:space="preserve">dirección</w:t>
      </w:r>
      <w:r>
        <w:t xml:space="preserve">, Santa Cruz de la Sierra, declaro bajo juramento: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Que soy el </w:t>
      </w:r>
      <w:r>
        <w:rPr>
          <w:b/>
          <w:bCs/>
        </w:rPr>
        <w:t xml:space="preserve">autor</w:t>
      </w:r>
      <w:r>
        <w:t xml:space="preserve"> del programa de ordenador denominado </w:t>
      </w:r>
      <w:r>
        <w:rPr>
          <w:b/>
          <w:bCs/>
        </w:rPr>
        <w:t xml:space="preserve">"SIVEC PAP/VPH – Sistema Integral de Vigilancia y Enlace Clínico para el tamizaje de cáncer de cuello uterino"</w:t>
      </w:r>
      <w:r>
        <w:t xml:space="preserve">, versión 1.0.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Que la obra es </w:t>
      </w:r>
      <w:r>
        <w:rPr>
          <w:b/>
          <w:bCs/>
        </w:rPr>
        <w:t xml:space="preserve">original</w:t>
      </w:r>
      <w:r>
        <w:t xml:space="preserve">, fue creada por mí y no infringe derechos de terceros.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Que soy el </w:t>
      </w:r>
      <w:r>
        <w:rPr>
          <w:b/>
          <w:bCs/>
        </w:rPr>
        <w:t xml:space="preserve">titular</w:t>
      </w:r>
      <w:r>
        <w:t xml:space="preserve"> de los derechos patrimoniales sobre la obra y no los he cedido ni licenciado en exclusiva a ninguna persona natural o jurídica.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Que la información presentada al Servicio Nacional de Propiedad Intelectual es verdadera, y que asumo la responsabilidad legal que corresponda si fuera falsa.</w:t>
      </w:r>
    </w:p>
    <w:p>
      <w:pPr>
        <w:spacing w:after="120" w:line="290"/>
      </w:pPr>
      <w:r>
        <w:t xml:space="preserve">Santa Cruz de la Sierra, </w:t>
      </w:r>
      <w:r>
        <w:rPr>
          <w:shd w:fill="FFF176" w:color="auto" w:val="clear"/>
        </w:rPr>
        <w:t xml:space="preserve">día</w:t>
      </w:r>
      <w:r>
        <w:t xml:space="preserve"> de </w:t>
      </w:r>
      <w:r>
        <w:rPr>
          <w:shd w:fill="FFF176" w:color="auto" w:val="clear"/>
        </w:rPr>
        <w:t xml:space="preserve">mes</w:t>
      </w:r>
      <w:r>
        <w:t xml:space="preserve"> de </w:t>
      </w:r>
      <w:r>
        <w:rPr>
          <w:shd w:fill="FFF176" w:color="auto" w:val="clear"/>
        </w:rPr>
        <w:t xml:space="preserve">año</w:t>
      </w:r>
      <w:r>
        <w:t xml:space="preserve">.</w:t>
      </w:r>
    </w:p>
    <w:p>
      <w:pPr>
        <w:spacing w:before="700"/>
      </w:pPr>
    </w:p>
    <w:p>
      <w:pPr>
        <w:spacing w:after="20"/>
        <w:jc w:val="center"/>
      </w:pPr>
      <w:r>
        <w:t xml:space="preserve">________________________________</w:t>
      </w:r>
    </w:p>
    <w:p>
      <w:pPr>
        <w:spacing w:after="20"/>
        <w:jc w:val="center"/>
      </w:pPr>
      <w:r>
        <w:rPr>
          <w:shd w:fill="FFF176" w:color="auto" w:val="clear"/>
        </w:rPr>
        <w:t xml:space="preserve">Nombre completo</w:t>
      </w:r>
    </w:p>
    <w:p>
      <w:pPr>
        <w:spacing w:after="20"/>
        <w:jc w:val="center"/>
      </w:pPr>
      <w:r>
        <w:t xml:space="preserve">CI </w:t>
      </w:r>
      <w:r>
        <w:rPr>
          <w:shd w:fill="FFF176" w:color="auto" w:val="clear"/>
        </w:rPr>
        <w:t xml:space="preserve">__________</w:t>
      </w:r>
    </w:p>
    <w:p>
      <w:r>
        <w:br w:type="page"/>
      </w:r>
    </w:p>
    <w:p>
      <w:pPr>
        <w:pStyle w:val="Heading1"/>
        <w:keepNext/>
        <w:spacing w:after="140" w:before="320"/>
      </w:pPr>
      <w:r>
        <w:t xml:space="preserve">9. El SIVEC completo (la idea general)</w:t>
      </w:r>
    </w:p>
    <w:p>
      <w:pPr>
        <w:spacing w:after="120" w:line="290"/>
      </w:pPr>
      <w:r>
        <w:t xml:space="preserve">Una idea no se registra por sí sola, pero su </w:t>
      </w:r>
      <w:r>
        <w:rPr>
          <w:b/>
          <w:bCs/>
        </w:rPr>
        <w:t xml:space="preserve">expresión</w:t>
      </w:r>
      <w:r>
        <w:t xml:space="preserve"> sí. Para dejar constancia del SIVEC completo a nombre del autor: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Registrar como </w:t>
      </w:r>
      <w:r>
        <w:rPr>
          <w:b/>
          <w:bCs/>
        </w:rPr>
        <w:t xml:space="preserve">obra literaria</w:t>
      </w:r>
      <w:r>
        <w:t xml:space="preserve"> el documento de diseño del SIVEC completo (módulos, circuito, línea de tiempo, modelo de negocio). Base: docs/SIVEC-ideias-proposta.md y docs/SIVEC-completo.html, pasados a un documento en español.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Registrar como </w:t>
      </w:r>
      <w:r>
        <w:rPr>
          <w:b/>
          <w:bCs/>
        </w:rPr>
        <w:t xml:space="preserve">programa de ordenador</w:t>
      </w:r>
      <w:r>
        <w:t xml:space="preserve"> la </w:t>
      </w:r>
      <w:r>
        <w:rPr>
          <w:b/>
          <w:bCs/>
        </w:rPr>
        <w:t xml:space="preserve">versión de demostración del SIVEC completo</w:t>
      </w:r>
      <w:r>
        <w:t xml:space="preserve"> (docs/SIVEC-completo.html y docs/SIVEC-demo.html).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Cada módulo nuevo que se termine (prenatal, vacunas, etc.) se registra como </w:t>
      </w:r>
      <w:r>
        <w:rPr>
          <w:b/>
          <w:bCs/>
        </w:rPr>
        <w:t xml:space="preserve">nueva versión</w:t>
      </w:r>
      <w:r>
        <w:t xml:space="preserve"> u obra derivada.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La marca </w:t>
      </w:r>
      <w:r>
        <w:rPr>
          <w:b/>
          <w:bCs/>
        </w:rPr>
        <w:t xml:space="preserve">SIVEC</w:t>
      </w:r>
      <w:r>
        <w:t xml:space="preserve"> (sección 4) cubre el nombre de toda la familia de productos.</w:t>
      </w:r>
    </w:p>
    <w:p>
      <w:pPr>
        <w:pStyle w:val="Heading1"/>
        <w:keepNext/>
        <w:spacing w:after="140" w:before="320"/>
      </w:pPr>
      <w:r>
        <w:t xml:space="preserve">10. Costos y tiempos (aproximados)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226"/>
      </w:tblGrid>
      <w:tr>
        <w:trPr>
          <w:tblHeader/>
        </w:trPr>
        <w:tc>
          <w:tcPr>
            <w:tcW w:type="dxa" w:w="38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Trámite</w:t>
            </w:r>
          </w:p>
        </w:tc>
        <w:tc>
          <w:tcPr>
            <w:tcW w:type="dxa" w:w="30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Costo aproximado</w:t>
            </w:r>
          </w:p>
        </w:tc>
        <w:tc>
          <w:tcPr>
            <w:tcW w:type="dxa" w:w="2226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Tiempo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Derecho de autor: programa SIVEC PAP/VPH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Bs </w:t>
            </w:r>
            <w:r>
              <w:rPr>
                <w:shd w:fill="FFF176" w:color="auto" w:val="clear"/>
              </w:rPr>
              <w:t xml:space="preserve">según tarifa</w:t>
            </w:r>
            <w:r>
              <w:t xml:space="preserve"> SENAPI + Gaceta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1 a 2 meses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Derecho de autor: obra literaria SIVEC completo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Bs </w:t>
            </w:r>
            <w:r>
              <w:rPr>
                <w:shd w:fill="FFF176" w:color="auto" w:val="clear"/>
              </w:rPr>
              <w:t xml:space="preserve">según tarifa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1 a 2 meses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Búsqueda de antecedentes de marca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Bs </w:t>
            </w:r>
            <w:r>
              <w:rPr>
                <w:shd w:fill="FFF176" w:color="auto" w:val="clear"/>
              </w:rPr>
              <w:t xml:space="preserve">según tarifa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≈ 8 días hábiles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Marca SIVEC, por clase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Bs 75 + Bs 255 + Bs 750 (2025)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6 a 8 meses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Abogado de propiedad intelectual (opcional)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Bs </w:t>
            </w:r>
            <w:r>
              <w:rPr>
                <w:shd w:fill="FFF176" w:color="auto" w:val="clear"/>
              </w:rPr>
              <w:t xml:space="preserve">consultar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t xml:space="preserve">Fuentes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SENAPI · Registro de software: senapi.gob.bo/prensa/notas/registro-de-software-en-el-senapi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SENAPI · Guía de formularios de derecho de autor: senapi.gob.bo/sites/default/files/senapi/guia/guia-20200701-01-nuevos-formularios-derecho-de-autor.pdf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SENAPI · Reglamento del soporte lógico o software: senapi.gob.bo/normativas/decretos-supremos/reglamento-del-soporte-logico-o-software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SENAPI · Búsqueda de antecedentes de signos distintivos: senapi.gob.bo/node/1321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Bolivia Emprende · Guía para registrar su marca: boliviaemprende.com/guias/guia-como-registrar-su-marca</w:t>
      </w:r>
    </w:p>
    <w:sectPr>
      <w:footerReference w:type="default" r:id="rId7"/>
      <w:head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5660"/>
        <w:sz w:val="16"/>
        <w:szCs w:val="16"/>
      </w:rPr>
      <w:t xml:space="preserve">SIVEC · Carpeta SENAPI · página </w:t>
    </w:r>
    <w:r>
      <w:rPr>
        <w:color w:val="6A56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1F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7D2A4C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1F27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e22765a6188ff486f8c18b71780e6726628bb01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Carpeta para el SENAPI – SIVEC</dc:title>
  <dc:creator>Enlace Clínico</dc:creator>
  <cp:lastModifiedBy>Un-named</cp:lastModifiedBy>
  <cp:revision>1</cp:revision>
  <dcterms:created xsi:type="dcterms:W3CDTF">2026-09-26T18:43:37.297Z</dcterms:created>
  <dcterms:modified xsi:type="dcterms:W3CDTF">2026-09-26T18:43:37.297Z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