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Caption"/>
      </w:pPr>
      <w:r>
        <w:t>일반국민/대학(원)생 부문</w:t>
      </w:r>
    </w:p>
    <w:p>
      <w:pPr>
        <w:pStyle w:val="Title"/>
      </w:pPr>
      <w:r>
        <w:t>제6회 K-인공지능 제조데이터</w:t>
        <w:br/>
        <w:t>분석 경진대회 보고서</w:t>
      </w:r>
    </w:p>
    <w:tbl>
      <w:tblPr>
        <w:tblW w:type="auto" w:w="0"/>
        <w:jc w:val="center"/>
        <w:tblLayout w:type="fixed"/>
        <w:tblLook w:firstColumn="1" w:firstRow="1" w:lastColumn="0" w:lastRow="0" w:noHBand="0" w:noVBand="1" w:val="04A0"/>
      </w:tblPr>
      <w:tblGrid>
        <w:gridCol w:w="1701"/>
        <w:gridCol w:w="7937"/>
      </w:tblGrid>
      <w:tr>
        <w:trPr>
          <w:tblHeader/>
        </w:trP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항목</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8"/>
              </w:rPr>
              <w:t>내용</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프로젝트명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X-ray 이물 탐지와 조건별 오류 분석 기반 재검사 설계</w:t>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팀명</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r>
          </w:p>
        </w:tc>
      </w:tr>
      <w:tr>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8"/>
              </w:rPr>
              <w:t>내용 요약</w:t>
            </w:r>
          </w:p>
        </w:tc>
        <w:tc>
          <w:tcPr>
            <w:tcW w:type="dxa" w:w="793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t>X-ray 사진에서 이물 위치를 찾는 모델을 개발한다. 색 네모를 제거하고 촬영 묶음에 따라 데이터를 나눈다. 같은 학습 자료로 서로 다른 탐지 구조를 비교한다. 전체 성능과 조건별 오류를 함께 분석하여 재검사 기준을 제안한다.</w:t>
              <w:br/>
              <w:br/>
              <w:t>이 검토본은 EDA, 공통 여섯 모델 비교, AI 보조 시각 평가와 단계적 검사 시제품 결과를 포함한다. FN 위험을 우선하여 YOLOv8n과 Faster R-CNN의 독립적인 전체 추가 검사를 연구 후보로 제안한다. 현장 운영 기준은 추가 검증이 필요하다.</w:t>
            </w:r>
          </w:p>
        </w:tc>
      </w:tr>
    </w:tbl>
    <w:p/>
    <w:p>
      <w:r>
        <w:t>상기 본인(팀)은 위의 내용과 같이 제6회 K-인공지능 제조데이터 분석 경진대회 결과 보고서를 제출합니다.</w:t>
      </w:r>
    </w:p>
    <w:p>
      <w:r>
        <w:t>2026년       월       일</w:t>
      </w:r>
    </w:p>
    <w:p>
      <w:r>
        <w:t>팀장 :                          (서명)</w:t>
        <w:br/>
        <w:t>팀원 :                          (서명)</w:t>
        <w:br/>
        <w:t>팀원 :                          (서명)</w:t>
      </w:r>
    </w:p>
    <w:p>
      <w:r>
        <w:t>(사)중소기업기술혁신협회 귀중</w:t>
      </w:r>
    </w:p>
    <w:p>
      <w:pPr>
        <w:pStyle w:val="Heading1"/>
        <w:pageBreakBefore/>
      </w:pPr>
      <w:r>
        <w:t>제1장 데이터 이해 및 진단</w:t>
      </w:r>
    </w:p>
    <w:p>
      <w:pPr>
        <w:pStyle w:val="Heading2"/>
      </w:pPr>
      <w:r>
        <w:t>원본 사진과 라벨 제공 데이터셋</w:t>
      </w:r>
    </w:p>
    <w:p>
      <w:r>
        <w:t>분석 대상은 X-ray 검사장비의 이물 탐지 영상이다. 사진 속 작은 검은 점은 주로 시험용 금속구이고, 길쭉한 회색 물체는 검사 감도를 확인하는 시험편 막대다. 실제 생산 중 발생하는 다양한 이물과 정상 제품을 대표한다고 가정하지 않는다.</w:t>
      </w:r>
    </w:p>
    <w:tbl>
      <w:tblPr>
        <w:tblW w:type="auto" w:w="0"/>
        <w:jc w:val="center"/>
        <w:tblLayout w:type="fixed"/>
        <w:tblLook w:firstColumn="1" w:firstRow="1" w:lastColumn="0" w:lastRow="0" w:noHBand="0" w:noVBand="1" w:val="04A0"/>
      </w:tblPr>
      <w:tblGrid>
        <w:gridCol w:w="2891"/>
        <w:gridCol w:w="1247"/>
        <w:gridCol w:w="5499"/>
      </w:tblGrid>
      <w:tr>
        <w:trPr>
          <w:tblHeader/>
        </w:trP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자료</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학습과 평가에서의 역할</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원본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2,532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중복을 제외한 고유 원본</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라벨 제공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500</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공식 TXT 라벨이 있는 사진</w:t>
            </w:r>
          </w:p>
        </w:tc>
      </w:tr>
      <w:tr>
        <w:tc>
          <w:tcPr>
            <w:tcW w:type="dxa" w:w="289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미라벨 데이터셋</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2,032</w:t>
            </w:r>
          </w:p>
        </w:tc>
        <w:tc>
          <w:tcPr>
            <w:tcW w:type="dxa" w:w="5499"/>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TXT 없음. 정상이라는 뜻은 아님</w:t>
            </w:r>
          </w:p>
        </w:tc>
      </w:tr>
    </w:tbl>
    <w:p/>
    <w:p>
      <w:r>
        <w:t>원본 BMP 파일은 2,809개다. 고유 사진 2,532장 중 색 네모가 있는 사진은 2,427장이다. 나머지 105장은 노란 위치 안내선만 있는 사진이다. 위치 이상 사진은 대표 정상 제품으로 간주하지 않고 학습에서 제외했다.</w:t>
      </w:r>
    </w:p>
    <w:p>
      <w:r>
        <w:t>공식 TXT에는 이물 1,147개의 종류와 박스 좌표가 있다. 공식 정답 라벨을 학습과 채점의 기준으로 사용한다. 장비가 사진에 그린 색 네모는 정답 박스와 다르다.</w:t>
      </w:r>
    </w:p>
    <w:p>
      <w:pPr>
        <w:pStyle w:val="Caption"/>
      </w:pPr>
      <w:r>
        <w:t>근거: 원본·라벨 감사 기록, data/xray_v2/manifest.csv, 전처리 정리본 19의 0~2절.</w:t>
      </w:r>
    </w:p>
    <w:p>
      <w:pPr>
        <w:pStyle w:val="Heading1"/>
        <w:pageBreakBefore/>
      </w:pPr>
      <w:r>
        <w:t>제1장 데이터 이해 및 진단</w:t>
      </w:r>
    </w:p>
    <w:p>
      <w:pPr>
        <w:pStyle w:val="Heading2"/>
      </w:pPr>
      <w:r>
        <w:t>탐색적 데이터 분석과 전처리 선택 근거</w:t>
      </w:r>
    </w:p>
    <w:p>
      <w:pPr/>
      <w:r>
        <w:t>초기 점검과 시제품 이후 상세 EDA로 전처리를 보완했다. 중복, 라벨 유무, 박스 크기, 색 네모, 촬영 시각을 조사했다.</w:t>
      </w:r>
    </w:p>
    <w:p>
      <w:pPr/>
      <w:r>
        <w:drawing>
          <wp:inline xmlns:a="http://schemas.openxmlformats.org/drawingml/2006/main" xmlns:pic="http://schemas.openxmlformats.org/drawingml/2006/picture">
            <wp:extent cx="5400000" cy="2110909"/>
            <wp:docPr id="5" name="Picture 5"/>
            <wp:cNvGraphicFramePr>
              <a:graphicFrameLocks noChangeAspect="1"/>
            </wp:cNvGraphicFramePr>
            <a:graphic>
              <a:graphicData uri="http://schemas.openxmlformats.org/drawingml/2006/picture">
                <pic:pic>
                  <pic:nvPicPr>
                    <pic:cNvPr id="0" name="19_EDA_라벨과_박스크기.png"/>
                    <pic:cNvPicPr/>
                  </pic:nvPicPr>
                  <pic:blipFill>
                    <a:blip r:embed="rId15"/>
                    <a:stretch>
                      <a:fillRect/>
                    </a:stretch>
                  </pic:blipFill>
                  <pic:spPr>
                    <a:xfrm>
                      <a:off x="0" y="0"/>
                      <a:ext cx="5400000" cy="2110909"/>
                    </a:xfrm>
                    <a:prstGeom prst="rect"/>
                  </pic:spPr>
                </pic:pic>
              </a:graphicData>
            </a:graphic>
          </wp:inline>
        </w:drawing>
      </w:r>
    </w:p>
    <w:p>
      <w:pPr>
        <w:pStyle w:val="Caption"/>
      </w:pPr>
      <w:r>
        <w:t>EDA 그림. 고유 사진의 라벨 유무와 공식 TXT 박스의 긴 변 분포. 박스 크기는 실제 이물 지름과 다르다.</w:t>
      </w:r>
    </w:p>
    <w:p>
      <w:pPr/>
      <w:r>
        <w:t>① BMP 2,809개에서 중복 사본 277개를 제외했다. 파일 이름과 내용 해시를 대조해 고유 사진 2,532장을 구분했다.</w:t>
      </w:r>
    </w:p>
    <w:p>
      <w:pPr/>
      <w:r>
        <w:t>② 라벨은 500장·박스 1,147개이며 박스 긴 변 중앙값은 11픽셀이다. 작은 이물 주변을 보존하도록 색 테두리 픽셀만 제거했다.</w:t>
      </w:r>
    </w:p>
    <w:p>
      <w:pPr/>
      <w:r>
        <w:t>③ 색 네모의 팔레트 번호를 확인했다. 메우기 방법을 비교한 뒤 나비에-스토크스 인페인팅을 적용했다.</w:t>
      </w:r>
    </w:p>
    <w:p>
      <w:pPr/>
      <w:r>
        <w:t>④ 연속 사진이 반복되어 같은 촬영 묶음을 유지하며 분할했다. 검사기·시험편 구성을 고려했다. 실제 정상 제품 평가 표본은 없다.</w:t>
      </w:r>
    </w:p>
    <w:p>
      <w:pPr>
        <w:pStyle w:val="Caption"/>
      </w:pPr>
      <w:r>
        <w:t>근거: 원본 EDA 재실행(2026-10-04), 표시 제거 비교(2026-09-29). 기존 원본·라벨·촬영 구조 통계와 일치했다.</w:t>
      </w:r>
    </w:p>
    <w:p>
      <w:pPr>
        <w:pStyle w:val="Heading1"/>
        <w:pageBreakBefore/>
      </w:pPr>
      <w:r>
        <w:t>제1장 데이터 이해 및 진단</w:t>
      </w:r>
    </w:p>
    <w:p>
      <w:pPr>
        <w:pStyle w:val="Heading2"/>
      </w:pPr>
      <w:r>
        <w:t>색 네모만 골라 지우고 주변 영상으로 메우기</w:t>
      </w:r>
    </w:p>
    <w:p>
      <w:r>
        <w:t>원본 BMP의 팔레트 번호 244~255에 해당하는 픽셀만 선택했다. 선택한 자리에는 주변의 밝기와 경계가 이어지도록 나비에-스토크스 인페인팅을 적용했다. 네모 안쪽 전체를 지우거나 마스크를 주변으로 확대하지 않았다.</w:t>
      </w:r>
    </w:p>
    <w:p>
      <w:pPr>
        <w:spacing w:after="80"/>
      </w:pPr>
      <w:r>
        <w:drawing>
          <wp:inline xmlns:a="http://schemas.openxmlformats.org/drawingml/2006/main" xmlns:pic="http://schemas.openxmlformats.org/drawingml/2006/picture">
            <wp:extent cx="6120000" cy="2754000"/>
            <wp:docPr id="1" name="Picture 1"/>
            <wp:cNvGraphicFramePr>
              <a:graphicFrameLocks noChangeAspect="1"/>
            </wp:cNvGraphicFramePr>
            <a:graphic>
              <a:graphicData uri="http://schemas.openxmlformats.org/drawingml/2006/picture">
                <pic:pic>
                  <pic:nvPicPr>
                    <pic:cNvPr id="0" name="19_색표시와_정답의_차이.png"/>
                    <pic:cNvPicPr/>
                  </pic:nvPicPr>
                  <pic:blipFill>
                    <a:blip r:embed="rId11"/>
                    <a:stretch>
                      <a:fillRect/>
                    </a:stretch>
                  </pic:blipFill>
                  <pic:spPr>
                    <a:xfrm>
                      <a:off x="0" y="0"/>
                      <a:ext cx="6120000" cy="2754000"/>
                    </a:xfrm>
                    <a:prstGeom prst="rect"/>
                  </pic:spPr>
                </pic:pic>
              </a:graphicData>
            </a:graphic>
          </wp:inline>
        </w:drawing>
      </w:r>
    </w:p>
    <w:p>
      <w:pPr>
        <w:pStyle w:val="Caption"/>
      </w:pPr>
      <w:r>
        <w:t>그림 1. 같은 이물 주변의 실제 처리 전·후 사진. 파란 정답 박스는 설명용으로만 덧그렸다.</w:t>
      </w:r>
    </w:p>
    <w:p>
      <w:r>
        <w:t>이 방법의 목적은 장비 표시가 학습 단서가 되는 것을 막으면서 작은 이물 주변의 회색 정보를 남기는 것이다. 색 선 아래의 원래 밝기는 알 수 없으므로, 그 부분은 추정해 메운 결과다. 완전한 원본 복원으로 해석하지 않는다.</w:t>
      </w:r>
    </w:p>
    <w:p>
      <w:r>
        <w:t>사진 크기와 이물 위치를 바꾸지 않았으므로 공식 TXT 좌표를 그대로 짝지었다. 원본 BMP와 공식 TXT는 보존하고 처리 사진은 별도로 저장했다.</w:t>
      </w:r>
    </w:p>
    <w:p>
      <w:pPr>
        <w:pStyle w:val="Heading1"/>
        <w:pageBreakBefore/>
      </w:pPr>
      <w:r>
        <w:t>제1장 데이터 이해 및 진단</w:t>
      </w:r>
    </w:p>
    <w:p>
      <w:pPr>
        <w:pStyle w:val="Heading2"/>
      </w:pPr>
      <w:r>
        <w:t>사진 한 장과 TXT 라벨의 관계</w:t>
      </w:r>
    </w:p>
    <w:p>
      <w:r>
        <w:t>TXT 한 줄은 이물 하나의 위치다. 순서는 종류 번호, 중심의 가로 위치, 중심의 세로 위치, 박스 너비, 박스 높이다. 뒤의 네 값은 사진 너비와 높이에 대한 비율이다.</w:t>
      </w:r>
    </w:p>
    <w:p>
      <w:pPr>
        <w:spacing w:after="80"/>
      </w:pPr>
      <w:r>
        <w:drawing>
          <wp:inline xmlns:a="http://schemas.openxmlformats.org/drawingml/2006/main" xmlns:pic="http://schemas.openxmlformats.org/drawingml/2006/picture">
            <wp:extent cx="5940000" cy="3606429"/>
            <wp:docPr id="2" name="Picture 2"/>
            <wp:cNvGraphicFramePr>
              <a:graphicFrameLocks noChangeAspect="1"/>
            </wp:cNvGraphicFramePr>
            <a:graphic>
              <a:graphicData uri="http://schemas.openxmlformats.org/drawingml/2006/picture">
                <pic:pic>
                  <pic:nvPicPr>
                    <pic:cNvPr id="0" name="19_TXT라벨_사진과_좌표.png"/>
                    <pic:cNvPicPr/>
                  </pic:nvPicPr>
                  <pic:blipFill>
                    <a:blip r:embed="rId12"/>
                    <a:stretch>
                      <a:fillRect/>
                    </a:stretch>
                  </pic:blipFill>
                  <pic:spPr>
                    <a:xfrm>
                      <a:off x="0" y="0"/>
                      <a:ext cx="5940000" cy="3606429"/>
                    </a:xfrm>
                    <a:prstGeom prst="rect"/>
                  </pic:spPr>
                </pic:pic>
              </a:graphicData>
            </a:graphic>
          </wp:inline>
        </w:drawing>
      </w:r>
    </w:p>
    <w:p>
      <w:pPr>
        <w:pStyle w:val="Caption"/>
      </w:pPr>
      <w:r>
        <w:t>그림 2. 실제 사진과 공식 TXT 세 줄. 설명선과 번호는 학습 입력에 포함하지 않는다.</w:t>
      </w:r>
    </w:p>
    <w:p>
      <w:r>
        <w:t>종류 번호 0은 defect를 뜻한다. 이물 0개나 정상이라는 뜻이 아니다. 사진을 자르거나 돌릴 때에는 위치가 달라지므로 박스 좌표도 함께 변환했다.</w:t>
      </w:r>
    </w:p>
    <w:p>
      <w:pPr>
        <w:pStyle w:val="Heading1"/>
        <w:pageBreakBefore/>
      </w:pPr>
      <w:r>
        <w:t>제1장 데이터 이해 및 진단</w:t>
      </w:r>
    </w:p>
    <w:p>
      <w:pPr>
        <w:pStyle w:val="Heading2"/>
      </w:pPr>
      <w:r>
        <w:t>촬영 묶음 분할과 학습 자료 구성</w:t>
      </w:r>
    </w:p>
    <w:p>
      <w:r>
        <w:t>같은 검사기에서 촬영 간격이 60초 이내로 이어지는 사진을 한 묶음으로 유지했다. 비슷한 연속 사진이 학습과 평가에 함께 들어가는 것을 줄이기 위한 분할이다. 목표 비율은 60:20:20이며 호기와 시험편 구성도 고려했다. 라벨 누락 의심 묶음은 학습에 고정했다.</w:t>
      </w:r>
    </w:p>
    <w:tbl>
      <w:tblPr>
        <w:tblW w:type="auto" w:w="0"/>
        <w:jc w:val="center"/>
        <w:tblLayout w:type="fixed"/>
        <w:tblLook w:firstColumn="1" w:firstRow="1" w:lastColumn="0" w:lastRow="0" w:noHBand="0" w:noVBand="1" w:val="04A0"/>
      </w:tblPr>
      <w:tblGrid>
        <w:gridCol w:w="2835"/>
        <w:gridCol w:w="1701"/>
        <w:gridCol w:w="2268"/>
        <w:gridCol w:w="28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분할</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정답 이물</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촬영 묶음</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학습</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296</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679</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67</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107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243</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24</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테스트</w:t>
            </w:r>
          </w:p>
        </w:tc>
        <w:tc>
          <w:tcPr>
            <w:tcW w:type="dxa" w:w="170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97</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225</w:t>
            </w:r>
          </w:p>
        </w:tc>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23</w:t>
            </w:r>
          </w:p>
        </w:tc>
      </w:tr>
    </w:tbl>
    <w:p/>
    <w:p>
      <w:r>
        <w:t>296·107·97이라는 장수를 먼저 정한 것은 아니다. 묶음을 통째로 배정한 결과다. 증강 사진과 의사 라벨은 학습에만 추가한다. 검증과 테스트에는 공식 정답 라벨을 유지한다.</w:t>
      </w:r>
    </w:p>
    <w:p>
      <w:r>
        <w:t>전체 혼합 학습 자료는 2,453장이다. 기본 296장에 자르기·회전 885장, 이물 전부·일부 제거 175장, 막대 밖 합성 295장, 의사 라벨 802장을 더했다. 같은 사진을 중복 합산하지 않았다.</w:t>
      </w:r>
    </w:p>
    <w:p>
      <w:pPr>
        <w:pStyle w:val="Caption"/>
      </w:pPr>
      <w:r>
        <w:t>분할 MD5: 8e58184ae24dfd1b48da2e9dfd88fedc. 같은 묶음 내부 사진은 독립 표본으로 가정하지 않는다.</w:t>
      </w:r>
    </w:p>
    <w:p>
      <w:pPr>
        <w:pStyle w:val="Heading1"/>
        <w:pageBreakBefore/>
      </w:pPr>
      <w:r>
        <w:t>제1장 데이터 이해 및 진단</w:t>
      </w:r>
    </w:p>
    <w:p>
      <w:pPr>
        <w:pStyle w:val="Heading2"/>
      </w:pPr>
      <w:r>
        <w:t>사진 전체 변형과 이물 합성 및 제거</w:t>
      </w:r>
    </w:p>
    <w:p>
      <w:pPr>
        <w:spacing w:after="80"/>
      </w:pPr>
      <w:r>
        <w:drawing>
          <wp:inline xmlns:a="http://schemas.openxmlformats.org/drawingml/2006/main" xmlns:pic="http://schemas.openxmlformats.org/drawingml/2006/picture">
            <wp:extent cx="5940000" cy="4112308"/>
            <wp:docPr id="3" name="Picture 3"/>
            <wp:cNvGraphicFramePr>
              <a:graphicFrameLocks noChangeAspect="1"/>
            </wp:cNvGraphicFramePr>
            <a:graphic>
              <a:graphicData uri="http://schemas.openxmlformats.org/drawingml/2006/picture">
                <pic:pic>
                  <pic:nvPicPr>
                    <pic:cNvPr id="0" name="19_실행한_전처리_사진예시.png"/>
                    <pic:cNvPicPr/>
                  </pic:nvPicPr>
                  <pic:blipFill>
                    <a:blip r:embed="rId13"/>
                    <a:stretch>
                      <a:fillRect/>
                    </a:stretch>
                  </pic:blipFill>
                  <pic:spPr>
                    <a:xfrm>
                      <a:off x="0" y="0"/>
                      <a:ext cx="5940000" cy="4112308"/>
                    </a:xfrm>
                    <a:prstGeom prst="rect"/>
                  </pic:spPr>
                </pic:pic>
              </a:graphicData>
            </a:graphic>
          </wp:inline>
        </w:drawing>
      </w:r>
    </w:p>
    <w:p>
      <w:pPr>
        <w:pStyle w:val="Caption"/>
      </w:pPr>
      <w:r>
        <w:t>그림 3. 실제 생성한 학습 사진. 자르기·회전은 제품과 이물을 함께 바꾼다. 파란 선은 변환 라벨을 보여 주는 설명선이다.</w:t>
      </w:r>
    </w:p>
    <w:p>
      <w:r>
        <w:t>자르기는 모든 이물 박스가 남는 범위에서 가로·세로 약 80~95%를 남기고 확대했다. 회전은 사진 전체에 −7.5도와 +7.5도를 적용했다. 각각 295장과 590장을 만들었다.</w:t>
      </w:r>
    </w:p>
    <w:p>
      <w:r>
        <w:t>이물 전부 제거 82장, 일부 제거 93장은 잔류 검사 통과분이다. 막대 밖 합성 295장은 이물의 어두운 성분을 다른 위치에 추가했다. 합성 정상은 실제 정상 제품을 대체하지 않는다. 자료 생성과 성능 개선 입증은 구분한다.</w:t>
      </w:r>
    </w:p>
    <w:p>
      <w:pPr>
        <w:pStyle w:val="Heading1"/>
        <w:pageBreakBefore/>
      </w:pPr>
      <w:r>
        <w:t>제1장 데이터 이해 및 진단</w:t>
      </w:r>
    </w:p>
    <w:p>
      <w:pPr>
        <w:pStyle w:val="Heading2"/>
      </w:pPr>
      <w:r>
        <w:t>AI 의사 라벨의 자동 선별</w:t>
      </w:r>
    </w:p>
    <w:p>
      <w:r>
        <w:t>미라벨 2,032장 중 노란 선 사진 105장과 검증·테스트 촬영 묶음에 속한 27장을 제외했다. 남은 라벨링 후보 데이터셋 1,900장에 대해 YOLOv8n과 RF-DETR-S의 원래 방향 및 좌우 반전 예측을 비교했다.</w:t>
      </w:r>
    </w:p>
    <w:p>
      <w:r>
        <w:t>각 결과에서 이물 신뢰도 점수 0.6 이상인 박스를 남겼다. 네 결과의 박스 개수와 위치가 일치해야 한다. 위치는 중심 거리 4픽셀 이내이면서 IoU 0.4 이상을 요구했다. 중복·크기·사진 경계·설명되지 않은 어두운 점도 검사했다.</w:t>
      </w:r>
    </w:p>
    <w:tbl>
      <w:tblPr>
        <w:tblW w:type="auto" w:w="0"/>
        <w:jc w:val="center"/>
        <w:tblLayout w:type="fixed"/>
        <w:tblLook w:firstColumn="1" w:firstRow="1" w:lastColumn="0" w:lastRow="0" w:noHBand="0" w:noVBand="1" w:val="04A0"/>
      </w:tblPr>
      <w:tblGrid>
        <w:gridCol w:w="1814"/>
        <w:gridCol w:w="1247"/>
        <w:gridCol w:w="6576"/>
      </w:tblGrid>
      <w:tr>
        <w:trPr>
          <w:tblHeader/>
        </w:trP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분류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사진 수</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처리</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자동 채택</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802</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학습용 의사 라벨 1,082개</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의심</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698</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불일치 또는 미해결 후보. 학습 제외</w:t>
            </w:r>
          </w:p>
        </w:tc>
      </w:tr>
      <w:tr>
        <w:tc>
          <w:tcPr>
            <w:tcW w:type="dxa" w:w="181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보류</w:t>
            </w:r>
          </w:p>
        </w:tc>
        <w:tc>
          <w:tcPr>
            <w:tcW w:type="dxa" w:w="1247"/>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400</w:t>
            </w:r>
          </w:p>
        </w:tc>
        <w:tc>
          <w:tcPr>
            <w:tcW w:type="dxa" w:w="6576"/>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기준 예측의 점수 조건 미충족. 학습 제외</w:t>
            </w:r>
          </w:p>
        </w:tc>
      </w:tr>
    </w:tbl>
    <w:p/>
    <w:p>
      <w:r>
        <w:t>보류는 정상 판정이 아니다. 그중 399장에는 다른 모델이나 반전 결과에서 점수 0.6 이상인 예측이 있었다. 자동 채택 기준은 기본 학습 데이터셋 내부에서 조정했다. 공식 검증·테스트 라벨로 바꾸어 쓰지 않았다.</w:t>
      </w:r>
    </w:p>
    <w:p>
      <w:r>
        <w:t>자동 채택 사진은 1·2호기에만 있다. 3호기에는 통과 사진이 없으므로, 모든 호기에 같은 품질로 라벨을 추가했다고 설명하지 않는다.</w:t>
      </w:r>
    </w:p>
    <w:p>
      <w:pPr>
        <w:pStyle w:val="Caption"/>
      </w:pPr>
      <w:r>
        <w:t>근거: scripts/xray_pseudo_label.py, 의사 라벨 판정 CSV 및 재검사 기록. 자동 채택은 라벨 정확도의 보증이 아니다.</w:t>
      </w:r>
    </w:p>
    <w:p>
      <w:pPr>
        <w:pStyle w:val="Heading1"/>
        <w:pageBreakBefore/>
      </w:pPr>
      <w:r>
        <w:t>제2장 AI 예측모델 개발 및 성능평가</w:t>
      </w:r>
    </w:p>
    <w:p>
      <w:pPr>
        <w:pStyle w:val="Heading2"/>
      </w:pPr>
      <w:r>
        <w:t>구조가 다른 네 탐지 모델</w:t>
      </w:r>
    </w:p>
    <w:p>
      <w:r>
        <w:t>사전학습한 공개 가중치를 이물 탐지 자료에 맞춰 파인튜닝한다. 구조가 다른 모델을 비교하여 특정 방식의 장점이 현재 데이터에서도 나타나는지 확인한다. 프로젝트 비교 기준 모델은 YOLOv8n이다. 제공 예제 노트북의 YOLOv3-SPP와 구분한다.</w:t>
      </w:r>
    </w:p>
    <w:tbl>
      <w:tblPr>
        <w:tblW w:type="auto" w:w="0"/>
        <w:jc w:val="center"/>
        <w:tblLayout w:type="fixed"/>
        <w:tblLook w:firstColumn="1" w:firstRow="1" w:lastColumn="0" w:lastRow="0" w:noHBand="0" w:noVBand="1" w:val="04A0"/>
      </w:tblPr>
      <w:tblGrid>
        <w:gridCol w:w="3288"/>
        <w:gridCol w:w="6350"/>
      </w:tblGrid>
      <w:tr>
        <w:trPr>
          <w:tblHeader/>
        </w:trP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구조와 비교 목적</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한 단계 탐지. 가벼운 비교 기준 모델.</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br/>
              <w:t>ResNet50-FPN v2</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두 단계 탐지. 후보 영역을 찾고 영역별 특징으로 다시 판단. 여러 해상도 특징을 결합.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DINOv2 기반 Vision Transformer 특징과 탐지 decoder. 사진 영역 사이의 관계를 이용.</w:t>
            </w:r>
          </w:p>
        </w:tc>
      </w:tr>
      <w:tr>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635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CNN 특징과 Transformer 탐지 decoder. 박스 경계 분포를 단계적으로 보정.</w:t>
            </w:r>
          </w:p>
        </w:tc>
      </w:tr>
    </w:tbl>
    <w:p/>
    <w:p>
      <w:r>
        <w:t>기본 학습 데이터셋의 정답 박스 긴 변 중앙값은 11픽셀이다. 기존 검증 오류에는 이물 근처의 예측 박스가 정답과 충분히 겹치지 않는 사례가 있었다. D-FINE-S는 경계 보정 기능이 이 오류를 줄이는지 시험하기 위해 추가했다. 적합성과 성능 향상은 실험 결과로 판단한다.</w:t>
      </w:r>
    </w:p>
    <w:p>
      <w:pPr>
        <w:pStyle w:val="Caption"/>
      </w:pPr>
      <w:r>
        <w:t>구조 근거: Ultralytics YOLOv8, Ren et al. 2015, torchvision Faster R-CNN v2, RF-DETR 공식 구현, D-FINE 논문·공식 구현. 출처 목록 참조.</w:t>
      </w:r>
    </w:p>
    <w:p>
      <w:pPr>
        <w:pStyle w:val="Heading1"/>
        <w:pageBreakBefore/>
      </w:pPr>
      <w:r>
        <w:t>제2장 AI 예측모델 개발 및 성능평가</w:t>
      </w:r>
    </w:p>
    <w:p>
      <w:pPr>
        <w:pStyle w:val="Heading2"/>
      </w:pPr>
      <w:r>
        <w:t>공통 학습과 저장 모델 선택 규칙</w:t>
      </w:r>
    </w:p>
    <w:p>
      <w:r>
        <w:t>네 모델에 같은 전체 혼합 학습 자료 2,453장과 검증 사진 107장을 사용한다. 입력 해상도 기준은 512, 난수 시드는 0, 학습 예산은 20epoch다. 모델마다 필요한 optimizer 설정은 실행 기록에 남긴다. 같은 epoch 수가 모델별 최적 학습량을 보장하지는 않는다.</w:t>
      </w:r>
    </w:p>
    <w:p>
      <w:r>
        <w:t>매 epoch의 저장 모델로 같은 검증 사진을 추론하고 공통 채점기로 평가한다. IoU 0.5 검증 F1이 가장 높은 저장본을 선택한다. 동점이면 재현율, IoU 0.75 AP, 더 이른 epoch 순서로 선택한다.</w:t>
      </w:r>
    </w:p>
    <w:p>
      <w:r>
        <w:t>탐지 임계값은 검증 데이터셋에서 선택한다. 선택한 모델과 임계값을 고정한 뒤 테스트에 적용한다. 검증 최고 점수는 선택에 사용한 자료의 점수이므로 최종 일반화 성능과 구분한다. 기존 테스트 결과를 이미 열람한 이력도 공개한다.</w:t>
      </w:r>
    </w:p>
    <w:p>
      <w:r>
        <w:t>이전 실험에서 Faster R-CNN의 epoch별 검증 기록이 부족한 점을 보완했다. 네 모델을 각 20epoch 학습하고 같은 검증 선택 규칙을 적용했다. 선택 epoch는 YOLOv8n 20, Faster R-CNN 17, RF-DETR-S 8, D-FINE-S 11이다.</w:t>
      </w:r>
    </w:p>
    <w:p>
      <w:pPr>
        <w:pStyle w:val="Caption"/>
      </w:pPr>
      <w:r>
        <w:t>실행: YOLOv8n·RF-DETR-S는 맥북 MPS, Faster R-CNN·D-FINE-S는 Colab T4에서 학습했다. 네 모델 모두 같은 맥북 MPS에서 테스트 추론을 완료했다.</w:t>
      </w:r>
    </w:p>
    <w:p>
      <w:pPr>
        <w:pStyle w:val="Heading1"/>
        <w:pageBreakBefore/>
      </w:pPr>
      <w:r>
        <w:t>제2장 AI 예측모델 개발 및 성능평가</w:t>
      </w:r>
    </w:p>
    <w:p>
      <w:pPr>
        <w:pStyle w:val="Heading2"/>
      </w:pPr>
      <w:r>
        <w:t>공통 실험의 모델별 학습 설정</w:t>
      </w:r>
    </w:p>
    <w:tbl>
      <w:tblPr>
        <w:tblW w:type="auto" w:w="0"/>
        <w:jc w:val="center"/>
        <w:tblLayout w:type="fixed"/>
        <w:tblLook w:firstColumn="1" w:firstRow="1" w:lastColumn="0" w:lastRow="0" w:noHBand="0" w:noVBand="1" w:val="04A0"/>
      </w:tblPr>
      <w:tblGrid>
        <w:gridCol w:w="2835"/>
        <w:gridCol w:w="2268"/>
        <w:gridCol w:w="4535"/>
      </w:tblGrid>
      <w:tr>
        <w:trPr>
          <w:tblHeader/>
        </w:trP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장치와 batch</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초기 학습률</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YOLOv8n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8</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Faster R-CNN</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0.0001</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RF-DETR-S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MPS,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encoder 0.000015</w:t>
            </w:r>
          </w:p>
        </w:tc>
      </w:tr>
      <w:tr>
        <w:tc>
          <w:tcPr>
            <w:tcW w:type="dxa" w:w="28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D-FINE-S</w:t>
            </w:r>
          </w:p>
        </w:tc>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CUDA T4, 4</w:t>
            </w:r>
          </w:p>
        </w:tc>
        <w:tc>
          <w:tcPr>
            <w:tcW w:type="dxa" w:w="453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기본 0.0001 / backbone 0.00005</w:t>
            </w:r>
          </w:p>
        </w:tc>
      </w:tr>
    </w:tbl>
    <w:p/>
    <w:p>
      <w:r>
        <w:t>Optimizer는 네 모델 모두 AdamW다. Weight decay는 YOLOv8n이 0.0005, 나머지 모델이 0.0001이다. YOLOv8n의 최종 학습률 비율 설정은 0.01이다. Faster R-CNN과 D-FINE-S에는 cosine 학습률 감소를 적용했다. RF-DETR-S의 상세 학습률 스케줄은 저장한 학습 설정을 따른다.</w:t>
      </w:r>
    </w:p>
    <w:p>
      <w:r>
        <w:t>한 epoch는 학습 데이터셋을 한 번 순회하는 단위다. Batch는 한 번에 처리하는 사진 수다. 모델별 batch와 내부 optimizer 동작이 달라 업데이트 수까지 같다고 주장하지 않는다. 메모리와 구현 제약을 기록하고 같은 자료·20epoch 예산에서 비교한다.</w:t>
      </w:r>
    </w:p>
    <w:p>
      <w:r>
        <w:t>이미 생성한 증강 사진을 동일하게 사용한다. 추가 무작위 기하 증강은 껐다. 네 모델의 학습 손실 정의는 서로 다르므로 손실값의 크기를 모델 간 성능 순위로 사용하지 않는다. 저장본 선택은 공통 검증 F1을 사용한다.</w:t>
      </w:r>
    </w:p>
    <w:p>
      <w:pPr>
        <w:pStyle w:val="Caption"/>
      </w:pPr>
      <w:r>
        <w:t>설정 출처: scripts/xray_train_resumable.py, scripts/xray_dfine.py, scripts/xray_common_queue.py. 네 모델 모두 20epoch를 완료했으며 실행 시간과 재개 기록을 보관했다.</w:t>
      </w:r>
    </w:p>
    <w:p>
      <w:pPr>
        <w:pStyle w:val="Heading1"/>
        <w:pageBreakBefore/>
      </w:pPr>
      <w:r>
        <w:t>제2장 AI 예측모델 개발 및 성능평가</w:t>
      </w:r>
    </w:p>
    <w:p>
      <w:pPr>
        <w:pStyle w:val="Heading2"/>
      </w:pPr>
      <w:r>
        <w:t>지표 정의와 공통 저장본 비교 결과</w:t>
      </w:r>
    </w:p>
    <w:p>
      <w:r>
        <w:t>점수는 모델이 해당 후보를 이물로 판단하는 강도다. 정답과 비교하여 측정한 정확도나 실제 제조 불량 확률이 아니다. IoU는 예측 박스와 정답 박스의 겹친 면적을 두 박스 전체 면적으로 나눈 값이다.</w:t>
      </w:r>
    </w:p>
    <w:p>
      <w:r>
        <w:t>점수가 탐지 임계값 이상이고 IoU가 0.5 이상이면 정답 대응 후보가 된다. 정답 하나는 예측 하나에만 대응한다. TP는 맞힌 이물, FP는 대응되지 않은 예측, FN은 대응 예측이 없는 정답이다.</w:t>
      </w:r>
    </w:p>
    <w:tbl>
      <w:tblPr>
        <w:tblW w:type="auto" w:w="0"/>
        <w:jc w:val="center"/>
        <w:tblLayout w:type="fixed"/>
        <w:tblLook w:firstColumn="1" w:firstRow="1" w:lastColumn="0" w:lastRow="0" w:noHBand="0" w:noVBand="1" w:val="04A0"/>
      </w:tblPr>
      <w:tblGrid>
        <w:gridCol w:w="2494"/>
        <w:gridCol w:w="1928"/>
        <w:gridCol w:w="1928"/>
        <w:gridCol w:w="3288"/>
      </w:tblGrid>
      <w:tr>
        <w:trPr>
          <w:tblHeader/>
        </w:trP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모델</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검증 F1</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F1</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테스트 TP/FP/FN</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YOLOv8n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0.9889</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222/2/3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Faster R-CNN</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0.9867</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222/3/3</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RF-DETR-S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0.9918</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0.9800</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220/4/5</w:t>
            </w:r>
          </w:p>
        </w:tc>
      </w:tr>
      <w:tr>
        <w:tc>
          <w:tcPr>
            <w:tcW w:type="dxa" w:w="2494"/>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D-FINE-S</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0.9856</w:t>
            </w:r>
          </w:p>
        </w:tc>
        <w:tc>
          <w:tcPr>
            <w:tcW w:type="dxa" w:w="192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0.9756</w:t>
            </w:r>
          </w:p>
        </w:tc>
        <w:tc>
          <w:tcPr>
            <w:tcW w:type="dxa" w:w="328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sz w:val="24"/>
              </w:rPr>
              <w:t>220/6/5</w:t>
            </w:r>
          </w:p>
        </w:tc>
      </w:tr>
    </w:tbl>
    <w:p/>
    <w:p>
      <w:pPr>
        <w:pStyle w:val="Caption"/>
      </w:pPr>
      <w:r>
        <w:t>표 1. 검증은 저장본 선택 당시 장치, 테스트는 MPS의 결과다. D-FINE 검증 F1은 CUDA 0.9856이며 후속 MPS 재실행은 0.9835였다. 한 예측의 점수가 임계값을 넘는지가 달라졌다.</w:t>
      </w:r>
    </w:p>
    <w:p>
      <w:r>
        <w:t>정밀도는 TP/(TP+FP), 재현율은 TP/(TP+FN)이다. F1은 두 비율의 조화평균이다. YOLOv8n의 테스트 값은 2×222/(2×222+2+3)=0.9889다. 이물 단위 점수이며 사진 정확도와 다르다.</w:t>
      </w:r>
    </w:p>
    <w:p>
      <w:r>
        <w:t>기존 네 모델에서 YOLOv8n과 Faster R-CNN은 TP 222개·FN 3개가 같다. FP 한 개 차이로 F1이 다르다. 후속 실험은 최신 YOLO와 공통 오류를 비교했다. 연구 제안은 YOLOv8n과 Faster R-CNN의 독립 검사다.</w:t>
      </w:r>
    </w:p>
    <w:p>
      <w:pPr>
        <w:pStyle w:val="Heading1"/>
        <w:pageBreakBefore/>
      </w:pPr>
      <w:r>
        <w:t>제2장 AI 예측모델 개발 및 성능평가</w:t>
      </w:r>
    </w:p>
    <w:p>
      <w:pPr>
        <w:pStyle w:val="Heading2"/>
      </w:pPr>
      <w:r>
        <w:t>최신 YOLO 모델의 추가 비교</w:t>
      </w:r>
    </w:p>
    <w:p>
      <w:pPr/>
      <w:r>
        <w:t>YOLO11n과 YOLO26n을 같은 학습 2453장·20epoch·batch 8·512픽셀·seed 0·AdamW 조건으로 학습했다. 검증 107장에서 저장본과 탐지 임계값을 정했다. 공통 설정 비교이며 각 모델의 최적 학습법을 탐색한 실험은 아니다.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51"/>
        <w:gridCol w:w="2098"/>
        <w:gridCol w:w="2551"/>
        <w:gridCol w:w="2438"/>
      </w:tblGrid>
      <w:tr>
        <w:tc>
          <w:tcPr>
            <w:tcW w:type="dxa" w:w="2551"/>
            <w:vAlign w:val="center"/>
            <w:shd w:fill="E8EDF0"/>
          </w:tcPr>
          <w:p>
            <w:pPr>
              <w:spacing w:line="300" w:lineRule="auto" w:after="100"/>
            </w:pPr>
            <w:r>
              <w:rPr>
                <w:b/>
                <w:sz w:val="24"/>
              </w:rPr>
              <w:t>모델</w:t>
            </w:r>
          </w:p>
        </w:tc>
        <w:tc>
          <w:tcPr>
            <w:tcW w:type="dxa" w:w="2098"/>
            <w:vAlign w:val="center"/>
            <w:shd w:fill="E8EDF0"/>
          </w:tcPr>
          <w:p>
            <w:pPr>
              <w:spacing w:line="300" w:lineRule="auto" w:after="100"/>
            </w:pPr>
            <w:r>
              <w:rPr>
                <w:b/>
                <w:sz w:val="24"/>
              </w:rPr>
              <w:t>검증 F1</w:t>
            </w:r>
          </w:p>
        </w:tc>
        <w:tc>
          <w:tcPr>
            <w:tcW w:type="dxa" w:w="2551"/>
            <w:vAlign w:val="center"/>
            <w:shd w:fill="E8EDF0"/>
          </w:tcPr>
          <w:p>
            <w:pPr>
              <w:spacing w:line="300" w:lineRule="auto" w:after="100"/>
            </w:pPr>
            <w:r>
              <w:rPr>
                <w:b/>
                <w:sz w:val="24"/>
              </w:rPr>
              <w:t>검증 FP / FN</w:t>
            </w:r>
          </w:p>
        </w:tc>
        <w:tc>
          <w:tcPr>
            <w:tcW w:type="dxa" w:w="2438"/>
            <w:vAlign w:val="center"/>
            <w:shd w:fill="E8EDF0"/>
          </w:tcPr>
          <w:p>
            <w:pPr>
              <w:spacing w:line="300" w:lineRule="auto" w:after="100"/>
            </w:pPr>
            <w:r>
              <w:rPr>
                <w:b/>
                <w:sz w:val="24"/>
              </w:rPr>
              <w:t>테스트 F1</w:t>
            </w:r>
          </w:p>
        </w:tc>
      </w:tr>
      <w:tr>
        <w:tc>
          <w:tcPr>
            <w:tcW w:type="dxa" w:w="2551"/>
            <w:vAlign w:val="center"/>
            <w:shd w:fill="FFFFFF"/>
          </w:tcPr>
          <w:p>
            <w:pPr>
              <w:spacing w:line="300" w:lineRule="auto" w:after="100"/>
            </w:pPr>
            <w:r>
              <w:rPr>
                <w:b w:val="0"/>
                <w:sz w:val="24"/>
              </w:rPr>
              <w:t>YOLOv8n</w:t>
            </w:r>
          </w:p>
        </w:tc>
        <w:tc>
          <w:tcPr>
            <w:tcW w:type="dxa" w:w="2098"/>
            <w:vAlign w:val="center"/>
            <w:shd w:fill="FFFFFF"/>
          </w:tcPr>
          <w:p>
            <w:pPr>
              <w:spacing w:line="300" w:lineRule="auto" w:after="100"/>
            </w:pPr>
            <w:r>
              <w:rPr>
                <w:b w:val="0"/>
                <w:sz w:val="24"/>
              </w:rPr>
              <w:t>0.9856</w:t>
            </w:r>
          </w:p>
        </w:tc>
        <w:tc>
          <w:tcPr>
            <w:tcW w:type="dxa" w:w="2551"/>
            <w:vAlign w:val="center"/>
            <w:shd w:fill="FFFFFF"/>
          </w:tcPr>
          <w:p>
            <w:pPr>
              <w:spacing w:line="300" w:lineRule="auto" w:after="100"/>
            </w:pPr>
            <w:r>
              <w:rPr>
                <w:b w:val="0"/>
                <w:sz w:val="24"/>
              </w:rPr>
              <w:t>4 / 3</w:t>
            </w:r>
          </w:p>
        </w:tc>
        <w:tc>
          <w:tcPr>
            <w:tcW w:type="dxa" w:w="2438"/>
            <w:vAlign w:val="center"/>
            <w:shd w:fill="FFFFFF"/>
          </w:tcPr>
          <w:p>
            <w:pPr>
              <w:spacing w:line="300" w:lineRule="auto" w:after="100"/>
            </w:pPr>
            <w:r>
              <w:rPr>
                <w:b w:val="0"/>
                <w:sz w:val="24"/>
              </w:rPr>
              <w:t>0.9889</w:t>
            </w:r>
          </w:p>
        </w:tc>
      </w:tr>
      <w:tr>
        <w:tc>
          <w:tcPr>
            <w:tcW w:type="dxa" w:w="2551"/>
            <w:vAlign w:val="center"/>
            <w:shd w:fill="F6F7F8"/>
          </w:tcPr>
          <w:p>
            <w:pPr>
              <w:spacing w:line="300" w:lineRule="auto" w:after="100"/>
            </w:pPr>
            <w:r>
              <w:rPr>
                <w:b w:val="0"/>
                <w:sz w:val="24"/>
              </w:rPr>
              <w:t>YOLO11n</w:t>
            </w:r>
          </w:p>
        </w:tc>
        <w:tc>
          <w:tcPr>
            <w:tcW w:type="dxa" w:w="2098"/>
            <w:vAlign w:val="center"/>
            <w:shd w:fill="F6F7F8"/>
          </w:tcPr>
          <w:p>
            <w:pPr>
              <w:spacing w:line="300" w:lineRule="auto" w:after="100"/>
            </w:pPr>
            <w:r>
              <w:rPr>
                <w:b w:val="0"/>
                <w:sz w:val="24"/>
              </w:rPr>
              <w:t>0.9877</w:t>
            </w:r>
          </w:p>
        </w:tc>
        <w:tc>
          <w:tcPr>
            <w:tcW w:type="dxa" w:w="2551"/>
            <w:vAlign w:val="center"/>
            <w:shd w:fill="F6F7F8"/>
          </w:tcPr>
          <w:p>
            <w:pPr>
              <w:spacing w:line="300" w:lineRule="auto" w:after="100"/>
            </w:pPr>
            <w:r>
              <w:rPr>
                <w:b w:val="0"/>
                <w:sz w:val="24"/>
              </w:rPr>
              <w:t>3 / 3</w:t>
            </w:r>
          </w:p>
        </w:tc>
        <w:tc>
          <w:tcPr>
            <w:tcW w:type="dxa" w:w="2438"/>
            <w:vAlign w:val="center"/>
            <w:shd w:fill="F6F7F8"/>
          </w:tcPr>
          <w:p>
            <w:pPr>
              <w:spacing w:line="300" w:lineRule="auto" w:after="100"/>
            </w:pPr>
            <w:r>
              <w:rPr>
                <w:b w:val="0"/>
                <w:sz w:val="24"/>
              </w:rPr>
              <w:t>0.9643</w:t>
            </w:r>
          </w:p>
        </w:tc>
      </w:tr>
      <w:tr>
        <w:tc>
          <w:tcPr>
            <w:tcW w:type="dxa" w:w="2551"/>
            <w:vAlign w:val="center"/>
            <w:shd w:fill="FFFFFF"/>
          </w:tcPr>
          <w:p>
            <w:pPr>
              <w:spacing w:line="300" w:lineRule="auto" w:after="100"/>
            </w:pPr>
            <w:r>
              <w:rPr>
                <w:b w:val="0"/>
                <w:sz w:val="24"/>
              </w:rPr>
              <w:t>YOLO26n</w:t>
            </w:r>
          </w:p>
        </w:tc>
        <w:tc>
          <w:tcPr>
            <w:tcW w:type="dxa" w:w="2098"/>
            <w:vAlign w:val="center"/>
            <w:shd w:fill="FFFFFF"/>
          </w:tcPr>
          <w:p>
            <w:pPr>
              <w:spacing w:line="300" w:lineRule="auto" w:after="100"/>
            </w:pPr>
            <w:r>
              <w:rPr>
                <w:b w:val="0"/>
                <w:sz w:val="24"/>
              </w:rPr>
              <w:t>0.9877</w:t>
            </w:r>
          </w:p>
        </w:tc>
        <w:tc>
          <w:tcPr>
            <w:tcW w:type="dxa" w:w="2551"/>
            <w:vAlign w:val="center"/>
            <w:shd w:fill="FFFFFF"/>
          </w:tcPr>
          <w:p>
            <w:pPr>
              <w:spacing w:line="300" w:lineRule="auto" w:after="100"/>
            </w:pPr>
            <w:r>
              <w:rPr>
                <w:b w:val="0"/>
                <w:sz w:val="24"/>
              </w:rPr>
              <w:t>3 / 3</w:t>
            </w:r>
          </w:p>
        </w:tc>
        <w:tc>
          <w:tcPr>
            <w:tcW w:type="dxa" w:w="2438"/>
            <w:vAlign w:val="center"/>
            <w:shd w:fill="FFFFFF"/>
          </w:tcPr>
          <w:p>
            <w:pPr>
              <w:spacing w:line="300" w:lineRule="auto" w:after="100"/>
            </w:pPr>
            <w:r>
              <w:rPr>
                <w:b w:val="0"/>
                <w:sz w:val="24"/>
              </w:rPr>
              <w:t>0.9733</w:t>
            </w:r>
          </w:p>
        </w:tc>
      </w:tr>
    </w:tbl>
    <w:p>
      <w:pPr>
        <w:spacing w:before="160"/>
      </w:pPr>
      <w:r>
        <w:t>검증에서는 두 최신 모델의 F1이 같았고 YOLOv8n보다 FP가 한 개 적었다. 세 모델의 FN은 모두 3개였다. 촬영 묶음 단위 재표집에서 F1 차이의 95% 범위는 0을 포함했다. 검증 우월성이 안정적이라고 결론 내리지 않았다.</w:t>
      </w:r>
    </w:p>
    <w:p>
      <w:pPr/>
      <w:r>
        <w:t>검증 F1·재현율 동점에서 더 빠른 YOLO11n을 먼저 기록하고 테스트했다. YOLO11n은 216 TP·7 FP·9 FN, YOLO26n은 219 TP·6 FP·6 FN이었다. 테스트에 맞춰 저장본·임계값을 바꾸지 않았다. 과거 열람한 테스트이며 새 독립 시험은 아니다.</w:t>
      </w:r>
    </w:p>
    <w:p>
      <w:pPr/>
      <w:r>
        <w:t>MPS 평균 추론 시간은 YOLO11n 9.96ms, YOLO26n 12.55ms였다. 검증 107장×3회이며 촬영·전처리·대기는 제외했다. YOLO26은 end2end=false 경로로 실행했다. NMS 없는 실행이나 기본 MuSGD 성능을 주장하지 않는다.</w:t>
      </w:r>
    </w:p>
    <w:p>
      <w:pPr>
        <w:pStyle w:val="Caption"/>
        <w:keepNext w:val="0"/>
      </w:pPr>
      <w:r>
        <w:t>출처: Ultralytics YOLO11·YOLO26 공식 문서, YOLO26 arXiv:2606.03748. 자체 근거: design_review_20261004의 학습·검증·테스트·해시 기록.</w:t>
      </w:r>
    </w:p>
    <w:p>
      <w:pPr>
        <w:pStyle w:val="Heading1"/>
        <w:pageBreakBefore/>
      </w:pPr>
      <w:r>
        <w:t>제3장 영향요인 및 오류분석</w:t>
      </w:r>
    </w:p>
    <w:p>
      <w:pPr>
        <w:pStyle w:val="Heading2"/>
      </w:pPr>
      <w:r>
        <w:t>미탐의 원인을 사진에서 확인</w:t>
      </w:r>
    </w:p>
    <w:p>
      <w:r>
        <w:t>평균 F1만으로는 이물을 놓친 이유를 설명하기 어렵다. 저장한 예측을 공식 TXT와 대조하여 위치·크기 불일치, 탐지 임계값 미달, 대응 정답이 없는 예측을 구분했다.</w:t>
      </w:r>
    </w:p>
    <w:p>
      <w:pPr>
        <w:spacing w:after="80"/>
      </w:pPr>
      <w:r>
        <w:drawing>
          <wp:inline xmlns:a="http://schemas.openxmlformats.org/drawingml/2006/main" xmlns:pic="http://schemas.openxmlformats.org/drawingml/2006/picture">
            <wp:extent cx="6120000" cy="2071385"/>
            <wp:docPr id="6" name="Picture 6"/>
            <wp:cNvGraphicFramePr>
              <a:graphicFrameLocks noChangeAspect="1"/>
            </wp:cNvGraphicFramePr>
            <a:graphic>
              <a:graphicData uri="http://schemas.openxmlformats.org/drawingml/2006/picture">
                <pic:pic>
                  <pic:nvPicPr>
                    <pic:cNvPr id="0" name="common20_containment_detail.png"/>
                    <pic:cNvPicPr/>
                  </pic:nvPicPr>
                  <pic:blipFill>
                    <a:blip r:embed="rId16"/>
                    <a:stretch>
                      <a:fillRect/>
                    </a:stretch>
                  </pic:blipFill>
                  <pic:spPr>
                    <a:xfrm>
                      <a:off x="0" y="0"/>
                      <a:ext cx="6120000" cy="2071385"/>
                    </a:xfrm>
                    <a:prstGeom prst="rect"/>
                  </pic:spPr>
                </pic:pic>
              </a:graphicData>
            </a:graphic>
          </wp:inline>
        </w:drawing>
      </w:r>
    </w:p>
    <w:p>
      <w:pPr>
        <w:pStyle w:val="Caption"/>
      </w:pPr>
      <w:r>
        <w:t>그림 4. 새 테스트의 실제 이물 확대. 파랑은 공식 TXT, 주황은 채택 예측이다. 검은 점이 박스 안에 보여도 IoU 0.5에 미달하면 위치 기준 FP와 FN으로 기록된다.</w:t>
      </w:r>
    </w:p>
    <w:p>
      <w:r>
        <w:t>기본 학습 자료의 박스 긴 변 중앙값은 11픽셀이고, 679개 중 643개의 긴 변이 15픽셀 이하다. 작은 박스에서는 적은 위치 차이도 IoU를 크게 낮출 수 있다. 이 값은 TXT 박스 크기이며 실제 이물 지름 측정값이 아니다.</w:t>
      </w:r>
    </w:p>
    <w:p>
      <w:r>
        <w:t>네 모델의 테스트 FN 총 16건 중 14건은 근처 채택 박스의 IoU 미달이었다. 서로 다른 이물은 9개다. 확대 사진에서 예측 안에 대상 검은 점이 보였고 TXT 중심도 포함됐다. 픽셀 윤곽 정답은 없으므로 기존 채점값은 유지했다.</w:t>
      </w:r>
    </w:p>
    <w:p>
      <w:r>
        <w:t>크기·대비·제품 경계까지의 거리·박스 종횡비·주변 밝기·밝기 변동으로 조건을 나눈다. 구간 경계는 학습 자료에서 정한다. 조건별 이물 수와 사진·촬영 묶음 수를 함께 보고한다.</w:t>
      </w:r>
    </w:p>
    <w:p>
      <w:pPr>
        <w:pStyle w:val="Heading1"/>
        <w:pageBreakBefore/>
      </w:pPr>
      <w:r>
        <w:t>제3장 영향요인 및 오류분석</w:t>
      </w:r>
    </w:p>
    <w:p>
      <w:pPr>
        <w:pStyle w:val="Heading2"/>
      </w:pPr>
      <w:r>
        <w:t>AI 보조 시각 평가와 위치 기준의 차이</w:t>
      </w:r>
    </w:p>
    <w:p>
      <w:pPr/>
      <w:r>
        <w:t>공식 IoU 채점과 별도로, 예측 박스가 실제 검은 이물 중심을 표시하는지 AI가 확대 사진을 확인했다. 검증 12장으로 절차를 점검한 뒤 이미 열람한 테스트 97장·225개 이물·899개 채택 예측을 검토했다.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3402"/>
        <w:gridCol w:w="2835"/>
      </w:tblGrid>
      <w:tr>
        <w:tc>
          <w:tcPr>
            <w:tcW w:type="dxa" w:w="3402"/>
            <w:vAlign w:val="center"/>
            <w:shd w:fill="E8EDF0"/>
          </w:tcPr>
          <w:p>
            <w:pPr>
              <w:spacing w:line="300" w:lineRule="auto" w:after="100"/>
            </w:pPr>
            <w:r>
              <w:rPr>
                <w:b/>
                <w:sz w:val="24"/>
              </w:rPr>
              <w:t>모델</w:t>
            </w:r>
          </w:p>
        </w:tc>
        <w:tc>
          <w:tcPr>
            <w:tcW w:type="dxa" w:w="3402"/>
            <w:vAlign w:val="center"/>
            <w:shd w:fill="E8EDF0"/>
          </w:tcPr>
          <w:p>
            <w:pPr>
              <w:spacing w:line="300" w:lineRule="auto" w:after="100"/>
            </w:pPr>
            <w:r>
              <w:rPr>
                <w:b/>
                <w:sz w:val="24"/>
              </w:rPr>
              <w:t>TP / FP / FN</w:t>
            </w:r>
          </w:p>
        </w:tc>
        <w:tc>
          <w:tcPr>
            <w:tcW w:type="dxa" w:w="2835"/>
            <w:vAlign w:val="center"/>
            <w:shd w:fill="E8EDF0"/>
          </w:tcPr>
          <w:p>
            <w:pPr>
              <w:spacing w:line="300" w:lineRule="auto" w:after="100"/>
            </w:pPr>
            <w:r>
              <w:rPr>
                <w:b/>
                <w:sz w:val="24"/>
              </w:rPr>
              <w:t>AI 보조 F1</w:t>
            </w:r>
          </w:p>
        </w:tc>
      </w:tr>
      <w:tr>
        <w:tc>
          <w:tcPr>
            <w:tcW w:type="dxa" w:w="3402"/>
            <w:vAlign w:val="center"/>
            <w:shd w:fill="FFFFFF"/>
          </w:tcPr>
          <w:p>
            <w:pPr>
              <w:spacing w:line="300" w:lineRule="auto" w:after="100"/>
            </w:pPr>
            <w:r>
              <w:rPr>
                <w:b w:val="0"/>
                <w:sz w:val="24"/>
              </w:rPr>
              <w:t>YOLOv8n</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Faster R-CNN</w:t>
            </w:r>
          </w:p>
        </w:tc>
        <w:tc>
          <w:tcPr>
            <w:tcW w:type="dxa" w:w="3402"/>
            <w:vAlign w:val="center"/>
            <w:shd w:fill="F6F7F8"/>
          </w:tcPr>
          <w:p>
            <w:pPr>
              <w:spacing w:line="300" w:lineRule="auto" w:after="100"/>
            </w:pPr>
            <w:r>
              <w:rPr>
                <w:b w:val="0"/>
                <w:sz w:val="24"/>
              </w:rPr>
              <w:t>225 / 0 / 0</w:t>
            </w:r>
          </w:p>
        </w:tc>
        <w:tc>
          <w:tcPr>
            <w:tcW w:type="dxa" w:w="2835"/>
            <w:vAlign w:val="center"/>
            <w:shd w:fill="F6F7F8"/>
          </w:tcPr>
          <w:p>
            <w:pPr>
              <w:spacing w:line="300" w:lineRule="auto" w:after="100"/>
            </w:pPr>
            <w:r>
              <w:rPr>
                <w:b w:val="0"/>
                <w:sz w:val="24"/>
              </w:rPr>
              <w:t>1.0000</w:t>
            </w:r>
          </w:p>
        </w:tc>
      </w:tr>
      <w:tr>
        <w:tc>
          <w:tcPr>
            <w:tcW w:type="dxa" w:w="3402"/>
            <w:vAlign w:val="center"/>
            <w:shd w:fill="FFFFFF"/>
          </w:tcPr>
          <w:p>
            <w:pPr>
              <w:spacing w:line="300" w:lineRule="auto" w:after="100"/>
            </w:pPr>
            <w:r>
              <w:rPr>
                <w:b w:val="0"/>
                <w:sz w:val="24"/>
              </w:rPr>
              <w:t>RF-DETR-S</w:t>
            </w:r>
          </w:p>
        </w:tc>
        <w:tc>
          <w:tcPr>
            <w:tcW w:type="dxa" w:w="3402"/>
            <w:vAlign w:val="center"/>
            <w:shd w:fill="FFFFFF"/>
          </w:tcPr>
          <w:p>
            <w:pPr>
              <w:spacing w:line="300" w:lineRule="auto" w:after="100"/>
            </w:pPr>
            <w:r>
              <w:rPr>
                <w:b w:val="0"/>
                <w:sz w:val="24"/>
              </w:rPr>
              <w:t>224 / 0 / 1</w:t>
            </w:r>
          </w:p>
        </w:tc>
        <w:tc>
          <w:tcPr>
            <w:tcW w:type="dxa" w:w="2835"/>
            <w:vAlign w:val="center"/>
            <w:shd w:fill="FFFFFF"/>
          </w:tcPr>
          <w:p>
            <w:pPr>
              <w:spacing w:line="300" w:lineRule="auto" w:after="100"/>
            </w:pPr>
            <w:r>
              <w:rPr>
                <w:b w:val="0"/>
                <w:sz w:val="24"/>
              </w:rPr>
              <w:t>0.9978</w:t>
            </w:r>
          </w:p>
        </w:tc>
      </w:tr>
      <w:tr>
        <w:tc>
          <w:tcPr>
            <w:tcW w:type="dxa" w:w="3402"/>
            <w:vAlign w:val="center"/>
            <w:shd w:fill="F6F7F8"/>
          </w:tcPr>
          <w:p>
            <w:pPr>
              <w:spacing w:line="300" w:lineRule="auto" w:after="100"/>
            </w:pPr>
            <w:r>
              <w:rPr>
                <w:b w:val="0"/>
                <w:sz w:val="24"/>
              </w:rPr>
              <w:t>D-FINE-S</w:t>
            </w:r>
          </w:p>
        </w:tc>
        <w:tc>
          <w:tcPr>
            <w:tcW w:type="dxa" w:w="3402"/>
            <w:vAlign w:val="center"/>
            <w:shd w:fill="F6F7F8"/>
          </w:tcPr>
          <w:p>
            <w:pPr>
              <w:spacing w:line="300" w:lineRule="auto" w:after="100"/>
            </w:pPr>
            <w:r>
              <w:rPr>
                <w:b w:val="0"/>
                <w:sz w:val="24"/>
              </w:rPr>
              <w:t>225 / 1 / 0</w:t>
            </w:r>
          </w:p>
        </w:tc>
        <w:tc>
          <w:tcPr>
            <w:tcW w:type="dxa" w:w="2835"/>
            <w:vAlign w:val="center"/>
            <w:shd w:fill="F6F7F8"/>
          </w:tcPr>
          <w:p>
            <w:pPr>
              <w:spacing w:line="300" w:lineRule="auto" w:after="100"/>
            </w:pPr>
            <w:r>
              <w:rPr>
                <w:b w:val="0"/>
                <w:sz w:val="24"/>
              </w:rPr>
              <w:t>0.9978</w:t>
            </w:r>
          </w:p>
        </w:tc>
      </w:tr>
    </w:tbl>
    <w:p>
      <w:pPr>
        <w:spacing w:before="160"/>
      </w:pPr>
      <w:r>
        <w:t>기준은 이물의 검은 중심이 주변의 국소 예측 박스 안에 보이는가이다. 같은 이물을 두 번 표시하면 중복으로 기록했다. 전체 픽셀 윤곽이나 물리적 재질을 확인한 평가가 아니다.</w:t>
      </w:r>
    </w:p>
    <w:p>
      <w:pPr/>
      <w:r>
        <w:t>YOLOv8n과 RF-DETR-S의 표시 누락은 서로 다른 사진이었다. D-FINE-S의 추가 표시 한 개는 중복이었다. Faster R-CNN의 F1 1.0은 이번 AI 검토 범위의 값이며 공장 무결점 성능을 뜻하지 않는다.</w:t>
      </w:r>
    </w:p>
    <w:p>
      <w:pPr/>
      <w:r>
        <w:t>단일 AI 검토자는 이전 결과를 알고 있었다. 독립 전문가 일치도와 AI 검토자 오류율은 미검증이다. 공식 IoU 지표는 보존하고 이 결과는 탐색적 보조 분석으로 보고한다. 이 테스트 결과로 새 임계값을 선택하지 않았다.</w:t>
      </w:r>
    </w:p>
    <w:p>
      <w:pPr>
        <w:pStyle w:val="Caption"/>
        <w:keepNext w:val="0"/>
      </w:pPr>
      <w:r>
        <w:t>근거: evaluation/visual_review의 규칙·대상·판정·해시 기록. 정상 제품 평가 자료는 없다.</w:t>
      </w:r>
    </w:p>
    <w:p>
      <w:pPr>
        <w:pStyle w:val="Heading1"/>
        <w:pageBreakBefore/>
      </w:pPr>
      <w:r>
        <w:t>제4장 현장 활용방안</w:t>
      </w:r>
    </w:p>
    <w:p>
      <w:pPr>
        <w:pStyle w:val="Heading2"/>
      </w:pPr>
      <w:r>
        <w:t>출하 위험과 재검사량을 함께 확인</w:t>
      </w:r>
    </w:p>
    <w:p>
      <w:r>
        <w:t>위치 기준 FN은 이물 제품을 실제로 출하했다는 뜻이 아니다. 이물 사진에 채택 박스가 하나도 없으면 사진 단위 무경보로 센다. 이번 테스트에서는 YOLOv8n·RF-DETR-S 각 1장, Faster R-CNN·D-FINE-S 각 0장이었다.</w:t>
      </w:r>
    </w:p>
    <w:tbl>
      <w:tblPr>
        <w:tblW w:type="auto" w:w="0"/>
        <w:jc w:val="center"/>
        <w:tblLayout w:type="fixed"/>
        <w:tblLook w:firstColumn="1" w:firstRow="1" w:lastColumn="0" w:lastRow="0" w:noHBand="0" w:noVBand="1" w:val="04A0"/>
      </w:tblPr>
      <w:tblGrid>
        <w:gridCol w:w="2268"/>
        <w:gridCol w:w="7370"/>
      </w:tblGrid>
      <w:tr>
        <w:trPr>
          <w:tblHeader/>
        </w:trP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판정</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조건과 조치</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REJECT</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이물 의심이 큰 제품을 분리한다. 실제 자동 배출 임계값은 현장 자료로 검증한다.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RE-INSPECTION</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점수가 애매하거나 입력·추론에 문제가 있으면 재검사한다. 무검출도 정상으로 자동 확정하지 않는다.</w:t>
            </w:r>
          </w:p>
        </w:tc>
      </w:tr>
      <w:tr>
        <w:tc>
          <w:tcPr>
            <w:tcW w:type="dxa" w:w="226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PASS</w:t>
            </w:r>
          </w:p>
        </w:tc>
        <w:tc>
          <w:tcPr>
            <w:tcW w:type="dxa" w:w="737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대표 정상·이상 제품과 실제 장치에서 안전성을 검증한 뒤 도입한다. 현재는 자동 PASS를 비활성화한다.</w:t>
            </w:r>
          </w:p>
        </w:tc>
      </w:tr>
    </w:tbl>
    <w:p/>
    <w:p>
      <w:r>
        <w:t>검증과 테스트에는 실제 정상 제품 사진이 없다. 정상 오경보율, 전체 생산품 중 재검사 비율, PASS 안전성을 현재 자료로 추정할 수 없다. 합성으로 이물을 지운 사진은 이 검증을 대신하지 않는다.</w:t>
      </w:r>
    </w:p>
    <w:p>
      <w:r>
        <w:t>재검사는 공장 품질 담당자가 의심 제품을 별도로 다시 확인하는 운영 제안이다. 모델 평가용 사진의 정답 라벨을 다시 만드는 작업과 다르다. 재검사 가능량은 작업자·장비가 주어진 시간에 확인할 수 있는 제품 수다. 실제 공장 시험은 아직 하지 않았다.</w:t>
      </w:r>
    </w:p>
    <w:p>
      <w:pPr>
        <w:pStyle w:val="Heading1"/>
        <w:pageBreakBefore/>
      </w:pPr>
      <w:r>
        <w:t>제4장 현장 활용방안</w:t>
      </w:r>
    </w:p>
    <w:p>
      <w:pPr>
        <w:pStyle w:val="Heading2"/>
      </w:pPr>
      <w:r>
        <w:t>식품 생산라인의 AI 보조검사 적용안</w:t>
      </w:r>
    </w:p>
    <w:p>
      <w:r>
        <w:t>아래는 현장 적용을 위한 제안이다. 현재 공장에 설치하거나 효과를 측정한 결과는 아니다. 먼저 기존 X-ray 검사와 AI를 병행하여 결과를 기록한다. 이 단계에서는 AI가 기존 장비의 분리 판단을 취소하거나 정상 출하를 승인하지 않는다.</w:t>
      </w:r>
    </w:p>
    <w:p>
      <w:r>
        <w:t>제품이 촬영 지점을 통과하면 제품 식별자, 촬영 시각, 호기와 사진을 묶는다. 현장 PC가 전처리와 추론을 수행하고 의심 위치·점수·처리 시간을 저장한다. 사진과 제품의 대응이 불명확하면 판정을 보류한다.</w:t>
      </w:r>
    </w:p>
    <w:p>
      <w:r>
        <w:t>재검사 화면에는 사진 전체, 의심 부분 확대, 예측 박스, 장비 판정과 AI 판정의 불일치를 함께 표시한다. 작업자는 해당 제품을 별도 검사하고 실제 이물 여부와 최종 조치를 기록한다. 반복되는 오류는 호기·시간대·제품별로 모아 점검에 사용한다.</w:t>
      </w:r>
    </w:p>
    <w:p>
      <w:r>
        <w:t>검증 후 분리 장치에 연결할 때에는 제품 식별자와 이동 위치를 설비 제어기에 전달한다. 지연된 판단이 다음 제품을 잘못 분리하지 않도록 촬영부터 배출까지의 시간을 확인한다. 제품 분리 여부를 센서로 확인하고 기록한다.</w:t>
      </w:r>
    </w:p>
    <w:p>
      <w:r>
        <w:t>추론 시간 초과, 사진 누락, 통신 오류, 분리 확인 실패는 정상 판정으로 바꾸지 않는다. 사전에 정한 재검사·보류 절차를 적용하고 작업자에게 알린다. 기존 장비의 보호 기능과 최종 조치 권한은 유지한다.</w:t>
      </w:r>
    </w:p>
    <w:p>
      <w:pPr>
        <w:pStyle w:val="Caption"/>
      </w:pPr>
      <w:r>
        <w:t>설계 참고: METTLER TOLEDO X-ray Inspection Guidance 5.3·6.3·17~21절. 분리 확인·기록 관리의 산업 사례를 참고했으며, AI 보조검사 흐름과 단계별 적용안은 본 프로젝트의 제안이다.</w:t>
      </w:r>
    </w:p>
    <w:p>
      <w:pPr>
        <w:pStyle w:val="Heading1"/>
        <w:pageBreakBefore/>
      </w:pPr>
      <w:r>
        <w:t>제4장 현장 활용방안</w:t>
      </w:r>
    </w:p>
    <w:p>
      <w:pPr>
        <w:pStyle w:val="Heading2"/>
      </w:pPr>
      <w:r>
        <w:t>초기 시제품의 선택적 두 번째 검사</w:t>
      </w:r>
    </w:p>
    <w:p>
      <w:pPr/>
      <w:r>
        <w:t>초기 시제품에서 YOLOv8n은 원래 사진과 좌우 반전 사진을 검사했다. 두 결과가 대응하지 않거나 원래 예측이 없으면 RF-DETR-S가 전체 사진을 검사했다. 이후 같은 오류가 두 방향에서 반복되면 이 규칙이 놓칠 수 있음을 확인했다. 아래 전체 추가 검사 실험으로 이를 보완했다.</w:t>
      </w:r>
    </w:p>
    <w:p>
      <w:pPr/>
      <w:r>
        <w:t>두 모델의 결과가 다르면 두 예측을 보존하고 재검사 상태로 남긴다. 첫 모델의 경고를 두 번째 모델이 없앴다는 이유로 정상 처리하지 않는다. 이 시제품은 자동 PASS를 출력하지 않는다.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02"/>
        <w:gridCol w:w="6236"/>
      </w:tblGrid>
      <w:tr>
        <w:tc>
          <w:tcPr>
            <w:tcW w:type="dxa" w:w="3402"/>
            <w:vAlign w:val="center"/>
            <w:shd w:fill="E8EDF0"/>
          </w:tcPr>
          <w:p>
            <w:pPr>
              <w:spacing w:line="300" w:lineRule="auto" w:after="100"/>
            </w:pPr>
            <w:r>
              <w:rPr>
                <w:b/>
                <w:sz w:val="24"/>
              </w:rPr>
              <w:t>측정 항목</w:t>
            </w:r>
          </w:p>
        </w:tc>
        <w:tc>
          <w:tcPr>
            <w:tcW w:type="dxa" w:w="6236"/>
            <w:vAlign w:val="center"/>
            <w:shd w:fill="E8EDF0"/>
          </w:tcPr>
          <w:p>
            <w:pPr>
              <w:spacing w:line="300" w:lineRule="auto" w:after="100"/>
            </w:pPr>
            <w:r>
              <w:rPr>
                <w:b/>
                <w:sz w:val="24"/>
              </w:rPr>
              <w:t>실제 실행 결과</w:t>
            </w:r>
          </w:p>
        </w:tc>
      </w:tr>
      <w:tr>
        <w:tc>
          <w:tcPr>
            <w:tcW w:type="dxa" w:w="3402"/>
            <w:vAlign w:val="center"/>
            <w:shd w:fill="FFFFFF"/>
          </w:tcPr>
          <w:p>
            <w:pPr>
              <w:spacing w:line="300" w:lineRule="auto" w:after="100"/>
            </w:pPr>
            <w:r>
              <w:rPr>
                <w:b w:val="0"/>
                <w:sz w:val="24"/>
              </w:rPr>
              <w:t>자료와 장치</w:t>
            </w:r>
          </w:p>
        </w:tc>
        <w:tc>
          <w:tcPr>
            <w:tcW w:type="dxa" w:w="6236"/>
            <w:vAlign w:val="center"/>
            <w:shd w:fill="FFFFFF"/>
          </w:tcPr>
          <w:p>
            <w:pPr>
              <w:spacing w:line="300" w:lineRule="auto" w:after="100"/>
            </w:pPr>
            <w:r>
              <w:rPr>
                <w:b w:val="0"/>
                <w:sz w:val="24"/>
              </w:rPr>
              <w:t>검증 107장, 맥북 MPS, 두 모델 상주, 3회 반복</w:t>
            </w:r>
          </w:p>
        </w:tc>
      </w:tr>
      <w:tr>
        <w:tc>
          <w:tcPr>
            <w:tcW w:type="dxa" w:w="3402"/>
            <w:vAlign w:val="center"/>
            <w:shd w:fill="F6F7F8"/>
          </w:tcPr>
          <w:p>
            <w:pPr>
              <w:spacing w:line="300" w:lineRule="auto" w:after="100"/>
            </w:pPr>
            <w:r>
              <w:rPr>
                <w:b w:val="0"/>
                <w:sz w:val="24"/>
              </w:rPr>
              <w:t>검사 경로</w:t>
            </w:r>
          </w:p>
        </w:tc>
        <w:tc>
          <w:tcPr>
            <w:tcW w:type="dxa" w:w="6236"/>
            <w:vAlign w:val="center"/>
            <w:shd w:fill="F6F7F8"/>
          </w:tcPr>
          <w:p>
            <w:pPr>
              <w:spacing w:line="300" w:lineRule="auto" w:after="100"/>
            </w:pPr>
            <w:r>
              <w:rPr>
                <w:b w:val="0"/>
                <w:sz w:val="24"/>
              </w:rPr>
              <w:t>회당 99장 첫 모델 검사, 8장 두 번째 모델 추가 검사</w:t>
            </w:r>
          </w:p>
        </w:tc>
      </w:tr>
      <w:tr>
        <w:tc>
          <w:tcPr>
            <w:tcW w:type="dxa" w:w="3402"/>
            <w:vAlign w:val="center"/>
            <w:shd w:fill="FFFFFF"/>
          </w:tcPr>
          <w:p>
            <w:pPr>
              <w:spacing w:line="300" w:lineRule="auto" w:after="100"/>
            </w:pPr>
            <w:r>
              <w:rPr>
                <w:b w:val="0"/>
                <w:sz w:val="24"/>
              </w:rPr>
              <w:t>추가 검사 결과</w:t>
            </w:r>
          </w:p>
        </w:tc>
        <w:tc>
          <w:tcPr>
            <w:tcW w:type="dxa" w:w="6236"/>
            <w:vAlign w:val="center"/>
            <w:shd w:fill="FFFFFF"/>
          </w:tcPr>
          <w:p>
            <w:pPr>
              <w:spacing w:line="300" w:lineRule="auto" w:after="100"/>
            </w:pPr>
            <w:r>
              <w:rPr>
                <w:b w:val="0"/>
                <w:sz w:val="24"/>
              </w:rPr>
              <w:t>회당 7장 예측 대응, 1장 판단 충돌로 재검사</w:t>
            </w:r>
          </w:p>
        </w:tc>
      </w:tr>
      <w:tr>
        <w:tc>
          <w:tcPr>
            <w:tcW w:type="dxa" w:w="3402"/>
            <w:vAlign w:val="center"/>
            <w:shd w:fill="F6F7F8"/>
          </w:tcPr>
          <w:p>
            <w:pPr>
              <w:spacing w:line="300" w:lineRule="auto" w:after="100"/>
            </w:pPr>
            <w:r>
              <w:rPr>
                <w:b w:val="0"/>
                <w:sz w:val="24"/>
              </w:rPr>
              <w:t>평균 / P95 처리 시간</w:t>
            </w:r>
          </w:p>
        </w:tc>
        <w:tc>
          <w:tcPr>
            <w:tcW w:type="dxa" w:w="6236"/>
            <w:vAlign w:val="center"/>
            <w:shd w:fill="F6F7F8"/>
          </w:tcPr>
          <w:p>
            <w:pPr>
              <w:spacing w:line="300" w:lineRule="auto" w:after="100"/>
            </w:pPr>
            <w:r>
              <w:rPr>
                <w:b w:val="0"/>
                <w:sz w:val="24"/>
              </w:rPr>
              <w:t>19.03 / 43.56 ms</w:t>
            </w:r>
          </w:p>
        </w:tc>
      </w:tr>
      <w:tr>
        <w:tc>
          <w:tcPr>
            <w:tcW w:type="dxa" w:w="3402"/>
            <w:vAlign w:val="center"/>
            <w:shd w:fill="FFFFFF"/>
          </w:tcPr>
          <w:p>
            <w:pPr>
              <w:spacing w:line="300" w:lineRule="auto" w:after="100"/>
            </w:pPr>
            <w:r>
              <w:rPr>
                <w:b w:val="0"/>
                <w:sz w:val="24"/>
              </w:rPr>
              <w:t>관측 오류 / 시간 초과</w:t>
            </w:r>
          </w:p>
        </w:tc>
        <w:tc>
          <w:tcPr>
            <w:tcW w:type="dxa" w:w="6236"/>
            <w:vAlign w:val="center"/>
            <w:shd w:fill="FFFFFF"/>
          </w:tcPr>
          <w:p>
            <w:pPr>
              <w:spacing w:line="300" w:lineRule="auto" w:after="100"/>
            </w:pPr>
            <w:r>
              <w:rPr>
                <w:b w:val="0"/>
                <w:sz w:val="24"/>
              </w:rPr>
              <w:t>321회 검사 중 0회 / 0회</w:t>
            </w:r>
          </w:p>
        </w:tc>
      </w:tr>
    </w:tbl>
    <w:p>
      <w:pPr>
        <w:spacing w:before="160"/>
      </w:pPr>
      <w:r>
        <w:t>시간에는 사진 읽기, 반전, 두 모델의 필요한 추론과 판단 비교가 포함된다. 모델 초기 적재, 색 네모 제거, 촬영, 설비 통신과 대기열은 제외했다. 한 맥북에서의 측정이며 공장 처리량을 보장하지 않는다.</w:t>
      </w:r>
    </w:p>
    <w:p>
      <w:pPr/>
      <w:r>
        <w:t>1초 예산은 개발용 예시이며 현장 제한 시간이 아니다. 현재 시간 초과 검사는 호출이 반환된 후 확인하는 방식이다. 멈춘 GPU 호출을 강제로 중단하는 watchdog은 아직 구현하지 않았다.</w:t>
      </w:r>
    </w:p>
    <w:p>
      <w:pPr>
        <w:pStyle w:val="Caption"/>
        <w:keepNext w:val="0"/>
      </w:pPr>
      <w:r>
        <w:t>예측 교체 대조 분석의 IoU F1은 0.9856에서 0.9918로 바뀌었다. 실제 정책은 의견 충돌을 보류하므로 이 값을 운영 시스템의 최종 F1이라고 부르지 않는다.</w:t>
      </w:r>
    </w:p>
    <w:p>
      <w:pPr>
        <w:pStyle w:val="Heading1"/>
        <w:pageBreakBefore/>
      </w:pPr>
      <w:r>
        <w:t>제4장 현장 활용방안</w:t>
      </w:r>
    </w:p>
    <w:p>
      <w:pPr>
        <w:pStyle w:val="Heading2"/>
      </w:pPr>
      <w:r>
        <w:t>판단 충돌 사례와 전문 모델 학습 결정</w:t>
      </w:r>
    </w:p>
    <w:p>
      <w:pPr>
        <w:jc w:val="center"/>
      </w:pPr>
      <w:r>
        <w:drawing>
          <wp:inline xmlns:a="http://schemas.openxmlformats.org/drawingml/2006/main" xmlns:pic="http://schemas.openxmlformats.org/drawingml/2006/picture">
            <wp:extent cx="5400000" cy="2140000"/>
            <wp:docPr id="7" name="Picture 7"/>
            <wp:cNvGraphicFramePr>
              <a:graphicFrameLocks noChangeAspect="1"/>
            </wp:cNvGraphicFramePr>
            <a:graphic>
              <a:graphicData uri="http://schemas.openxmlformats.org/drawingml/2006/picture">
                <pic:pic>
                  <pic:nvPicPr>
                    <pic:cNvPr id="0" name="common20_live_conflict.png"/>
                    <pic:cNvPicPr/>
                  </pic:nvPicPr>
                  <pic:blipFill>
                    <a:blip r:embed="rId17"/>
                    <a:stretch>
                      <a:fillRect/>
                    </a:stretch>
                  </pic:blipFill>
                  <pic:spPr>
                    <a:xfrm>
                      <a:off x="0" y="0"/>
                      <a:ext cx="5400000" cy="2140000"/>
                    </a:xfrm>
                    <a:prstGeom prst="rect"/>
                  </pic:spPr>
                </pic:pic>
              </a:graphicData>
            </a:graphic>
          </wp:inline>
        </w:drawing>
      </w:r>
    </w:p>
    <w:p>
      <w:pPr>
        <w:pStyle w:val="Caption"/>
        <w:keepNext w:val="0"/>
      </w:pPr>
      <w:r>
        <w:t>실제 검증 사진의 한 이물 주변만 표시했다. 왼쪽은 선 없는 사진, 가운데는 YOLOv8n, 오른쪽은 RF-DETR-S다. YOLO의 p2와 RF의 p1은 공식 이물이다. YOLO의 오른쪽 p1은 추가 표시다.</w:t>
      </w:r>
    </w:p>
    <w:p>
      <w:pPr/>
      <w:r>
        <w:t>추가 표시는 흐린 무늬다. 사진만으로 실제 이물인지 확정하지 못해 재검사로 남겼다. 공식 라벨은 보존했다.</w:t>
      </w:r>
    </w:p>
    <w:p>
      <w:pPr/>
      <w:r>
        <w:t>추가 검사·위치 오류 사진 10장·공식 이물 28개를 확대 확인했다. 이 범위에서는 공식 이물 중심이 모두 표시됐다. 전체 검증의 시각 F1은 계산하지 않았다.</w:t>
      </w:r>
    </w:p>
    <w:p>
      <w:pPr/>
      <w:r>
        <w:t>실제 표시 누락이 반복되는 조건을 확인하지 못해 전문 모델 추가 학습은 보류했다. 위치 경계 오류와 실제 이물 누락을 구분했다.</w:t>
      </w:r>
    </w:p>
    <w:p>
      <w:pPr/>
      <w:r>
        <w:t>후속 자료에서 작은 이물·낮은 대비 등의 누락이 반복되면 학습 내부 촬영 묶음 검증으로 어려운 사례를 찾는다. 일반 사례와 함께 학습한 전문 모델 하나부터 비교한다. 검증·테스트 사진은 학습에 넣지 않는다.</w:t>
      </w:r>
    </w:p>
    <w:p>
      <w:pPr>
        <w:pStyle w:val="Caption"/>
        <w:keepNext w:val="0"/>
      </w:pPr>
      <w:r>
        <w:t>근거: NoScope, PVLDB 2017; OHEM, CVPR 2016; SAHI, ICIP 2022; Learning to Defer to Multiple Experts, AISTATS 2023. 위 연구는 우리 식품 X-ray의 현장 안전성 검증을 대신하지 않는다.</w:t>
      </w:r>
    </w:p>
    <w:p>
      <w:pPr>
        <w:pStyle w:val="Heading1"/>
        <w:pageBreakBefore/>
      </w:pPr>
      <w:r>
        <w:t>제4장 현장 활용방안</w:t>
      </w:r>
    </w:p>
    <w:p>
      <w:pPr>
        <w:pStyle w:val="Heading2"/>
      </w:pPr>
      <w:r>
        <w:t>두 방향에서 같은 오류가 반복되는 경우</w:t>
      </w:r>
    </w:p>
    <w:p>
      <w:pPr/>
      <w:r>
        <w:t>원래 사진과 반전 사진에서 예측이 같아도 정답을 맞힌 것은 아니다. 검증 107장 중 99장은 초기 추가 검사 조건에서 제외됐다. 두 방향이 함께 놓친 IoU 기준 이물 2개 중 1개가 이 99장에 있었다.</w:t>
      </w:r>
    </w:p>
    <w:p>
      <w:pPr>
        <w:jc w:val="center"/>
      </w:pPr>
      <w:r>
        <w:drawing>
          <wp:inline xmlns:a="http://schemas.openxmlformats.org/drawingml/2006/main" xmlns:pic="http://schemas.openxmlformats.org/drawingml/2006/picture">
            <wp:extent cx="6120000" cy="1486286"/>
            <wp:docPr id="8" name="Picture 8"/>
            <wp:cNvGraphicFramePr>
              <a:graphicFrameLocks noChangeAspect="1"/>
            </wp:cNvGraphicFramePr>
            <a:graphic>
              <a:graphicData uri="http://schemas.openxmlformats.org/drawingml/2006/picture">
                <pic:pic>
                  <pic:nvPicPr>
                    <pic:cNvPr id="0" name="common20_stable_error_example.png"/>
                    <pic:cNvPicPr/>
                  </pic:nvPicPr>
                  <pic:blipFill>
                    <a:blip r:embed="rId18"/>
                    <a:stretch>
                      <a:fillRect/>
                    </a:stretch>
                  </pic:blipFill>
                  <pic:spPr>
                    <a:xfrm>
                      <a:off x="0" y="0"/>
                      <a:ext cx="6120000" cy="1486286"/>
                    </a:xfrm>
                    <a:prstGeom prst="rect"/>
                  </pic:spPr>
                </pic:pic>
              </a:graphicData>
            </a:graphic>
          </wp:inline>
        </w:drawing>
      </w:r>
    </w:p>
    <w:p>
      <w:pPr>
        <w:pStyle w:val="Caption"/>
        <w:keepNext w:val="0"/>
      </w:pPr>
      <w:r>
        <w:t>파랑은 공식 TXT, 주황은 예측이다. 이 예시의 검은 중심은 예측 안에 보인다. 실제 이물 표시 누락으로 확정하지 않고 위치 기준의 공통 오류로 기록했다.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24"/>
        <w:gridCol w:w="2891"/>
        <w:gridCol w:w="1928"/>
        <w:gridCol w:w="2494"/>
      </w:tblGrid>
      <w:tr>
        <w:tc>
          <w:tcPr>
            <w:tcW w:type="dxa" w:w="2324"/>
            <w:vAlign w:val="center"/>
            <w:shd w:fill="E8EDF0"/>
          </w:tcPr>
          <w:p>
            <w:pPr>
              <w:spacing w:line="300" w:lineRule="auto" w:after="100"/>
            </w:pPr>
            <w:r>
              <w:rPr>
                <w:b/>
                <w:sz w:val="24"/>
              </w:rPr>
              <w:t>첫 모델</w:t>
            </w:r>
          </w:p>
        </w:tc>
        <w:tc>
          <w:tcPr>
            <w:tcW w:type="dxa" w:w="2891"/>
            <w:vAlign w:val="center"/>
            <w:shd w:fill="E8EDF0"/>
          </w:tcPr>
          <w:p>
            <w:pPr>
              <w:spacing w:line="300" w:lineRule="auto" w:after="100"/>
            </w:pPr>
            <w:r>
              <w:rPr>
                <w:b/>
                <w:sz w:val="24"/>
              </w:rPr>
              <w:t>추가 검사 모델</w:t>
            </w:r>
          </w:p>
        </w:tc>
        <w:tc>
          <w:tcPr>
            <w:tcW w:type="dxa" w:w="1928"/>
            <w:vAlign w:val="center"/>
            <w:shd w:fill="E8EDF0"/>
          </w:tcPr>
          <w:p>
            <w:pPr>
              <w:spacing w:line="300" w:lineRule="auto" w:after="100"/>
            </w:pPr>
            <w:r>
              <w:rPr>
                <w:b/>
                <w:sz w:val="24"/>
              </w:rPr>
              <w:t>공통 위치 FN</w:t>
            </w:r>
          </w:p>
        </w:tc>
        <w:tc>
          <w:tcPr>
            <w:tcW w:type="dxa" w:w="2494"/>
            <w:vAlign w:val="center"/>
            <w:shd w:fill="E8EDF0"/>
          </w:tcPr>
          <w:p>
            <w:pPr>
              <w:spacing w:line="300" w:lineRule="auto" w:after="100"/>
            </w:pPr>
            <w:r>
              <w:rPr>
                <w:b/>
                <w:sz w:val="24"/>
              </w:rPr>
              <w:t>추가 모델 자체 FP / FN</w:t>
            </w:r>
          </w:p>
        </w:tc>
      </w:tr>
      <w:tr>
        <w:tc>
          <w:tcPr>
            <w:tcW w:type="dxa" w:w="2324"/>
            <w:vAlign w:val="center"/>
            <w:shd w:fill="FFFFFF"/>
          </w:tcPr>
          <w:p>
            <w:pPr>
              <w:spacing w:line="300" w:lineRule="auto" w:after="100"/>
            </w:pPr>
            <w:r>
              <w:rPr>
                <w:b w:val="0"/>
                <w:sz w:val="24"/>
              </w:rPr>
              <w:t>YOLOv8n</w:t>
            </w:r>
          </w:p>
        </w:tc>
        <w:tc>
          <w:tcPr>
            <w:tcW w:type="dxa" w:w="2891"/>
            <w:vAlign w:val="center"/>
            <w:shd w:fill="FFFFFF"/>
          </w:tcPr>
          <w:p>
            <w:pPr>
              <w:spacing w:line="300" w:lineRule="auto" w:after="100"/>
            </w:pPr>
            <w:r>
              <w:rPr>
                <w:b w:val="0"/>
                <w:sz w:val="24"/>
              </w:rPr>
              <w:t>Faster R-CNN</w:t>
            </w:r>
          </w:p>
        </w:tc>
        <w:tc>
          <w:tcPr>
            <w:tcW w:type="dxa" w:w="1928"/>
            <w:vAlign w:val="center"/>
            <w:shd w:fill="FFFFFF"/>
          </w:tcPr>
          <w:p>
            <w:pPr>
              <w:spacing w:line="300" w:lineRule="auto" w:after="100"/>
            </w:pPr>
            <w:r>
              <w:rPr>
                <w:b w:val="0"/>
                <w:sz w:val="24"/>
              </w:rPr>
              <w:t>0</w:t>
            </w:r>
          </w:p>
        </w:tc>
        <w:tc>
          <w:tcPr>
            <w:tcW w:type="dxa" w:w="2494"/>
            <w:vAlign w:val="center"/>
            <w:shd w:fill="FFFFFF"/>
          </w:tcPr>
          <w:p>
            <w:pPr>
              <w:spacing w:line="300" w:lineRule="auto" w:after="100"/>
            </w:pPr>
            <w:r>
              <w:rPr>
                <w:b w:val="0"/>
                <w:sz w:val="24"/>
              </w:rPr>
              <w:t>2 / 2</w:t>
            </w:r>
          </w:p>
        </w:tc>
      </w:tr>
      <w:tr>
        <w:tc>
          <w:tcPr>
            <w:tcW w:type="dxa" w:w="2324"/>
            <w:vAlign w:val="center"/>
            <w:shd w:fill="F6F7F8"/>
          </w:tcPr>
          <w:p>
            <w:pPr>
              <w:spacing w:line="300" w:lineRule="auto" w:after="100"/>
            </w:pPr>
            <w:r>
              <w:rPr>
                <w:b w:val="0"/>
                <w:sz w:val="24"/>
              </w:rPr>
              <w:t>YOLOv8n</w:t>
            </w:r>
          </w:p>
        </w:tc>
        <w:tc>
          <w:tcPr>
            <w:tcW w:type="dxa" w:w="2891"/>
            <w:vAlign w:val="center"/>
            <w:shd w:fill="F6F7F8"/>
          </w:tcPr>
          <w:p>
            <w:pPr>
              <w:spacing w:line="300" w:lineRule="auto" w:after="100"/>
            </w:pPr>
            <w:r>
              <w:rPr>
                <w:b w:val="0"/>
                <w:sz w:val="24"/>
              </w:rPr>
              <w:t>RF-DETR-S</w:t>
            </w:r>
          </w:p>
        </w:tc>
        <w:tc>
          <w:tcPr>
            <w:tcW w:type="dxa" w:w="1928"/>
            <w:vAlign w:val="center"/>
            <w:shd w:fill="F6F7F8"/>
          </w:tcPr>
          <w:p>
            <w:pPr>
              <w:spacing w:line="300" w:lineRule="auto" w:after="100"/>
            </w:pPr>
            <w:r>
              <w:rPr>
                <w:b w:val="0"/>
                <w:sz w:val="24"/>
              </w:rPr>
              <w:t>1</w:t>
            </w:r>
          </w:p>
        </w:tc>
        <w:tc>
          <w:tcPr>
            <w:tcW w:type="dxa" w:w="2494"/>
            <w:vAlign w:val="center"/>
            <w:shd w:fill="F6F7F8"/>
          </w:tcPr>
          <w:p>
            <w:pPr>
              <w:spacing w:line="300" w:lineRule="auto" w:after="100"/>
            </w:pPr>
            <w:r>
              <w:rPr>
                <w:b w:val="0"/>
                <w:sz w:val="24"/>
              </w:rPr>
              <w:t>2 / 2</w:t>
            </w:r>
          </w:p>
        </w:tc>
      </w:tr>
      <w:tr>
        <w:tc>
          <w:tcPr>
            <w:tcW w:type="dxa" w:w="2324"/>
            <w:vAlign w:val="center"/>
            <w:shd w:fill="FFFFFF"/>
          </w:tcPr>
          <w:p>
            <w:pPr>
              <w:spacing w:line="300" w:lineRule="auto" w:after="100"/>
            </w:pPr>
            <w:r>
              <w:rPr>
                <w:b w:val="0"/>
                <w:sz w:val="24"/>
              </w:rPr>
              <w:t>YOLOv8n</w:t>
            </w:r>
          </w:p>
        </w:tc>
        <w:tc>
          <w:tcPr>
            <w:tcW w:type="dxa" w:w="2891"/>
            <w:vAlign w:val="center"/>
            <w:shd w:fill="FFFFFF"/>
          </w:tcPr>
          <w:p>
            <w:pPr>
              <w:spacing w:line="300" w:lineRule="auto" w:after="100"/>
            </w:pPr>
            <w:r>
              <w:rPr>
                <w:b w:val="0"/>
                <w:sz w:val="24"/>
              </w:rPr>
              <w:t>D-FINE-S</w:t>
            </w:r>
          </w:p>
        </w:tc>
        <w:tc>
          <w:tcPr>
            <w:tcW w:type="dxa" w:w="1928"/>
            <w:vAlign w:val="center"/>
            <w:shd w:fill="FFFFFF"/>
          </w:tcPr>
          <w:p>
            <w:pPr>
              <w:spacing w:line="300" w:lineRule="auto" w:after="100"/>
            </w:pPr>
            <w:r>
              <w:rPr>
                <w:b w:val="0"/>
                <w:sz w:val="24"/>
              </w:rPr>
              <w:t>0</w:t>
            </w:r>
          </w:p>
        </w:tc>
        <w:tc>
          <w:tcPr>
            <w:tcW w:type="dxa" w:w="2494"/>
            <w:vAlign w:val="center"/>
            <w:shd w:fill="FFFFFF"/>
          </w:tcPr>
          <w:p>
            <w:pPr>
              <w:spacing w:line="300" w:lineRule="auto" w:after="100"/>
            </w:pPr>
            <w:r>
              <w:rPr>
                <w:b w:val="0"/>
                <w:sz w:val="24"/>
              </w:rPr>
              <w:t>4 / 4</w:t>
            </w:r>
          </w:p>
        </w:tc>
      </w:tr>
      <w:tr>
        <w:tc>
          <w:tcPr>
            <w:tcW w:type="dxa" w:w="2324"/>
            <w:vAlign w:val="center"/>
            <w:shd w:fill="F6F7F8"/>
          </w:tcPr>
          <w:p>
            <w:pPr>
              <w:spacing w:line="300" w:lineRule="auto" w:after="100"/>
            </w:pPr>
            <w:r>
              <w:rPr>
                <w:b w:val="0"/>
                <w:sz w:val="24"/>
              </w:rPr>
              <w:t>YOLO11n</w:t>
            </w:r>
          </w:p>
        </w:tc>
        <w:tc>
          <w:tcPr>
            <w:tcW w:type="dxa" w:w="2891"/>
            <w:vAlign w:val="center"/>
            <w:shd w:fill="F6F7F8"/>
          </w:tcPr>
          <w:p>
            <w:pPr>
              <w:spacing w:line="300" w:lineRule="auto" w:after="100"/>
            </w:pPr>
            <w:r>
              <w:rPr>
                <w:b w:val="0"/>
                <w:sz w:val="24"/>
              </w:rPr>
              <w:t>RF-DETR-S</w:t>
            </w:r>
          </w:p>
        </w:tc>
        <w:tc>
          <w:tcPr>
            <w:tcW w:type="dxa" w:w="1928"/>
            <w:vAlign w:val="center"/>
            <w:shd w:fill="F6F7F8"/>
          </w:tcPr>
          <w:p>
            <w:pPr>
              <w:spacing w:line="300" w:lineRule="auto" w:after="100"/>
            </w:pPr>
            <w:r>
              <w:rPr>
                <w:b w:val="0"/>
                <w:sz w:val="24"/>
              </w:rPr>
              <w:t>1</w:t>
            </w:r>
          </w:p>
        </w:tc>
        <w:tc>
          <w:tcPr>
            <w:tcW w:type="dxa" w:w="2494"/>
            <w:vAlign w:val="center"/>
            <w:shd w:fill="F6F7F8"/>
          </w:tcPr>
          <w:p>
            <w:pPr>
              <w:spacing w:line="300" w:lineRule="auto" w:after="100"/>
            </w:pPr>
            <w:r>
              <w:rPr>
                <w:b w:val="0"/>
                <w:sz w:val="24"/>
              </w:rPr>
              <w:t>2 / 2</w:t>
            </w:r>
          </w:p>
        </w:tc>
      </w:tr>
      <w:tr>
        <w:tc>
          <w:tcPr>
            <w:tcW w:type="dxa" w:w="2324"/>
            <w:vAlign w:val="center"/>
            <w:shd w:fill="FFFFFF"/>
          </w:tcPr>
          <w:p>
            <w:pPr>
              <w:spacing w:line="300" w:lineRule="auto" w:after="100"/>
            </w:pPr>
            <w:r>
              <w:rPr>
                <w:b w:val="0"/>
                <w:sz w:val="24"/>
              </w:rPr>
              <w:t>YOLO26n</w:t>
            </w:r>
          </w:p>
        </w:tc>
        <w:tc>
          <w:tcPr>
            <w:tcW w:type="dxa" w:w="2891"/>
            <w:vAlign w:val="center"/>
            <w:shd w:fill="FFFFFF"/>
          </w:tcPr>
          <w:p>
            <w:pPr>
              <w:spacing w:line="300" w:lineRule="auto" w:after="100"/>
            </w:pPr>
            <w:r>
              <w:rPr>
                <w:b w:val="0"/>
                <w:sz w:val="24"/>
              </w:rPr>
              <w:t>Faster R-CNN</w:t>
            </w:r>
          </w:p>
        </w:tc>
        <w:tc>
          <w:tcPr>
            <w:tcW w:type="dxa" w:w="1928"/>
            <w:vAlign w:val="center"/>
            <w:shd w:fill="FFFFFF"/>
          </w:tcPr>
          <w:p>
            <w:pPr>
              <w:spacing w:line="300" w:lineRule="auto" w:after="100"/>
            </w:pPr>
            <w:r>
              <w:rPr>
                <w:b w:val="0"/>
                <w:sz w:val="24"/>
              </w:rPr>
              <w:t>1</w:t>
            </w:r>
          </w:p>
        </w:tc>
        <w:tc>
          <w:tcPr>
            <w:tcW w:type="dxa" w:w="2494"/>
            <w:vAlign w:val="center"/>
            <w:shd w:fill="FFFFFF"/>
          </w:tcPr>
          <w:p>
            <w:pPr>
              <w:spacing w:line="300" w:lineRule="auto" w:after="100"/>
            </w:pPr>
            <w:r>
              <w:rPr>
                <w:b w:val="0"/>
                <w:sz w:val="24"/>
              </w:rPr>
              <w:t>2 / 2</w:t>
            </w:r>
          </w:p>
        </w:tc>
      </w:tr>
    </w:tbl>
    <w:p>
      <w:pPr>
        <w:spacing w:before="160"/>
      </w:pPr>
      <w:r>
        <w:t>공통 위치 FN은 두 모델이 모두 공식 이물을 IoU 0.5로 맞히지 못한 수다. 정답을 보고 계산한 사후 진단이다. 합친 시스템의 F1이나 공장 미탐률로 바꾸지 않는다.</w:t>
      </w:r>
    </w:p>
    <w:p>
      <w:pPr>
        <w:pStyle w:val="Heading1"/>
        <w:pageBreakBefore/>
      </w:pPr>
      <w:r>
        <w:t>제4장 현장 활용방안</w:t>
      </w:r>
    </w:p>
    <w:p>
      <w:pPr>
        <w:pStyle w:val="Heading2"/>
      </w:pPr>
      <w:r>
        <w:t>식품 이물 미탐 위험을 우선한 검사 제안</w:t>
      </w:r>
    </w:p>
    <w:p>
      <w:pPr/>
      <w:r>
        <w:t>현재 연구 제안은 YOLOv8n과 Faster R-CNN의 독립 검사다. Faster R-CNN은 YOLOv8n의 위치 FN 3개를 모두 보완했다. RF-DETR-S와 자체 FP·FN이 같지만 공통 FN이 더 적었다. D-FINE-S보다 자체 FP·FN도 적었다. 속도 때문에 Faster R-CNN을 제외하지 않았다.</w:t>
      </w:r>
    </w:p>
    <w:p>
      <w:pPr/>
      <w:r>
        <w:t>F1 우선의 초기 검증 제안은 YOLO11n과 RF-DETR-S였다. 식품 공정의 FN 위험을 우선하는 연구 제안에서는 개별 점수뿐 아니라 공통 오류와 첫 경고 보존을 함께 검토했다. 이 선택 변경과 테스트 열람 이력을 공개한다. 새 독립 자료에서 재확인이 필요하다.</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82"/>
        <w:gridCol w:w="3005"/>
        <w:gridCol w:w="2551"/>
      </w:tblGrid>
      <w:tr>
        <w:tc>
          <w:tcPr>
            <w:tcW w:type="dxa" w:w="4082"/>
            <w:vAlign w:val="center"/>
            <w:shd w:fill="E8EDF0"/>
          </w:tcPr>
          <w:p>
            <w:pPr>
              <w:spacing w:line="300" w:lineRule="auto" w:after="100"/>
            </w:pPr>
            <w:r>
              <w:rPr>
                <w:b/>
                <w:sz w:val="24"/>
              </w:rPr>
              <w:t>실제 실행한 조합</w:t>
            </w:r>
          </w:p>
        </w:tc>
        <w:tc>
          <w:tcPr>
            <w:tcW w:type="dxa" w:w="3005"/>
            <w:vAlign w:val="center"/>
            <w:shd w:fill="E8EDF0"/>
          </w:tcPr>
          <w:p>
            <w:pPr>
              <w:spacing w:line="300" w:lineRule="auto" w:after="100"/>
            </w:pPr>
            <w:r>
              <w:rPr>
                <w:b/>
                <w:sz w:val="24"/>
              </w:rPr>
              <w:t>사진당 평균 / P95</w:t>
            </w:r>
          </w:p>
        </w:tc>
        <w:tc>
          <w:tcPr>
            <w:tcW w:type="dxa" w:w="2551"/>
            <w:vAlign w:val="center"/>
            <w:shd w:fill="E8EDF0"/>
          </w:tcPr>
          <w:p>
            <w:pPr>
              <w:spacing w:line="300" w:lineRule="auto" w:after="100"/>
            </w:pPr>
            <w:r>
              <w:rPr>
                <w:b/>
                <w:sz w:val="24"/>
              </w:rPr>
              <w:t>판단 대응 / 충돌</w:t>
            </w:r>
          </w:p>
        </w:tc>
      </w:tr>
      <w:tr>
        <w:tc>
          <w:tcPr>
            <w:tcW w:type="dxa" w:w="4082"/>
            <w:vAlign w:val="center"/>
            <w:shd w:fill="FFFFFF"/>
          </w:tcPr>
          <w:p>
            <w:pPr>
              <w:spacing w:line="300" w:lineRule="auto" w:after="100"/>
            </w:pPr>
            <w:r>
              <w:rPr>
                <w:b w:val="0"/>
                <w:sz w:val="24"/>
              </w:rPr>
              <w:t>YOLOv8n + Faster R-CNN</w:t>
            </w:r>
          </w:p>
        </w:tc>
        <w:tc>
          <w:tcPr>
            <w:tcW w:type="dxa" w:w="3005"/>
            <w:vAlign w:val="center"/>
            <w:shd w:fill="FFFFFF"/>
          </w:tcPr>
          <w:p>
            <w:pPr>
              <w:spacing w:line="300" w:lineRule="auto" w:after="100"/>
            </w:pPr>
            <w:r>
              <w:rPr>
                <w:b w:val="0"/>
                <w:sz w:val="24"/>
              </w:rPr>
              <w:t>1226.52 / 1253.56 ms</w:t>
            </w:r>
          </w:p>
        </w:tc>
        <w:tc>
          <w:tcPr>
            <w:tcW w:type="dxa" w:w="2551"/>
            <w:vAlign w:val="center"/>
            <w:shd w:fill="FFFFFF"/>
          </w:tcPr>
          <w:p>
            <w:pPr>
              <w:spacing w:line="300" w:lineRule="auto" w:after="100"/>
            </w:pPr>
            <w:r>
              <w:rPr>
                <w:b w:val="0"/>
                <w:sz w:val="24"/>
              </w:rPr>
              <w:t>106 / 1</w:t>
            </w:r>
          </w:p>
        </w:tc>
      </w:tr>
      <w:tr>
        <w:tc>
          <w:tcPr>
            <w:tcW w:type="dxa" w:w="4082"/>
            <w:vAlign w:val="center"/>
            <w:shd w:fill="F6F7F8"/>
          </w:tcPr>
          <w:p>
            <w:pPr>
              <w:spacing w:line="300" w:lineRule="auto" w:after="100"/>
            </w:pPr>
            <w:r>
              <w:rPr>
                <w:b w:val="0"/>
                <w:sz w:val="24"/>
              </w:rPr>
              <w:t>YOLO11n + RF-DETR-S</w:t>
            </w:r>
          </w:p>
        </w:tc>
        <w:tc>
          <w:tcPr>
            <w:tcW w:type="dxa" w:w="3005"/>
            <w:vAlign w:val="center"/>
            <w:shd w:fill="F6F7F8"/>
          </w:tcPr>
          <w:p>
            <w:pPr>
              <w:spacing w:line="300" w:lineRule="auto" w:after="100"/>
            </w:pPr>
            <w:r>
              <w:rPr>
                <w:b w:val="0"/>
                <w:sz w:val="24"/>
              </w:rPr>
              <w:t>39.57 / 52.05 ms</w:t>
            </w:r>
          </w:p>
        </w:tc>
        <w:tc>
          <w:tcPr>
            <w:tcW w:type="dxa" w:w="2551"/>
            <w:vAlign w:val="center"/>
            <w:shd w:fill="F6F7F8"/>
          </w:tcPr>
          <w:p>
            <w:pPr>
              <w:spacing w:line="300" w:lineRule="auto" w:after="100"/>
            </w:pPr>
            <w:r>
              <w:rPr>
                <w:b w:val="0"/>
                <w:sz w:val="24"/>
              </w:rPr>
              <w:t>107 / 0</w:t>
            </w:r>
          </w:p>
        </w:tc>
      </w:tr>
    </w:tbl>
    <w:p>
      <w:pPr>
        <w:spacing w:before="160"/>
      </w:pPr>
      <w:r>
        <w:t>검증 사진 107장 전체를 각 조합으로 3회 검사했다. 첫 모델의 반전 결과와 상관없이 두 번째 모델을 실행했다. 두 번째 조합은 모두 판단이 대응했지만 공통 IoU FN 1개가 남았다. 모델 간 일치를 정답 확인으로 사용하지 않는 이유다.</w:t>
      </w:r>
    </w:p>
    <w:p>
      <w:pPr/>
      <w:r>
        <w:t>처리 시간은 모델 상주 상태의 사진 읽기·추론·대응 비교다. 촬영·색 네모 제거·설비 통신·대기열은 제외했다. Faster R-CNN 전체 검사는 병목이 될 수 있다. 현장 처리량에 맞는 GPU·병렬 검사 수·제품 대기 공간을 별도로 확인해야 한다.</w:t>
      </w:r>
    </w:p>
    <w:p>
      <w:pPr>
        <w:pStyle w:val="Heading1"/>
        <w:pageBreakBefore/>
      </w:pPr>
      <w:r>
        <w:t>제4장 현장 활용방안</w:t>
      </w:r>
    </w:p>
    <w:p>
      <w:pPr>
        <w:pStyle w:val="Heading2"/>
      </w:pPr>
      <w:r>
        <w:t>제품을 추적하고 경고를 보존하는 순서</w:t>
      </w:r>
    </w:p>
    <w:p>
      <w:pPr/>
      <w:r>
        <w:t>1. 제품 ID와 사진의 해시를 묶어 기록한다. 사진 품질이나 촬영 상태가 불명확하면 재촬영 또는 보류한다.</w:t>
      </w:r>
    </w:p>
    <w:p>
      <w:pPr/>
      <w:r>
        <w:t>2. 첫 탐지 결과와 경고를 저장한다. 두 번째 모델은 첫 예측 박스에만 의존하지 않고 같은 전체 사진을 검사한다.</w:t>
      </w:r>
    </w:p>
    <w:p>
      <w:pPr/>
      <w:r>
        <w:t>3. 추가 검사 동안 제품은 추적 가능한 대기 또는 재검사 경로에 둔다. 처리 지연이나 장애를 정상 판정으로 바꾸지 않는다.</w:t>
      </w:r>
    </w:p>
    <w:p>
      <w:pPr/>
      <w:r>
        <w:t>4. 두 결과가 다르면 둘 다 보존하고 재검사한다. 두 번째 모델이 아무것도 찾지 못해도 첫 경고를 삭제하지 않는다.</w:t>
      </w:r>
    </w:p>
    <w:p>
      <w:pPr/>
      <w:r>
        <w:t>5. 두 모델 모두 이물을 찾지 못한 경우도 현재는 정상 통과를 허용하지 않는다. 대표적인 정상·이상 제품으로 출하 기준을 검증한 뒤 설비와 연동한다.</w:t>
      </w:r>
    </w:p>
    <w:p>
      <w:pPr/>
      <w:r>
        <w:t>제품 ID·중복·지연·오류·첫 경고 보존을 상태 처리 코드로 구현했다. 단위 검사 7개를 통과했다. 시간 확인을 외부 감독 기능으로 분리했다. 실제 GPU 강제 중단·PLC·배출기·라인 정지는 미검증이다.</w:t>
      </w:r>
    </w:p>
    <w:p>
      <w:pPr/>
      <w:r>
        <w:t>추가 사진 검토에서 YOLO11n의 테스트 FN 9개 중 2개는 채택된 국소 예측이 없었다. 나머지 FN 위치에서는 검은 중심이 박스 안에 보였다. 단일 AI의 오류 위치 한정 검토이며 새 시각 F1은 계산하지 않았다. 테스트 사진을 전문 모델 학습에 넣지 않는다.</w:t>
      </w:r>
    </w:p>
    <w:p>
      <w:pPr/>
      <w:r>
        <w:t>현장에서는 실제 정상·이상 제품과 제품별 정답을 확보한다. 미탐 제품률을 우선 측정하고 오경보·보류량·시간 초과율을 확인한다. 탐지 점수는 보정된 제조 이상 확률이 아니다.</w:t>
      </w:r>
    </w:p>
    <w:p>
      <w:pPr>
        <w:pStyle w:val="Heading1"/>
        <w:pageBreakBefore/>
      </w:pPr>
      <w:r>
        <w:t>제4장 현장 활용방안</w:t>
      </w:r>
    </w:p>
    <w:p>
      <w:pPr>
        <w:pStyle w:val="Heading2"/>
      </w:pPr>
      <w:r>
        <w:t>도입 단계와 효과를 확인하는 방법</w:t>
      </w:r>
    </w:p>
    <w:tbl>
      <w:tblPr>
        <w:tblW w:type="auto" w:w="0"/>
        <w:jc w:val="center"/>
        <w:tblLayout w:type="fixed"/>
        <w:tblLook w:firstColumn="1" w:firstRow="1" w:lastColumn="0" w:lastRow="0" w:noHBand="0" w:noVBand="1" w:val="04A0"/>
      </w:tblPr>
      <w:tblGrid>
        <w:gridCol w:w="1871"/>
        <w:gridCol w:w="3685"/>
        <w:gridCol w:w="4082"/>
      </w:tblGrid>
      <w:tr>
        <w:trPr>
          <w:tblHeader/>
        </w:trP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단계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실행 범위</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4"/>
              </w:rPr>
              <w:t>확인할 항목</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병행 기록</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기존 검사 유지, AI 결과만 별도 저장</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새 촬영 묶음의 정상·이상 제품과 판정 일치</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지원</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작업자에게 위치·확대 영상과 우선순위 제공</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재검사 소요시간, 놓친 이물, 정상 오경보</w:t>
            </w:r>
          </w:p>
        </w:tc>
      </w:tr>
      <w:tr>
        <w:tc>
          <w:tcPr>
            <w:tcW w:type="dxa" w:w="1871"/>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제한적 자동 연계</w:t>
            </w:r>
          </w:p>
        </w:tc>
        <w:tc>
          <w:tcPr>
            <w:tcW w:type="dxa" w:w="3685"/>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검증 조건 안에서 분리 장치 연결</w:t>
            </w:r>
          </w:p>
        </w:tc>
        <w:tc>
          <w:tcPr>
            <w:tcW w:type="dxa" w:w="4082"/>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4"/>
              </w:rPr>
              <w:t>처리 지연, 제품 추적, 분리 확인, 장애 대응</w:t>
            </w:r>
          </w:p>
        </w:tc>
      </w:tr>
    </w:tbl>
    <w:p/>
    <w:p>
      <w:r>
        <w:t>도입 가능성은 네 지표로 확인한다. 이물 제품 중 경보 없이 통과한 비율, 정상 제품 중 경보한 비율, 전체 제품 중 재검사로 보낸 비율, 촬영부터 조치까지의 처리 시간이다. 이물 박스 F1과 함께 보고한다.</w:t>
      </w:r>
    </w:p>
    <w:p>
      <w:r>
        <w:t>검사 속도와 허용 재검사량은 현재 제공되지 않았다. 따라서 제품당 처리 시간의 P95가 설비의 허용 지연 안에 드는지, 단위 시간의 재검사 제품 수가 작업자 처리량 이하인지 현장에서 확인해야 한다. 허용값과 성과 수치를 임의로 만들지 않는다.</w:t>
      </w:r>
    </w:p>
    <w:p>
      <w:r>
        <w:t>기대 효과는 의심 위치를 빠르게 확인하고, 반복 오류의 원인을 추적하며, 새 자료로 모델을 개선하는 것이다. 재검사량 감소나 미탐 감소가 이미 실현됐다는 주장은 하지 않는다. 대표 정상·이상 제품으로 확인한 뒤 PASS 적용 여부를 결정한다.</w:t>
      </w:r>
    </w:p>
    <w:p>
      <w:pPr>
        <w:pStyle w:val="Heading1"/>
        <w:pageBreakBefore/>
      </w:pPr>
      <w:r>
        <w:t>제5장 창의성 및 차별성</w:t>
      </w:r>
    </w:p>
    <w:p>
      <w:pPr>
        <w:pStyle w:val="Heading2"/>
      </w:pPr>
      <w:r>
        <w:t>추가 자료의 기여와 실패 조건을 검증</w:t>
      </w:r>
    </w:p>
    <w:p>
      <w:r>
        <w:t>전처리의 목적은 이물의 영상 특징을 남기고 장비 표시 의존을 줄이는 것이다. 연속 촬영 자료를 묶어서 평가하고, 의사 라벨은 공식 정답과 구분하여 추적한다. 이 과정을 통해 무엇을 배웠고 무엇을 평가했는지 설명할 수 있게 한다.</w:t>
      </w:r>
    </w:p>
    <w:p>
      <w:r>
        <w:t>자르기·회전은 제품과 이물의 관계를 함께 보존한다. 이물 제거와 막대 밖 합성은 시험편 위치에만 의존하는 학습을 줄일 수 있다는 가설을 시험한다. 의사 라벨은 학습 사진 수를 늘리지만 오류를 함께 늘릴 수도 있다.</w:t>
      </w:r>
    </w:p>
    <w:p>
      <w:r>
        <w:t>앞선 8가지 조건 비교는 같은 업데이트 예산의 단기 실험이었다. 각 조건을 모두 이어 붙이면 기본 사진이 반복된다. 전체 혼합에서는 중복을 정리해 서로 다른 학습 사진 2,453장을 사용했다.</w:t>
      </w:r>
    </w:p>
    <w:p>
      <w:r>
        <w:t>이번 네 모델의 전체 혼합 비교만으로 각 증강의 개별 기여를 확정할 수는 없다. 특정 처리 때문에 성능이 향상됐다는 문장은 동일 모델·동일 예산의 대응 실험이 있을 때만 사용한다. 도움이 되지 않은 가설과 적용 한계도 결과에 남긴다.</w:t>
      </w:r>
    </w:p>
    <w:p>
      <w:r>
        <w:t>새 모델의 이름보다 오류와 기능의 연결을 중시한다. D-FINE-S의 경계 보정은 박스 불일치 감소 가설과 연결한다. 박스 점수가 좋아져도 위험 제품의 통과가 줄었는지는 별도로 확인한다.</w:t>
      </w:r>
    </w:p>
    <w:p>
      <w:pPr>
        <w:pStyle w:val="Heading1"/>
        <w:pageBreakBefore/>
      </w:pPr>
      <w:r>
        <w:t>제6장 코드 구성 및 재현성</w:t>
      </w:r>
    </w:p>
    <w:p>
      <w:pPr>
        <w:pStyle w:val="Heading2"/>
      </w:pPr>
      <w:r>
        <w:t>데이터와 결과의 연결을 보존</w:t>
      </w:r>
    </w:p>
    <w:p>
      <w:r>
        <w:t>원본은 읽기 전용으로 보존했다. 처리 사진, 공식 라벨 사본, 의사 라벨, 분할 목록과 변환 이력을 분리했다. 각 모델은 같은 데이터 목록을 사용하며 코드·환경·가중치와 결과 파일의 확인값을 기록한다.</w:t>
      </w:r>
    </w:p>
    <w:tbl>
      <w:tblPr>
        <w:tblW w:type="auto" w:w="0"/>
        <w:jc w:val="center"/>
        <w:tblLayout w:type="fixed"/>
        <w:tblLook w:firstColumn="1" w:firstRow="1" w:lastColumn="0" w:lastRow="0" w:noHBand="0" w:noVBand="1" w:val="04A0"/>
      </w:tblPr>
      <w:tblGrid>
        <w:gridCol w:w="2948"/>
        <w:gridCol w:w="6690"/>
      </w:tblGrid>
      <w:tr>
        <w:trPr>
          <w:tblHeader/>
        </w:trP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단계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shd w:fill="E6E6E6"/>
          </w:tcPr>
          <w:p>
            <w:pPr>
              <w:spacing w:line="312" w:lineRule="auto" w:after="40"/>
            </w:pPr>
            <w:r>
              <w:rPr>
                <w:b/>
                <w:sz w:val="22"/>
              </w:rPr>
              <w:t>주요 실행 파일</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색 네모 제거와 분할</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scripts/xray_prepare_v2.py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증강과 전체 혼합</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scripts/xray_prepare_roadmap.py</w:t>
              <w:br/>
              <w:t>scripts/xray_prepare_combined.py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의사 라벨 선별</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scripts/xray_pseudo_label.py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재개 가능한 학습</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scripts/xray_train_resumable.py</w:t>
              <w:br/>
              <w:t>scripts/xray_dfine.py</w:t>
            </w:r>
          </w:p>
        </w:tc>
      </w:tr>
      <w:tr>
        <w:tc>
          <w:tcPr>
            <w:tcW w:type="dxa" w:w="2948"/>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공통 검증과 채점</w:t>
            </w:r>
          </w:p>
        </w:tc>
        <w:tc>
          <w:tcPr>
            <w:tcW w:type="dxa" w:w="6690"/>
            <w:vAlign w:val="center"/>
            <w:tcBorders>
              <w:top w:val="single" w:sz="5" w:color="D9D9D9"/>
              <w:left w:val="single" w:sz="5" w:color="D9D9D9"/>
              <w:bottom w:val="single" w:sz="5" w:color="D9D9D9"/>
              <w:right w:val="single" w:sz="5" w:color="D9D9D9"/>
            </w:tcBorders>
            <w:tcMar>
              <w:top w:w="95" w:type="dxa"/>
              <w:left w:w="95" w:type="dxa"/>
              <w:bottom w:w="95" w:type="dxa"/>
              <w:right w:w="95" w:type="dxa"/>
            </w:tcMar>
          </w:tcPr>
          <w:p>
            <w:pPr>
              <w:spacing w:line="312" w:lineRule="auto" w:after="40"/>
            </w:pPr>
            <w:r>
              <w:rPr>
                <w:b w:val="0"/>
                <w:sz w:val="22"/>
              </w:rPr>
              <w:t>scripts/xray_epoch_validation.py</w:t>
              <w:br/>
              <w:t>scripts/xray_eval.py</w:t>
            </w:r>
          </w:p>
        </w:tc>
      </w:tr>
    </w:tbl>
    <w:p/>
    <w:p>
      <w:r>
        <w:t>완료 epoch마다 모델·optimizer·학습률 상태와 난수 상태를 저장한다. 복구 전에 설정·파일 확인값을 검사한다. 중단 시 마지막으로 검증된 epoch부터 이어서 학습한다. Colab 결과는 Drive에 저장한다. 세션이 자동 재연결된다는 뜻은 아니다.</w:t>
      </w:r>
    </w:p>
    <w:p>
      <w:r>
        <w:t>CPU와 MPS·CUDA의 작은 실행에서 중단 후 재개를 확인했다. 제출 ZIP을 새 폴더에 풀어 전체 파일의 해시와 여섯 모델의 저장 테스트 예측 재채점을 확인했다. 기존 Python 환경을 사용했으며 새 환경의 전체 재학습은 하지 않았다.</w:t>
      </w:r>
    </w:p>
    <w:p>
      <w:pPr>
        <w:pStyle w:val="Caption"/>
      </w:pPr>
      <w:r>
        <w:t>제출 ZIP에는 소스코드, 환경 명세, 학습용 데이터, README, 테스트 예측 결과를 포함한다. 보고서 PDF와 발표자료 PDF·PPT는 별도 제출한다.</w:t>
      </w:r>
    </w:p>
    <w:p>
      <w:pPr>
        <w:pStyle w:val="Heading1"/>
        <w:pageBreakBefore/>
      </w:pPr>
      <w:r>
        <w:t>참고자료</w:t>
      </w:r>
    </w:p>
    <w:p>
      <w:pPr>
        <w:pStyle w:val="Heading2"/>
      </w:pPr>
      <w:r>
        <w:t>자료와 방법의 출처</w:t>
      </w:r>
    </w:p>
    <w:p>
      <w:pPr>
        <w:pStyle w:val="Caption"/>
      </w:pPr>
      <w:r>
        <w:t>[1] 제6회 K-인공지능 제조데이터 분석 경진대회 안내, 3~4쪽. 결과보고서 양식, X-ray 추가 안내.</w:t>
      </w:r>
    </w:p>
    <w:p>
      <w:pPr>
        <w:pStyle w:val="Caption"/>
      </w:pPr>
      <w:r>
        <w:t>[2] Ultralytics. YOLOv8 공식 모델 문서. https://docs.ultralytics.com/models/yolov8/</w:t>
      </w:r>
    </w:p>
    <w:p>
      <w:pPr>
        <w:pStyle w:val="Caption"/>
      </w:pPr>
      <w:r>
        <w:t>[3] Ren et al. Faster R-CNN. NeurIPS 2015. https://arxiv.org/abs/1506.01497</w:t>
      </w:r>
    </w:p>
    <w:p>
      <w:pPr>
        <w:pStyle w:val="Caption"/>
      </w:pPr>
      <w:r>
        <w:t>[4] He et al. Deep Residual Learning for Image Recognition. CVPR 2016. https://arxiv.org/abs/1512.03385</w:t>
      </w:r>
    </w:p>
    <w:p>
      <w:pPr>
        <w:pStyle w:val="Caption"/>
      </w:pPr>
      <w:r>
        <w:t>[5] Lin et al. Feature Pyramid Networks for Object Detection. CVPR 2017. https://arxiv.org/abs/1612.03144</w:t>
      </w:r>
    </w:p>
    <w:p>
      <w:pPr>
        <w:pStyle w:val="Caption"/>
      </w:pPr>
      <w:r>
        <w:t>[6] Torchvision. fasterrcnn_resnet50_fpn_v2 공식 API. https://docs.pytorch.org/vision/0.23/models/generated/torchvision.models.detection.fasterrcnn_resnet50_fpn_v2.html</w:t>
      </w:r>
    </w:p>
    <w:p>
      <w:pPr>
        <w:pStyle w:val="Caption"/>
      </w:pPr>
      <w:r>
        <w:t>[7] Oquab et al. DINOv2. https://arxiv.org/abs/2304.07193</w:t>
      </w:r>
    </w:p>
    <w:p>
      <w:pPr>
        <w:pStyle w:val="Caption"/>
      </w:pPr>
      <w:r>
        <w:t>[8] Roboflow. RF-DETR 공식 구현. https://github.com/roboflow/rf-detr</w:t>
      </w:r>
    </w:p>
    <w:p>
      <w:pPr>
        <w:pStyle w:val="Caption"/>
      </w:pPr>
      <w:r>
        <w:t>[9] Peng et al. D-FINE. 공식 구현과 논문 링크. https://github.com/Peterande/D-FINE</w:t>
      </w:r>
    </w:p>
    <w:p>
      <w:pPr>
        <w:pStyle w:val="Caption"/>
      </w:pPr>
      <w:r>
        <w:t>[10] METTLER TOLEDO. X-ray Inspection Guidance, 5.3·6.3·17~21절. https://www.mt.com/nz/en/home/library/know-how/product-inspection/PI-Guides/xray-inspection-guide/x-ray-inspection-wiki.html</w:t>
      </w:r>
    </w:p>
    <w:p>
      <w:pPr>
        <w:pStyle w:val="Caption"/>
      </w:pPr>
      <w:r>
        <w:t>[11] 프로젝트 근거: data/xray_v2/manifest.csv, data/xray_combined_20261003/provenance.json, reports/overnight_20261003/diagnostics/model_selection_comparison.json, docs/evidence/condition_audit_20261003/summary.json, reports/common_epoch_20261004/evaluation_policy.json.</w:t>
      </w:r>
    </w:p>
    <w:p>
      <w:r>
        <w:t>EDA, 여섯 모델의 공통 20epoch 비교, AI 보조 시각 평가와 실제 추가 검사 결과를 포함한다. 공식 IoU·AI 검토·제품 처리 상태를 구분한다. 현장 정상·이상 자료와 설비 연동 검증은 후속 단계다.</w:t>
      </w:r>
    </w:p>
    <w:p>
      <w:pPr>
        <w:pStyle w:val="Heading1"/>
        <w:pageBreakBefore/>
      </w:pPr>
      <w:r>
        <w:t>경진대회 만족도 조사</w:t>
      </w:r>
    </w:p>
    <w:p>
      <w:pPr>
        <w:pStyle w:val="Heading2"/>
      </w:pPr>
      <w:r>
        <w:t>완료 화면 첨부란</w:t>
      </w:r>
    </w:p>
    <w:p>
      <w:r>
        <w:t>설문 완료 화면은 팀에서 응답한 뒤 첨부한다. 현재 검토본에는 완료 화면이 없다.</w:t>
      </w:r>
    </w:p>
    <w:p>
      <w:r>
        <w:t>설문 주소: https://naver.me/FetWt7SN</w:t>
      </w:r>
    </w:p>
    <w:p>
      <w:r>
        <w:t>최종 제출 전 확인 항목: 팀명, 성명과 서명, 설문 완료 화면, 팀의 모델·운영안 승인, 지정 글꼴과 포털 추가 공지. 새 환경의 전체 재학습과 현장 검증은 미실행 범위로 명시한다.</w:t>
      </w:r>
    </w:p>
    <w:sectPr w:rsidR="00FC693F" w:rsidRPr="0006063C" w:rsidSect="00034616">
      <w:headerReference w:type="default" r:id="rId9"/>
      <w:footerReference w:type="default" r:id="rId10"/>
      <w:pgSz w:w="11906" w:h="16838"/>
      <w:pgMar w:top="1134" w:right="1134" w:bottom="1134" w:left="1134" w:header="454"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제6회 K-인공지능 제조데이터 분석 경진대회  /  검토본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84" w:lineRule="auto" w:after="140"/>
    </w:pPr>
    <w:rPr>
      <w:rFonts w:ascii="AppleMyungjo" w:hAnsi="AppleMyungjo" w:eastAsia="AppleMyungjo"/>
      <w:color w:val="000000"/>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40" w:line="384" w:lineRule="auto"/>
      <w:outlineLvl w:val="0"/>
    </w:pPr>
    <w:rPr>
      <w:rFonts w:asciiTheme="majorHAnsi" w:eastAsiaTheme="majorEastAsia" w:hAnsiTheme="majorHAnsi" w:cstheme="majorBidi" w:ascii="AppleMyungjo" w:hAnsi="AppleMyungjo" w:eastAsia="AppleMyungjo"/>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40" w:line="384" w:lineRule="auto"/>
      <w:outlineLvl w:val="1"/>
    </w:pPr>
    <w:rPr>
      <w:rFonts w:asciiTheme="majorHAnsi" w:eastAsiaTheme="majorEastAsia" w:hAnsiTheme="majorHAnsi" w:cstheme="majorBidi" w:ascii="AppleMyungjo" w:hAnsi="AppleMyungjo" w:eastAsia="AppleMyungjo"/>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40" w:line="384" w:lineRule="auto"/>
      <w:contextualSpacing/>
    </w:pPr>
    <w:rPr>
      <w:rFonts w:asciiTheme="majorHAnsi" w:eastAsiaTheme="majorEastAsia" w:hAnsiTheme="majorHAnsi" w:cstheme="majorBidi" w:ascii="AppleMyungjo" w:hAnsi="AppleMyungjo" w:eastAsia="AppleMyungjo"/>
      <w:b/>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384" w:lineRule="auto" w:after="140"/>
    </w:pPr>
    <w:rPr>
      <w:rFonts w:asciiTheme="majorHAnsi" w:eastAsiaTheme="majorEastAsia" w:hAnsiTheme="majorHAnsi" w:cstheme="majorBidi" w:ascii="AppleMyungjo" w:hAnsi="AppleMyungjo" w:eastAsia="AppleMyungjo"/>
      <w:i/>
      <w:iCs/>
      <w:color w:val="000000"/>
      <w:spacing w:val="15"/>
      <w:sz w:val="4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after="140"/>
    </w:pPr>
    <w:rPr>
      <w:rFonts w:ascii="AppleMyungjo" w:hAnsi="AppleMyungjo" w:eastAsia="AppleMyungjo"/>
      <w:b/>
      <w:bCs/>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X-ray 이물 탐지와 조건별 오류 분석</dc:title>
  <dc:subject>식품 이물 미탐 위험과 최신 모델 비교 반영</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