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600"/>
        <w:jc w:val="center"/>
      </w:pPr>
      <w:r>
        <w:rPr>
          <w:rFonts w:ascii="Calibri" w:hAnsi="Calibri"/>
          <w:b/>
          <w:color w:val="0B2431"/>
          <w:sz w:val="56"/>
        </w:rPr>
        <w:t>Reversa Pitch Deck</w:t>
      </w:r>
    </w:p>
    <w:p>
      <w:pPr>
        <w:pStyle w:val="Heading1"/>
      </w:pPr>
      <w:r>
        <w:t>1. **Reversa**</w:t>
      </w:r>
    </w:p>
    <w:p>
      <w:pPr>
        <w:spacing w:after="60"/>
      </w:pPr>
    </w:p>
    <w:p>
      <w:r>
        <w:rPr>
          <w:rFonts w:ascii="Calibri" w:hAnsi="Calibri"/>
          <w:color w:val="0B2431"/>
          <w:sz w:val="22"/>
        </w:rPr>
        <w:t>Automatización del seguimiento, análisis y gestión de las novedades normativas a través de IA para Enterprises, servicios profesionales y pymes en sectores regulados.</w:t>
      </w:r>
    </w:p>
    <w:p>
      <w:pPr>
        <w:spacing w:after="60"/>
      </w:pPr>
    </w:p>
    <w:p>
      <w:pPr>
        <w:pStyle w:val="Heading1"/>
      </w:pPr>
      <w:r>
        <w:t>2. **Problema**</w:t>
      </w:r>
    </w:p>
    <w:p>
      <w:pPr>
        <w:spacing w:after="60"/>
      </w:pPr>
    </w:p>
    <w:p>
      <w:r>
        <w:rPr>
          <w:rFonts w:ascii="Calibri" w:hAnsi="Calibri"/>
          <w:color w:val="0B2431"/>
          <w:sz w:val="22"/>
        </w:rPr>
        <w:t>El problema solucionado es el de analizar novedades normativas y controlar riesgo regulatorio. Inicialmente con foco en el ámbito nacional, con el objetivo de ser el referente en civil law (Europa + LATAM). Solo en España se publican +1m páginas normativas al año. El flujo de trabajo típico se divide en 3 partes:</w:t>
      </w:r>
    </w:p>
    <w:p>
      <w:pPr>
        <w:spacing w:after="60"/>
      </w:pPr>
    </w:p>
    <w:p>
      <w:pPr>
        <w:pStyle w:val="ListBullet"/>
        <w:spacing w:after="60"/>
        <w:ind w:left="360"/>
      </w:pPr>
      <w:r>
        <w:rPr>
          <w:rFonts w:ascii="Calibri" w:hAnsi="Calibri"/>
          <w:color w:val="0B2431"/>
          <w:sz w:val="22"/>
        </w:rPr>
        <w:t>__Filtrado:__ Detectar todo lo publicado diariamente en las fuentes oficiales (boletines oficiales, reguladores, normativa en tramitación…) y filtrar lo relevante. Según empresa entre 30/+100 fuentes</w:t>
      </w:r>
    </w:p>
    <w:p>
      <w:pPr>
        <w:pStyle w:val="ListBullet"/>
        <w:spacing w:after="60"/>
        <w:ind w:left="360"/>
      </w:pPr>
      <w:r>
        <w:rPr>
          <w:rFonts w:ascii="Calibri" w:hAnsi="Calibri"/>
          <w:color w:val="0B2431"/>
          <w:sz w:val="22"/>
        </w:rPr>
        <w:t>__Análisis:__ Una vez identificado el contenido relevante, hacer un análisis sobre el impacto específico para la empresa y determinar las acciones a implementar.</w:t>
      </w:r>
    </w:p>
    <w:p>
      <w:pPr>
        <w:pStyle w:val="ListBullet"/>
        <w:spacing w:after="60"/>
        <w:ind w:left="360"/>
      </w:pPr>
      <w:r>
        <w:rPr>
          <w:rFonts w:ascii="Calibri" w:hAnsi="Calibri"/>
          <w:color w:val="0B2431"/>
          <w:sz w:val="22"/>
        </w:rPr>
        <w:t>__Gestión:__ Almacenar de manera estructurada las novedades normativas y su análisis, compartirlas con los stakeholders involucrados y distribuir el trabajo entre los equipos.</w:t>
      </w:r>
    </w:p>
    <w:p>
      <w:pPr>
        <w:spacing w:after="60"/>
      </w:pPr>
    </w:p>
    <w:p>
      <w:pPr>
        <w:pStyle w:val="Heading1"/>
      </w:pPr>
      <w:r>
        <w:t>3. **ICPs**</w:t>
      </w:r>
    </w:p>
    <w:p>
      <w:pPr>
        <w:spacing w:after="60"/>
      </w:pPr>
    </w:p>
    <w:p>
      <w:pPr>
        <w:pStyle w:val="ListBullet"/>
        <w:spacing w:after="60"/>
        <w:ind w:left="360"/>
      </w:pPr>
      <w:r>
        <w:rPr>
          <w:rFonts w:ascii="Calibri" w:hAnsi="Calibri"/>
          <w:color w:val="0B2431"/>
          <w:sz w:val="22"/>
        </w:rPr>
        <w:t>__Grandes empresas (enterprises):__ empresas que por su tamaño están especialmente expuestas a la regulación y afectadas por un amplio número de normativas, ya sea por realizar diversas actividades económicas u operar en varias zonas geográficas.</w:t>
      </w:r>
    </w:p>
    <w:p>
      <w:pPr>
        <w:pStyle w:val="ListBullet"/>
        <w:spacing w:after="60"/>
        <w:ind w:left="360"/>
      </w:pPr>
      <w:r>
        <w:rPr>
          <w:rFonts w:ascii="Calibri" w:hAnsi="Calibri"/>
          <w:color w:val="0B2431"/>
          <w:sz w:val="22"/>
        </w:rPr>
        <w:t>Solución hasta ahora: Subcontratan servicios profesionales o equipo in-house 3-6 FTE. Algunos equipos in-house utilizan algún software de notificaciones (PKF Attest, Infosald), basadas en palabras clave que introducen ruido. El resto revisión manual y desestructurada en excel y words</w:t>
      </w:r>
    </w:p>
    <w:p>
      <w:pPr>
        <w:pStyle w:val="ListBullet"/>
        <w:spacing w:after="60"/>
        <w:ind w:left="360"/>
      </w:pPr>
      <w:r>
        <w:rPr>
          <w:rFonts w:ascii="Calibri" w:hAnsi="Calibri"/>
          <w:color w:val="0B2431"/>
          <w:sz w:val="22"/>
        </w:rPr>
        <w:t>Ticket medio: ~10k€/año</w:t>
      </w:r>
    </w:p>
    <w:p>
      <w:pPr>
        <w:spacing w:after="60"/>
      </w:pPr>
    </w:p>
    <w:p>
      <w:pPr>
        <w:pStyle w:val="ListBullet"/>
        <w:spacing w:after="60"/>
        <w:ind w:left="360"/>
      </w:pPr>
      <w:r>
        <w:rPr>
          <w:rFonts w:ascii="Calibri" w:hAnsi="Calibri"/>
          <w:color w:val="0B2431"/>
          <w:sz w:val="22"/>
        </w:rPr>
        <w:t>__Empresas en sectores regulados:__ independientemente de su tamaño (pymes o grandes empresas), empresas afectadas por la regulación por operar en un sector muy regulado (financiero, farmacéutico/sanitario, energético, construcción, agroalimentario, digital)</w:t>
      </w:r>
    </w:p>
    <w:p>
      <w:pPr>
        <w:pStyle w:val="ListBullet"/>
        <w:spacing w:after="60"/>
        <w:ind w:left="360"/>
      </w:pPr>
      <w:r>
        <w:rPr>
          <w:rFonts w:ascii="Calibri" w:hAnsi="Calibri"/>
          <w:color w:val="0B2431"/>
          <w:sz w:val="22"/>
        </w:rPr>
        <w:t>Solución hasta ahora: Subcontratan servicios profesionales o equipo in-house 1-6 FTE (dependiendo del tamaño). Algunos equipos in-house utilizan algún software de notificaciones (PKF Attest, Infosald), basadas en palabras clave que introducen ruido. El resto revisión manual y desestructurada en excel y words</w:t>
      </w:r>
    </w:p>
    <w:p>
      <w:pPr>
        <w:pStyle w:val="ListBullet"/>
        <w:spacing w:after="60"/>
        <w:ind w:left="360"/>
      </w:pPr>
      <w:r>
        <w:rPr>
          <w:rFonts w:ascii="Calibri" w:hAnsi="Calibri"/>
          <w:color w:val="0B2431"/>
          <w:sz w:val="22"/>
        </w:rPr>
        <w:t>Ticket medio: 4k€-10k€/año (dependiendo del tamaño)</w:t>
      </w:r>
    </w:p>
    <w:p>
      <w:pPr>
        <w:spacing w:after="60"/>
      </w:pPr>
    </w:p>
    <w:p>
      <w:pPr>
        <w:pStyle w:val="ListBullet"/>
        <w:spacing w:after="60"/>
        <w:ind w:left="360"/>
      </w:pPr>
      <w:r>
        <w:rPr>
          <w:rFonts w:ascii="Calibri" w:hAnsi="Calibri"/>
          <w:color w:val="0B2431"/>
          <w:sz w:val="22"/>
        </w:rPr>
        <w:t>__Servicios profesionales:__ despachos de abogados o consultoras especializadas (cumplimiento normativo o public affairs) que ofrecen el servicio de seguimiento regulatorio a clientes finales. No sufren de manera directa el riesgo normativo, pero al ofrecer este servicio a distintos clientes, emplean muchos recursos de personal cualificado haciendo tareas manuales.</w:t>
      </w:r>
    </w:p>
    <w:p>
      <w:pPr>
        <w:pStyle w:val="ListBullet"/>
        <w:spacing w:after="60"/>
        <w:ind w:left="360"/>
      </w:pPr>
      <w:r>
        <w:rPr>
          <w:rFonts w:ascii="Calibri" w:hAnsi="Calibri"/>
          <w:color w:val="0B2431"/>
          <w:sz w:val="22"/>
        </w:rPr>
        <w:t>Solución hasta ahora: Equipo in-house 5-10FTE, a través de revisión manual y desestructurada en excel y words.</w:t>
      </w:r>
    </w:p>
    <w:p>
      <w:pPr>
        <w:pStyle w:val="ListBullet"/>
        <w:spacing w:after="60"/>
        <w:ind w:left="360"/>
      </w:pPr>
      <w:r>
        <w:rPr>
          <w:rFonts w:ascii="Calibri" w:hAnsi="Calibri"/>
          <w:color w:val="0B2431"/>
          <w:sz w:val="22"/>
        </w:rPr>
        <w:t>Ticket medio: ~15k€/año</w:t>
      </w:r>
    </w:p>
    <w:p>
      <w:pPr>
        <w:spacing w:after="60"/>
      </w:pPr>
    </w:p>
    <w:p>
      <w:pPr>
        <w:pStyle w:val="Heading1"/>
      </w:pPr>
      <w:r>
        <w:t>4. **Solución con Reversa**</w:t>
      </w:r>
    </w:p>
    <w:p>
      <w:pPr>
        <w:spacing w:after="60"/>
      </w:pPr>
    </w:p>
    <w:p>
      <w:pPr>
        <w:pStyle w:val="ListBullet"/>
        <w:spacing w:after="60"/>
        <w:ind w:left="360"/>
      </w:pPr>
      <w:r>
        <w:rPr>
          <w:rFonts w:ascii="Calibri" w:hAnsi="Calibri"/>
          <w:color w:val="0B2431"/>
          <w:sz w:val="22"/>
        </w:rPr>
        <w:t>__Filtrado:__ detección del impacto personalizado tras analizar todas las fuentes relevantes con agentes de IA configurados con el contexto del cliente.</w:t>
      </w:r>
    </w:p>
    <w:p>
      <w:pPr>
        <w:pStyle w:val="ListBullet"/>
        <w:spacing w:after="60"/>
        <w:ind w:left="360"/>
      </w:pPr>
      <w:r>
        <w:rPr>
          <w:rFonts w:ascii="Calibri" w:hAnsi="Calibri"/>
          <w:color w:val="0B2431"/>
          <w:sz w:val="22"/>
        </w:rPr>
        <w:t>__Análisis:__ deep dives automáticos e interacción con la norma; visión agregada del riesgo mediante dashboards, estadísticas, heatmaps y tendencias.</w:t>
      </w:r>
    </w:p>
    <w:p>
      <w:pPr>
        <w:pStyle w:val="ListBullet"/>
        <w:spacing w:after="60"/>
        <w:ind w:left="360"/>
      </w:pPr>
      <w:r>
        <w:rPr>
          <w:rFonts w:ascii="Calibri" w:hAnsi="Calibri"/>
          <w:color w:val="0B2431"/>
          <w:sz w:val="22"/>
        </w:rPr>
        <w:t>__Gestión:__ centraliza fuentes y archivado; plataforma colaborativa; newsletters, informes y radares para distribuir a comités y clientes.</w:t>
      </w:r>
    </w:p>
    <w:p>
      <w:pPr>
        <w:spacing w:after="60"/>
      </w:pPr>
    </w:p>
    <w:p>
      <w:pPr>
        <w:pStyle w:val="Heading1"/>
      </w:pPr>
      <w:r>
        <w:t>5. **Tech**</w:t>
      </w:r>
    </w:p>
    <w:p>
      <w:pPr>
        <w:spacing w:after="60"/>
      </w:pPr>
    </w:p>
    <w:p>
      <w:pPr>
        <w:pStyle w:val="ListBullet"/>
        <w:spacing w:after="60"/>
        <w:ind w:left="360"/>
      </w:pPr>
      <w:r>
        <w:rPr>
          <w:rFonts w:ascii="Calibri" w:hAnsi="Calibri"/>
          <w:color w:val="0B2431"/>
          <w:sz w:val="22"/>
        </w:rPr>
        <w:t>__Integración de fuentes:__ Conexión actual a +70 fuentes en constante expansión, generando un dataset personalizado. Proceso de integración de fuentes automatizado mediante agentes de IA conectados a MCPs.</w:t>
      </w:r>
    </w:p>
    <w:p>
      <w:pPr>
        <w:pStyle w:val="ListBullet"/>
        <w:spacing w:after="60"/>
        <w:ind w:left="360"/>
      </w:pPr>
      <w:r>
        <w:rPr>
          <w:rFonts w:ascii="Calibri" w:hAnsi="Calibri"/>
          <w:color w:val="0B2431"/>
          <w:sz w:val="22"/>
        </w:rPr>
        <w:t>__Generación de agentes:__ Plataforma no code que permite a los equipos legales generar agentes de IA basados en plantillas y parámetros clave. System prompt y estructura de agentes propia, afinadas tras miles de evaluaciones y en constante mejora a través de feedback de usuarios.</w:t>
      </w:r>
    </w:p>
    <w:p>
      <w:pPr>
        <w:pStyle w:val="ListBullet"/>
        <w:spacing w:after="60"/>
        <w:ind w:left="360"/>
      </w:pPr>
      <w:r>
        <w:rPr>
          <w:rFonts w:ascii="Calibri" w:hAnsi="Calibri"/>
          <w:color w:val="0B2431"/>
          <w:sz w:val="22"/>
        </w:rPr>
        <w:t>__Análisis normativo:__ Análisis de la información diario, de manera asíncrona y notificando el impacto al cliente la misma mañana que se publica la norma</w:t>
      </w:r>
    </w:p>
    <w:p>
      <w:pPr>
        <w:pStyle w:val="ListBullet"/>
        <w:spacing w:after="60"/>
        <w:ind w:left="360"/>
      </w:pPr>
      <w:r>
        <w:rPr>
          <w:rFonts w:ascii="Calibri" w:hAnsi="Calibri"/>
          <w:color w:val="0B2431"/>
          <w:sz w:val="22"/>
        </w:rPr>
        <w:t>__Plataforma completa:__ automatización de extremo a extremo (filtrado, análisis y gestión).</w:t>
      </w:r>
    </w:p>
    <w:p>
      <w:pPr>
        <w:spacing w:after="60"/>
      </w:pPr>
    </w:p>
    <w:p>
      <w:pPr>
        <w:pStyle w:val="Heading1"/>
      </w:pPr>
      <w:r>
        <w:t>6. **GTM**</w:t>
      </w:r>
    </w:p>
    <w:p>
      <w:pPr>
        <w:spacing w:after="60"/>
      </w:pPr>
    </w:p>
    <w:p>
      <w:r>
        <w:rPr>
          <w:rFonts w:ascii="Calibri" w:hAnsi="Calibri"/>
          <w:color w:val="0B2431"/>
          <w:sz w:val="22"/>
        </w:rPr>
        <w:t>Foco en España, con la expansión internacional por Europa y LATAM como parte de la visión una vez consolidemos el mercado. Basado en las siguientes palancas:</w:t>
      </w:r>
    </w:p>
    <w:p>
      <w:pPr>
        <w:spacing w:after="60"/>
      </w:pPr>
    </w:p>
    <w:p>
      <w:pPr>
        <w:pStyle w:val="ListBullet"/>
        <w:spacing w:after="60"/>
        <w:ind w:left="360"/>
      </w:pPr>
      <w:r>
        <w:rPr>
          <w:rFonts w:ascii="Calibri" w:hAnsi="Calibri"/>
          <w:color w:val="0B2431"/>
          <w:sz w:val="22"/>
        </w:rPr>
        <w:t>__Captación inorgánica:__ proceso estructurado (intro, discovery+demo, propuesta, setup, trial 2–4 semanas); refinado tras +50 entrevistas previas con abogados; Ciclo venta estimado ~3 meses.</w:t>
      </w:r>
    </w:p>
    <w:p>
      <w:pPr>
        <w:pStyle w:val="ListBullet"/>
        <w:spacing w:after="60"/>
        <w:ind w:left="360"/>
      </w:pPr>
      <w:r>
        <w:rPr>
          <w:rFonts w:ascii="Calibri" w:hAnsi="Calibri"/>
          <w:color w:val="0B2431"/>
          <w:sz w:val="22"/>
        </w:rPr>
        <w:t>__Contenido orgánico:__ Empezando el desarrollo tras haber recibido varios leads inbound.  Foco en LinkedIn comentando novedades y automatizando contenido.</w:t>
      </w:r>
    </w:p>
    <w:p>
      <w:pPr>
        <w:pStyle w:val="ListBullet"/>
        <w:spacing w:after="60"/>
        <w:ind w:left="360"/>
      </w:pPr>
      <w:r>
        <w:rPr>
          <w:rFonts w:ascii="Calibri" w:hAnsi="Calibri"/>
          <w:color w:val="0B2431"/>
          <w:sz w:val="22"/>
        </w:rPr>
        <w:t>__Colaboraciones con despachos de abogados__ como partners</w:t>
      </w:r>
    </w:p>
    <w:p>
      <w:pPr>
        <w:pStyle w:val="ListBullet"/>
        <w:spacing w:after="60"/>
        <w:ind w:left="360"/>
      </w:pPr>
      <w:r>
        <w:rPr>
          <w:rFonts w:ascii="Calibri" w:hAnsi="Calibri"/>
          <w:color w:val="0B2431"/>
          <w:sz w:val="22"/>
        </w:rPr>
        <w:t>__Participación en el ecosistema:__ colaboración con el ICAM, presencia en eventos de compliance, legaltech,etc… (la industria legal es muy relacional basada en confianza), en proceso de organizar evento propio y próxima participación en podcast de legaltech</w:t>
      </w:r>
    </w:p>
    <w:p>
      <w:pPr>
        <w:spacing w:after="60"/>
      </w:pPr>
    </w:p>
    <w:p>
      <w:pPr>
        <w:pStyle w:val="Heading1"/>
      </w:pPr>
      <w:r>
        <w:t>7. **Tracción** (A fecha 16/08)</w:t>
      </w:r>
    </w:p>
    <w:p>
      <w:pPr>
        <w:spacing w:after="60"/>
      </w:pPr>
    </w:p>
    <w:p>
      <w:pPr>
        <w:spacing w:before="160" w:after="120"/>
      </w:pPr>
      <w:r>
        <w:rPr>
          <w:rFonts w:ascii="Calibri" w:hAnsi="Calibri"/>
          <w:b/>
          <w:color w:val="0B2431"/>
          <w:sz w:val="24"/>
          <w:u w:val="single"/>
        </w:rPr>
        <w:t>Clientes</w:t>
      </w:r>
    </w:p>
    <w:p>
      <w:pPr>
        <w:spacing w:after="60"/>
      </w:pPr>
    </w:p>
    <w:p>
      <w:pPr>
        <w:pStyle w:val="ListBullet"/>
        <w:spacing w:after="60"/>
        <w:ind w:left="360"/>
      </w:pPr>
      <w:r>
        <w:rPr>
          <w:rFonts w:ascii="Calibri" w:hAnsi="Calibri"/>
          <w:color w:val="0B2431"/>
          <w:sz w:val="22"/>
        </w:rPr>
        <w:t>Clientes cerrados: 1 —&gt; empresa mediana de sector regulado, 3,5k€/año</w:t>
      </w:r>
    </w:p>
    <w:p>
      <w:pPr>
        <w:pStyle w:val="ListBullet"/>
        <w:spacing w:after="60"/>
        <w:ind w:left="360"/>
      </w:pPr>
      <w:r>
        <w:rPr>
          <w:rFonts w:ascii="Calibri" w:hAnsi="Calibri"/>
          <w:color w:val="0B2431"/>
          <w:sz w:val="22"/>
        </w:rPr>
        <w:t>POCs: 6 (3 servicios profesionales ~10k€/año, 2 enterprises ~8k€/año, 1 mediana 3,5k€/año).</w:t>
      </w:r>
    </w:p>
    <w:p>
      <w:pPr>
        <w:pStyle w:val="ListBullet"/>
        <w:spacing w:after="60"/>
        <w:ind w:left="360"/>
      </w:pPr>
      <w:r>
        <w:rPr>
          <w:rFonts w:ascii="Calibri" w:hAnsi="Calibri"/>
          <w:color w:val="0B2431"/>
          <w:sz w:val="22"/>
        </w:rPr>
        <w:t>Clientes warm: 15 (distribución similar por ICPs)</w:t>
      </w:r>
    </w:p>
    <w:p>
      <w:pPr>
        <w:spacing w:after="60"/>
      </w:pPr>
    </w:p>
    <w:p>
      <w:pPr>
        <w:spacing w:before="160" w:after="120"/>
      </w:pPr>
      <w:r>
        <w:rPr>
          <w:rFonts w:ascii="Calibri" w:hAnsi="Calibri"/>
          <w:b/>
          <w:color w:val="0B2431"/>
          <w:sz w:val="24"/>
          <w:u w:val="single"/>
        </w:rPr>
        <w:t>Colaboraciones</w:t>
      </w:r>
    </w:p>
    <w:p>
      <w:pPr>
        <w:spacing w:after="60"/>
      </w:pPr>
    </w:p>
    <w:p>
      <w:pPr>
        <w:pStyle w:val="ListBullet"/>
        <w:spacing w:after="60"/>
        <w:ind w:left="360"/>
      </w:pPr>
      <w:r>
        <w:rPr>
          <w:rFonts w:ascii="Calibri" w:hAnsi="Calibri"/>
          <w:color w:val="0B2431"/>
          <w:sz w:val="22"/>
        </w:rPr>
        <w:t xml:space="preserve">Acuerdo con </w:t>
      </w:r>
      <w:r>
        <w:rPr>
          <w:rFonts w:ascii="Calibri" w:hAnsi="Calibri"/>
          <w:b/>
          <w:color w:val="0B2431"/>
          <w:sz w:val="22"/>
        </w:rPr>
        <w:t>ICAM</w:t>
      </w:r>
      <w:r>
        <w:rPr>
          <w:rFonts w:ascii="Calibri" w:hAnsi="Calibri"/>
          <w:color w:val="0B2431"/>
          <w:sz w:val="22"/>
        </w:rPr>
        <w:t xml:space="preserve"> (anuncio en septiembre).</w:t>
      </w:r>
    </w:p>
    <w:p>
      <w:pPr>
        <w:pStyle w:val="ListBullet"/>
        <w:spacing w:after="60"/>
        <w:ind w:left="360"/>
      </w:pPr>
      <w:r>
        <w:rPr>
          <w:rFonts w:ascii="Calibri" w:hAnsi="Calibri"/>
          <w:color w:val="0B2431"/>
          <w:sz w:val="22"/>
        </w:rPr>
        <w:t>Negociación con 3 grandes despachos de abogados para *cross-selling*</w:t>
      </w:r>
    </w:p>
    <w:p>
      <w:pPr>
        <w:spacing w:after="60"/>
      </w:pPr>
    </w:p>
    <w:p>
      <w:pPr>
        <w:spacing w:before="160" w:after="120"/>
      </w:pPr>
      <w:r>
        <w:rPr>
          <w:rFonts w:ascii="Calibri" w:hAnsi="Calibri"/>
          <w:b/>
          <w:color w:val="0B2431"/>
          <w:sz w:val="24"/>
          <w:u w:val="single"/>
        </w:rPr>
        <w:t>Programas</w:t>
      </w:r>
    </w:p>
    <w:p>
      <w:pPr>
        <w:spacing w:after="60"/>
      </w:pPr>
    </w:p>
    <w:p>
      <w:pPr>
        <w:pStyle w:val="ListBullet"/>
        <w:spacing w:after="60"/>
        <w:ind w:left="360"/>
      </w:pPr>
      <w:r>
        <w:rPr>
          <w:rFonts w:ascii="Calibri" w:hAnsi="Calibri"/>
          <w:color w:val="0B2431"/>
          <w:sz w:val="22"/>
        </w:rPr>
        <w:t>Aceptados en NVIDIA Inception program</w:t>
      </w:r>
    </w:p>
    <w:p>
      <w:pPr>
        <w:pStyle w:val="ListBullet"/>
        <w:spacing w:after="60"/>
        <w:ind w:left="360"/>
      </w:pPr>
      <w:r>
        <w:rPr>
          <w:rFonts w:ascii="Calibri" w:hAnsi="Calibri"/>
          <w:color w:val="0B2431"/>
          <w:sz w:val="22"/>
        </w:rPr>
        <w:t>En proceso del programa Cuatrecasas Acelera para startups</w:t>
      </w:r>
    </w:p>
    <w:p>
      <w:pPr>
        <w:spacing w:after="60"/>
      </w:pPr>
    </w:p>
    <w:p>
      <w:pPr>
        <w:spacing w:before="160" w:after="120"/>
      </w:pPr>
      <w:r>
        <w:rPr>
          <w:rFonts w:ascii="Calibri" w:hAnsi="Calibri"/>
          <w:b/>
          <w:color w:val="0B2431"/>
          <w:sz w:val="24"/>
          <w:u w:val="single"/>
        </w:rPr>
        <w:t>Distribución de equity/rondas de financiación:</w:t>
      </w:r>
    </w:p>
    <w:p>
      <w:pPr>
        <w:spacing w:after="60"/>
      </w:pPr>
    </w:p>
    <w:p>
      <w:pPr>
        <w:pStyle w:val="ListBullet"/>
        <w:spacing w:after="60"/>
        <w:ind w:left="360"/>
      </w:pPr>
      <w:r>
        <w:rPr>
          <w:rFonts w:ascii="Calibri" w:hAnsi="Calibri"/>
          <w:color w:val="0B2431"/>
          <w:sz w:val="22"/>
        </w:rPr>
        <w:t>Fondas de financiación: ninguna hasta la fecha</w:t>
      </w:r>
    </w:p>
    <w:p>
      <w:pPr>
        <w:pStyle w:val="ListBullet"/>
        <w:spacing w:after="60"/>
        <w:ind w:left="360"/>
      </w:pPr>
      <w:r>
        <w:rPr>
          <w:rFonts w:ascii="Calibri" w:hAnsi="Calibri"/>
          <w:color w:val="0B2431"/>
          <w:sz w:val="22"/>
        </w:rPr>
        <w:t>Equity: 100% en el equipo fundador (Santiago Aliaga, Tomás Burgaleta e Íñigo Martín)</w:t>
      </w:r>
    </w:p>
    <w:p>
      <w:pPr>
        <w:spacing w:after="60"/>
      </w:pPr>
    </w:p>
    <w:p>
      <w:pPr>
        <w:pStyle w:val="Heading1"/>
      </w:pPr>
      <w:r>
        <w:t>8. **Competidores**</w:t>
      </w:r>
    </w:p>
    <w:p>
      <w:pPr>
        <w:spacing w:after="60"/>
      </w:pPr>
    </w:p>
    <w:p>
      <w:pPr>
        <w:pStyle w:val="ListBullet"/>
        <w:spacing w:after="60"/>
        <w:ind w:left="360"/>
      </w:pPr>
      <w:r>
        <w:rPr>
          <w:rFonts w:ascii="Calibri" w:hAnsi="Calibri"/>
          <w:color w:val="0B2431"/>
          <w:sz w:val="22"/>
        </w:rPr>
        <w:t>__Alertas normativas (PKF Attest, Infosald):__ proveedores de datos de links a fuentes normativas por keywords (filtrado ineficiente sin contexto sin workflow end-to-end. Podrían añadir resúmenes IA si ya están conectados a fuentes.</w:t>
      </w:r>
    </w:p>
    <w:p>
      <w:pPr>
        <w:pStyle w:val="ListBullet"/>
        <w:spacing w:after="60"/>
        <w:ind w:left="360"/>
      </w:pPr>
      <w:r>
        <w:rPr>
          <w:rFonts w:ascii="Calibri" w:hAnsi="Calibri"/>
          <w:color w:val="0B2431"/>
          <w:sz w:val="22"/>
        </w:rPr>
        <w:t>__Editoriales (Vlex, Aranzadi):__ proveedores de datos jurídicos, integrando IA para automatizar otras tareas de abogados (automatización contratos, due diligence, etc…) a través de chatbots. Tiene foco en despachos, no empresas; implementación de IA mejorable según usuarios.</w:t>
      </w:r>
    </w:p>
    <w:p>
      <w:pPr>
        <w:pStyle w:val="ListBullet"/>
        <w:spacing w:after="60"/>
        <w:ind w:left="360"/>
      </w:pPr>
      <w:r>
        <w:rPr>
          <w:rFonts w:ascii="Calibri" w:hAnsi="Calibri"/>
          <w:color w:val="0B2431"/>
          <w:sz w:val="22"/>
        </w:rPr>
        <w:t>__Legaltech IA nativa (Harvey, Legora):__ solución generalista para tareas de abogados ( (automatización contratos, due diligence, etc…), muy buena ejecución. Podrían expandir funcionalidades, pero con barrera inicial de datos, sin dataset español/europeo propietario</w:t>
      </w:r>
    </w:p>
    <w:p>
      <w:pPr>
        <w:pStyle w:val="ListBullet"/>
        <w:spacing w:after="60"/>
        <w:ind w:left="360"/>
      </w:pPr>
      <w:r>
        <w:rPr>
          <w:rFonts w:ascii="Calibri" w:hAnsi="Calibri"/>
          <w:color w:val="0B2431"/>
          <w:sz w:val="22"/>
        </w:rPr>
        <w:t>__Plataforma de seguimiento normativo (Graceview):__ enfoque similar a Reversa. Presencia en Australia y foco en sistema anglosajón (common law); no competidor directo hoy.</w:t>
      </w:r>
    </w:p>
    <w:p>
      <w:pPr>
        <w:spacing w:after="60"/>
      </w:pPr>
    </w:p>
    <w:p>
      <w:pPr>
        <w:pStyle w:val="Heading1"/>
      </w:pPr>
      <w:r>
        <w:t>9. **MOAT**</w:t>
      </w:r>
    </w:p>
    <w:p>
      <w:pPr>
        <w:spacing w:after="60"/>
      </w:pPr>
    </w:p>
    <w:p>
      <w:r>
        <w:rPr>
          <w:rFonts w:ascii="Calibri" w:hAnsi="Calibri"/>
          <w:color w:val="0B2431"/>
          <w:sz w:val="22"/>
        </w:rPr>
        <w:t>En general, es una startup donde el verdadero MOAT se encuentra en la ejecución y distribución. Estas son palancas en las que queremos apoyarnos para construir una empresa defendible:</w:t>
      </w:r>
    </w:p>
    <w:p>
      <w:pPr>
        <w:spacing w:after="60"/>
      </w:pPr>
    </w:p>
    <w:p>
      <w:pPr>
        <w:pStyle w:val="ListNumber"/>
        <w:spacing w:after="60"/>
      </w:pPr>
      <w:r>
        <w:rPr>
          <w:rFonts w:ascii="Calibri" w:hAnsi="Calibri"/>
          <w:color w:val="0B2431"/>
          <w:sz w:val="22"/>
        </w:rPr>
        <w:t>Velocidad de ejecución y automatización del flujo de trabajo end-to-end</w:t>
      </w:r>
    </w:p>
    <w:p>
      <w:pPr>
        <w:pStyle w:val="ListNumber"/>
        <w:spacing w:after="60"/>
      </w:pPr>
      <w:r>
        <w:rPr>
          <w:rFonts w:ascii="Calibri" w:hAnsi="Calibri"/>
          <w:color w:val="0B2431"/>
          <w:sz w:val="22"/>
        </w:rPr>
        <w:t>First-mover advantage</w:t>
      </w:r>
    </w:p>
    <w:p>
      <w:pPr>
        <w:pStyle w:val="ListNumber"/>
        <w:spacing w:after="60"/>
      </w:pPr>
      <w:r>
        <w:rPr>
          <w:rFonts w:ascii="Calibri" w:hAnsi="Calibri"/>
          <w:color w:val="0B2431"/>
          <w:sz w:val="22"/>
        </w:rPr>
        <w:t>Proprietary dataset + feedback agentes</w:t>
      </w:r>
    </w:p>
    <w:p>
      <w:pPr>
        <w:pStyle w:val="ListNumber"/>
        <w:spacing w:after="60"/>
      </w:pPr>
      <w:r>
        <w:rPr>
          <w:rFonts w:ascii="Calibri" w:hAnsi="Calibri"/>
          <w:color w:val="0B2431"/>
          <w:sz w:val="22"/>
        </w:rPr>
        <w:t>Integración tecnológica de cientos de fuentes oficiales</w:t>
      </w:r>
    </w:p>
    <w:p>
      <w:pPr>
        <w:pStyle w:val="ListNumber"/>
        <w:spacing w:after="60"/>
      </w:pPr>
      <w:r>
        <w:rPr>
          <w:rFonts w:ascii="Calibri" w:hAnsi="Calibri"/>
          <w:color w:val="0B2431"/>
          <w:sz w:val="22"/>
        </w:rPr>
        <w:t>Especialización en el sistema de derecho "civil law" (Europa + LATAM)</w:t>
      </w:r>
    </w:p>
    <w:p>
      <w:pPr>
        <w:pStyle w:val="ListNumber"/>
        <w:spacing w:after="60"/>
      </w:pPr>
      <w:r>
        <w:rPr>
          <w:rFonts w:ascii="Calibri" w:hAnsi="Calibri"/>
          <w:color w:val="0B2431"/>
          <w:sz w:val="22"/>
        </w:rPr>
        <w:t>Equipo fundador con conocimientos de tecnología y derecho</w:t>
      </w:r>
    </w:p>
    <w:sectPr w:rsidR="00FC693F" w:rsidRPr="0006063C" w:rsidSect="00034616">
      <w:footerReference w:type="default" r:id="rId9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color w:val="455862"/>
        <w:sz w:val="18"/>
      </w:rPr>
      <w:t>Reversa Legal | Confidencial | August 2025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120"/>
    </w:pPr>
    <w:rPr>
      <w:rFonts w:ascii="Calibri" w:hAnsi="Calibri"/>
      <w:color w:val="0B2431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00" w:after="240"/>
      <w:outlineLvl w:val="0"/>
    </w:pPr>
    <w:rPr>
      <w:rFonts w:asciiTheme="majorHAnsi" w:eastAsiaTheme="majorEastAsia" w:hAnsiTheme="majorHAnsi" w:cstheme="majorBidi" w:ascii="Calibri" w:hAnsi="Calibri"/>
      <w:b/>
      <w:bCs/>
      <w:color w:val="0B243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480" w:line="240" w:lineRule="auto"/>
      <w:contextualSpacing/>
      <w:jc w:val="center"/>
    </w:pPr>
    <w:rPr>
      <w:rFonts w:asciiTheme="majorHAnsi" w:eastAsiaTheme="majorEastAsia" w:hAnsiTheme="majorHAnsi" w:cstheme="majorBidi" w:ascii="Calibri" w:hAnsi="Calibri"/>
      <w:b/>
      <w:color w:val="0B2431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ubtitleUnderlined">
    <w:name w:val="Subtitle Underlined"/>
    <w:pPr>
      <w:spacing w:before="160" w:after="120"/>
    </w:pPr>
    <w:rPr>
      <w:rFonts w:ascii="Calibri" w:hAnsi="Calibri"/>
      <w:b/>
      <w:color w:val="0B2431"/>
      <w:sz w:val="24"/>
      <w:u w:val="single"/>
    </w:rPr>
  </w:style>
  <w:style w:type="paragraph" w:customStyle="1" w:styleId="CompactList">
    <w:name w:val="Compact List"/>
    <w:pPr>
      <w:spacing w:after="60"/>
      <w:ind w:left="360"/>
    </w:pPr>
    <w:rPr>
      <w:rFonts w:ascii="Calibri" w:hAnsi="Calibri"/>
      <w:color w:val="0B2431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