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footer5.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pPr>
      <w:r>
        <w:rPr>
          <w:b/>
          <w:i w:val="false"/>
          <w:color w:val="222222"/>
          <w:sz w:val="72"/>
        </w:rPr>
        <w:t>PARADIGM THREAT</w:t>
      </w:r>
    </w:p>
    <w:p>
      <w:pPr>
        <w:pStyle w:val="Normal"/>
        <w:spacing w:before="0" w:after="80"/>
        <w:jc w:val="center"/>
        <w:rPr/>
      </w:pPr>
      <w:r>
        <w:rPr>
          <w:b w:val="false"/>
          <w:i/>
          <w:color w:val="555555"/>
          <w:sz w:val="32"/>
        </w:rPr>
        <w:t>An Alternate Earth History Timeline</w:t>
      </w:r>
    </w:p>
    <w:p>
      <w:pPr>
        <w:pStyle w:val="Normal"/>
        <w:spacing w:before="120" w:after="200"/>
        <w:jc w:val="center"/>
        <w:rPr/>
      </w:pPr>
      <w:r>
        <w:rPr>
          <w:b/>
          <w:i w:val="false"/>
          <w:color w:val="CC3300"/>
          <w:sz w:val="44"/>
        </w:rPr>
        <w:t xml:space="preserve">— </w:t>
      </w:r>
      <w:r>
        <w:rPr>
          <w:b/>
          <w:i w:val="false"/>
          <w:color w:val="CC3300"/>
          <w:sz w:val="44"/>
        </w:rPr>
        <w:t>TEST READERS WANTED —</w:t>
      </w:r>
    </w:p>
    <w:p>
      <w:pPr>
        <w:pStyle w:val="Normal"/>
        <w:spacing w:before="120" w:after="40"/>
        <w:rPr/>
      </w:pPr>
      <w:r>
        <w:rPr>
          <w:b/>
          <w:i w:val="false"/>
          <w:sz w:val="28"/>
        </w:rPr>
        <w:t>What is this?</w:t>
      </w:r>
    </w:p>
    <w:p>
      <w:pPr>
        <w:pStyle w:val="Normal"/>
        <w:spacing w:before="0" w:after="80"/>
        <w:rPr/>
      </w:pPr>
      <w:r>
        <w:rPr>
          <w:b/>
          <w:i w:val="false"/>
          <w:sz w:val="22"/>
        </w:rPr>
        <w:t>The Third Story</w:t>
      </w:r>
      <w:r>
        <w:rPr>
          <w:b w:val="false"/>
          <w:i w:val="false"/>
          <w:sz w:val="22"/>
        </w:rPr>
        <w:t xml:space="preserve"> is a draft book </w:t>
      </w:r>
      <w:r>
        <w:rPr>
          <w:b w:val="false"/>
          <w:i w:val="false"/>
          <w:sz w:val="22"/>
        </w:rPr>
        <w:t xml:space="preserve">being written by </w:t>
      </w:r>
      <w:r>
        <w:rPr>
          <w:b/>
          <w:bCs/>
          <w:i w:val="false"/>
          <w:sz w:val="22"/>
        </w:rPr>
        <w:t>Ari</w:t>
      </w:r>
      <w:r>
        <w:rPr>
          <w:b w:val="false"/>
          <w:i w:val="false"/>
          <w:sz w:val="22"/>
        </w:rPr>
        <w:t xml:space="preserve"> who lives </w:t>
      </w:r>
      <w:r>
        <w:rPr>
          <w:b w:val="false"/>
          <w:i w:val="false"/>
          <w:sz w:val="22"/>
        </w:rPr>
        <w:t>in Gordonston</w:t>
      </w:r>
      <w:r>
        <w:rPr>
          <w:b w:val="false"/>
          <w:i w:val="false"/>
          <w:sz w:val="22"/>
        </w:rPr>
        <w:t xml:space="preserve"> on Kinzie ave. It</w:t>
      </w:r>
      <w:r>
        <w:rPr>
          <w:b w:val="false"/>
          <w:i w:val="false"/>
          <w:sz w:val="22"/>
        </w:rPr>
        <w:t xml:space="preserve"> re-examines world history by correlating mainstream (Scaligerian) chronology with Fomenko's New Chronology, Saturnian Cosmology, and other alternative frameworks. </w:t>
      </w:r>
    </w:p>
    <w:p>
      <w:pPr>
        <w:pStyle w:val="Normal"/>
        <w:spacing w:before="120" w:after="40"/>
        <w:rPr/>
      </w:pPr>
      <w:r>
        <w:rPr>
          <w:b/>
          <w:i w:val="false"/>
          <w:sz w:val="28"/>
        </w:rPr>
        <w:t>What I'm looking for</w:t>
      </w:r>
    </w:p>
    <w:p>
      <w:pPr>
        <w:pStyle w:val="ListBullet"/>
        <w:numPr>
          <w:ilvl w:val="0"/>
          <w:numId w:val="1"/>
        </w:numPr>
        <w:spacing w:before="20" w:after="20"/>
        <w:contextualSpacing/>
        <w:rPr/>
      </w:pPr>
      <w:r>
        <w:rPr>
          <w:b/>
          <w:i w:val="false"/>
          <w:sz w:val="22"/>
        </w:rPr>
        <w:t xml:space="preserve">Clarity: </w:t>
      </w:r>
      <w:r>
        <w:rPr>
          <w:b w:val="false"/>
          <w:i w:val="false"/>
          <w:sz w:val="22"/>
        </w:rPr>
        <w:t>Are the arguments easy to follow? Where do you get lost or confused?</w:t>
      </w:r>
    </w:p>
    <w:p>
      <w:pPr>
        <w:pStyle w:val="ListBullet"/>
        <w:numPr>
          <w:ilvl w:val="0"/>
          <w:numId w:val="1"/>
        </w:numPr>
        <w:spacing w:before="20" w:after="20"/>
        <w:contextualSpacing/>
        <w:rPr/>
      </w:pPr>
      <w:r>
        <w:rPr>
          <w:b/>
          <w:i w:val="false"/>
          <w:sz w:val="22"/>
        </w:rPr>
        <w:t xml:space="preserve">Gaps: </w:t>
      </w:r>
      <w:r>
        <w:rPr>
          <w:b w:val="false"/>
          <w:i w:val="false"/>
          <w:sz w:val="22"/>
        </w:rPr>
        <w:t>What questions does a chapter raise that it doesn't answer?</w:t>
      </w:r>
    </w:p>
    <w:p>
      <w:pPr>
        <w:pStyle w:val="ListBullet"/>
        <w:numPr>
          <w:ilvl w:val="0"/>
          <w:numId w:val="1"/>
        </w:numPr>
        <w:spacing w:before="20" w:after="20"/>
        <w:contextualSpacing/>
        <w:rPr/>
      </w:pPr>
      <w:r>
        <w:rPr>
          <w:b/>
          <w:i w:val="false"/>
          <w:sz w:val="22"/>
        </w:rPr>
        <w:t xml:space="preserve">Tone: </w:t>
      </w:r>
      <w:r>
        <w:rPr>
          <w:b w:val="false"/>
          <w:i w:val="false"/>
          <w:sz w:val="22"/>
        </w:rPr>
        <w:t>Does the writing feel investigative, or does it veer into lecture / rant?</w:t>
      </w:r>
    </w:p>
    <w:p>
      <w:pPr>
        <w:pStyle w:val="ListBullet"/>
        <w:numPr>
          <w:ilvl w:val="0"/>
          <w:numId w:val="1"/>
        </w:numPr>
        <w:spacing w:before="20" w:after="20"/>
        <w:contextualSpacing/>
        <w:rPr/>
      </w:pPr>
      <w:r>
        <w:rPr>
          <w:b/>
          <w:i w:val="false"/>
          <w:sz w:val="22"/>
        </w:rPr>
        <w:t xml:space="preserve">Interest: </w:t>
      </w:r>
      <w:r>
        <w:rPr>
          <w:b w:val="false"/>
          <w:i w:val="false"/>
          <w:sz w:val="22"/>
        </w:rPr>
        <w:t>Which chapters grabbed you? Which ones didn't?</w:t>
      </w:r>
    </w:p>
    <w:p>
      <w:pPr>
        <w:pStyle w:val="ListBullet"/>
        <w:numPr>
          <w:ilvl w:val="0"/>
          <w:numId w:val="1"/>
        </w:numPr>
        <w:spacing w:before="20" w:after="20"/>
        <w:contextualSpacing/>
        <w:rPr/>
      </w:pPr>
      <w:r>
        <w:rPr>
          <w:b/>
          <w:i w:val="false"/>
          <w:sz w:val="22"/>
        </w:rPr>
        <w:t xml:space="preserve">Errors: </w:t>
      </w:r>
      <w:r>
        <w:rPr>
          <w:b w:val="false"/>
          <w:i w:val="false"/>
          <w:sz w:val="22"/>
        </w:rPr>
        <w:t>Typos, broken logic, factual mistakes — all welcome.</w:t>
      </w:r>
    </w:p>
    <w:p>
      <w:pPr>
        <w:pStyle w:val="Normal"/>
        <w:spacing w:before="160" w:after="40"/>
        <w:rPr/>
      </w:pPr>
      <w:r>
        <w:rPr>
          <w:b/>
          <w:i w:val="false"/>
          <w:sz w:val="28"/>
        </w:rPr>
        <w:t>Sample chapters included</w:t>
      </w:r>
    </w:p>
    <w:p>
      <w:pPr>
        <w:pStyle w:val="Normal"/>
        <w:spacing w:before="0" w:after="60"/>
        <w:rPr/>
      </w:pPr>
      <w:r>
        <w:rPr>
          <w:b w:val="false"/>
          <w:i w:val="false"/>
          <w:sz w:val="22"/>
        </w:rPr>
        <w:t>These chapters are attached — a taste of the range and tone:</w:t>
      </w:r>
    </w:p>
    <w:tbl>
      <w:tblPr>
        <w:tblStyle w:val="TableGrid"/>
        <w:tblW w:w="105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785"/>
        <w:gridCol w:w="5755"/>
      </w:tblGrid>
      <w:tr>
        <w:trPr/>
        <w:tc>
          <w:tcPr>
            <w:tcW w:w="4785" w:type="dxa"/>
            <w:tcBorders/>
            <w:shd w:color="auto" w:fill="F2F2F2" w:val="clear"/>
          </w:tcPr>
          <w:p>
            <w:pPr>
              <w:pStyle w:val="Normal"/>
              <w:widowControl/>
              <w:spacing w:lineRule="auto" w:line="240" w:before="40" w:after="40"/>
              <w:rPr>
                <w:kern w:val="0"/>
                <w:szCs w:val="22"/>
              </w:rPr>
            </w:pPr>
            <w:r>
              <w:rPr>
                <w:b/>
                <w:i w:val="false"/>
                <w:kern w:val="0"/>
                <w:sz w:val="21"/>
                <w:szCs w:val="22"/>
              </w:rPr>
              <w:t>Introduction</w:t>
            </w:r>
          </w:p>
        </w:tc>
        <w:tc>
          <w:tcPr>
            <w:tcW w:w="5755" w:type="dxa"/>
            <w:tcBorders/>
            <w:shd w:color="auto" w:fill="F2F2F2" w:val="clear"/>
          </w:tcPr>
          <w:p>
            <w:pPr>
              <w:pStyle w:val="Normal"/>
              <w:widowControl/>
              <w:spacing w:lineRule="auto" w:line="240" w:before="40" w:after="40"/>
              <w:rPr>
                <w:kern w:val="0"/>
                <w:szCs w:val="22"/>
              </w:rPr>
            </w:pPr>
            <w:r>
              <w:rPr>
                <w:b w:val="false"/>
                <w:i/>
                <w:kern w:val="0"/>
                <w:sz w:val="21"/>
                <w:szCs w:val="22"/>
              </w:rPr>
              <w:t>What the project is and why it exists</w:t>
            </w:r>
          </w:p>
        </w:tc>
      </w:tr>
      <w:tr>
        <w:trPr/>
        <w:tc>
          <w:tcPr>
            <w:tcW w:w="4785" w:type="dxa"/>
            <w:tcBorders/>
          </w:tcPr>
          <w:p>
            <w:pPr>
              <w:pStyle w:val="Normal"/>
              <w:widowControl/>
              <w:spacing w:lineRule="auto" w:line="240" w:before="40" w:after="40"/>
              <w:rPr>
                <w:kern w:val="0"/>
                <w:szCs w:val="22"/>
              </w:rPr>
            </w:pPr>
            <w:r>
              <w:rPr>
                <w:b/>
                <w:i w:val="false"/>
                <w:kern w:val="0"/>
                <w:sz w:val="21"/>
                <w:szCs w:val="22"/>
              </w:rPr>
              <w:t>The 225-Day Year</w:t>
            </w:r>
          </w:p>
        </w:tc>
        <w:tc>
          <w:tcPr>
            <w:tcW w:w="5755" w:type="dxa"/>
            <w:tcBorders/>
          </w:tcPr>
          <w:p>
            <w:pPr>
              <w:pStyle w:val="Normal"/>
              <w:widowControl/>
              <w:spacing w:lineRule="auto" w:line="240" w:before="40" w:after="40"/>
              <w:rPr>
                <w:kern w:val="0"/>
                <w:szCs w:val="22"/>
              </w:rPr>
            </w:pPr>
            <w:r>
              <w:rPr>
                <w:b w:val="false"/>
                <w:i/>
                <w:kern w:val="0"/>
                <w:sz w:val="21"/>
                <w:szCs w:val="22"/>
              </w:rPr>
              <w:t>Evidence from the Sumerian King-List</w:t>
            </w:r>
          </w:p>
        </w:tc>
      </w:tr>
      <w:tr>
        <w:trPr/>
        <w:tc>
          <w:tcPr>
            <w:tcW w:w="4785" w:type="dxa"/>
            <w:tcBorders/>
            <w:shd w:color="auto" w:fill="F2F2F2" w:val="clear"/>
          </w:tcPr>
          <w:p>
            <w:pPr>
              <w:pStyle w:val="Normal"/>
              <w:widowControl/>
              <w:spacing w:lineRule="auto" w:line="240" w:before="40" w:after="40"/>
              <w:rPr>
                <w:kern w:val="0"/>
                <w:szCs w:val="22"/>
              </w:rPr>
            </w:pPr>
            <w:r>
              <w:rPr>
                <w:b/>
                <w:i w:val="false"/>
                <w:kern w:val="0"/>
                <w:sz w:val="21"/>
                <w:szCs w:val="22"/>
              </w:rPr>
              <w:t>1053 CE — Common Era Begins</w:t>
            </w:r>
          </w:p>
        </w:tc>
        <w:tc>
          <w:tcPr>
            <w:tcW w:w="5755" w:type="dxa"/>
            <w:tcBorders/>
            <w:shd w:color="auto" w:fill="F2F2F2" w:val="clear"/>
          </w:tcPr>
          <w:p>
            <w:pPr>
              <w:pStyle w:val="Normal"/>
              <w:widowControl/>
              <w:spacing w:lineRule="auto" w:line="240" w:before="40" w:after="40"/>
              <w:rPr>
                <w:kern w:val="0"/>
                <w:szCs w:val="22"/>
              </w:rPr>
            </w:pPr>
            <w:r>
              <w:rPr>
                <w:b w:val="false"/>
                <w:i/>
                <w:kern w:val="0"/>
                <w:sz w:val="21"/>
                <w:szCs w:val="22"/>
              </w:rPr>
              <w:t>The 11th century as the true start of  history</w:t>
            </w:r>
          </w:p>
        </w:tc>
      </w:tr>
      <w:tr>
        <w:trPr/>
        <w:tc>
          <w:tcPr>
            <w:tcW w:w="4785" w:type="dxa"/>
            <w:tcBorders/>
          </w:tcPr>
          <w:p>
            <w:pPr>
              <w:pStyle w:val="Normal"/>
              <w:widowControl/>
              <w:spacing w:lineRule="auto" w:line="240" w:before="40" w:after="40"/>
              <w:rPr>
                <w:kern w:val="0"/>
                <w:szCs w:val="22"/>
              </w:rPr>
            </w:pPr>
            <w:r>
              <w:rPr>
                <w:b/>
                <w:i w:val="false"/>
                <w:kern w:val="0"/>
                <w:sz w:val="21"/>
                <w:szCs w:val="22"/>
              </w:rPr>
              <w:t>1421 CE — Meteorite Falls on Yaroslavl</w:t>
            </w:r>
          </w:p>
        </w:tc>
        <w:tc>
          <w:tcPr>
            <w:tcW w:w="5755" w:type="dxa"/>
            <w:tcBorders/>
          </w:tcPr>
          <w:p>
            <w:pPr>
              <w:pStyle w:val="Normal"/>
              <w:widowControl/>
              <w:spacing w:lineRule="auto" w:line="240" w:before="40" w:after="40"/>
              <w:rPr>
                <w:kern w:val="0"/>
                <w:szCs w:val="22"/>
              </w:rPr>
            </w:pPr>
            <w:r>
              <w:rPr>
                <w:b w:val="false"/>
                <w:i/>
                <w:kern w:val="0"/>
                <w:sz w:val="21"/>
                <w:szCs w:val="22"/>
              </w:rPr>
              <w:t>A cosmic catastrophe and its political aftermath</w:t>
            </w:r>
          </w:p>
        </w:tc>
      </w:tr>
      <w:tr>
        <w:trPr/>
        <w:tc>
          <w:tcPr>
            <w:tcW w:w="4785" w:type="dxa"/>
            <w:tcBorders/>
            <w:shd w:color="auto" w:fill="F2F2F2" w:val="clear"/>
          </w:tcPr>
          <w:p>
            <w:pPr>
              <w:pStyle w:val="Normal"/>
              <w:widowControl/>
              <w:spacing w:lineRule="auto" w:line="240" w:before="40" w:after="40"/>
              <w:rPr>
                <w:kern w:val="0"/>
                <w:szCs w:val="22"/>
              </w:rPr>
            </w:pPr>
            <w:r>
              <w:rPr>
                <w:b/>
                <w:i w:val="false"/>
                <w:kern w:val="0"/>
                <w:sz w:val="21"/>
                <w:szCs w:val="22"/>
              </w:rPr>
              <w:t xml:space="preserve">1914–1918 CE — </w:t>
            </w:r>
            <w:r>
              <w:rPr>
                <w:b/>
                <w:i w:val="false"/>
                <w:kern w:val="0"/>
                <w:sz w:val="21"/>
                <w:szCs w:val="22"/>
              </w:rPr>
              <w:t>WW</w:t>
            </w:r>
            <w:r>
              <w:rPr>
                <w:b/>
                <w:i w:val="false"/>
                <w:kern w:val="0"/>
                <w:sz w:val="21"/>
                <w:szCs w:val="22"/>
              </w:rPr>
              <w:t xml:space="preserve"> I: Reverse Crusade II</w:t>
            </w:r>
          </w:p>
        </w:tc>
        <w:tc>
          <w:tcPr>
            <w:tcW w:w="5755" w:type="dxa"/>
            <w:tcBorders/>
            <w:shd w:color="auto" w:fill="F2F2F2" w:val="clear"/>
          </w:tcPr>
          <w:p>
            <w:pPr>
              <w:pStyle w:val="Normal"/>
              <w:widowControl/>
              <w:spacing w:lineRule="auto" w:line="240" w:before="40" w:after="40"/>
              <w:rPr>
                <w:kern w:val="0"/>
                <w:szCs w:val="22"/>
              </w:rPr>
            </w:pPr>
            <w:r>
              <w:rPr>
                <w:b w:val="false"/>
                <w:i/>
                <w:kern w:val="0"/>
                <w:sz w:val="21"/>
                <w:szCs w:val="22"/>
              </w:rPr>
              <w:t>WWI as a controlled demolition of empires</w:t>
            </w:r>
          </w:p>
        </w:tc>
      </w:tr>
      <w:tr>
        <w:trPr/>
        <w:tc>
          <w:tcPr>
            <w:tcW w:w="4785" w:type="dxa"/>
            <w:tcBorders/>
          </w:tcPr>
          <w:p>
            <w:pPr>
              <w:pStyle w:val="Normal"/>
              <w:widowControl/>
              <w:spacing w:lineRule="auto" w:line="240" w:before="40" w:after="40"/>
              <w:rPr>
                <w:kern w:val="0"/>
                <w:szCs w:val="22"/>
              </w:rPr>
            </w:pPr>
            <w:r>
              <w:rPr>
                <w:b/>
                <w:i w:val="false"/>
                <w:kern w:val="0"/>
                <w:sz w:val="21"/>
                <w:szCs w:val="22"/>
              </w:rPr>
              <w:t>Historical Antibodies</w:t>
            </w:r>
          </w:p>
        </w:tc>
        <w:tc>
          <w:tcPr>
            <w:tcW w:w="5755" w:type="dxa"/>
            <w:tcBorders/>
          </w:tcPr>
          <w:p>
            <w:pPr>
              <w:pStyle w:val="Normal"/>
              <w:widowControl/>
              <w:spacing w:lineRule="auto" w:line="240" w:before="40" w:after="40"/>
              <w:rPr>
                <w:kern w:val="0"/>
                <w:szCs w:val="22"/>
              </w:rPr>
            </w:pPr>
            <w:r>
              <w:rPr>
                <w:b w:val="false"/>
                <w:i/>
                <w:kern w:val="0"/>
                <w:sz w:val="21"/>
                <w:szCs w:val="22"/>
              </w:rPr>
              <w:t>Independent agents preserv</w:t>
            </w:r>
            <w:r>
              <w:rPr>
                <w:b w:val="false"/>
                <w:i/>
                <w:kern w:val="0"/>
                <w:sz w:val="21"/>
                <w:szCs w:val="22"/>
              </w:rPr>
              <w:t>ing</w:t>
            </w:r>
            <w:r>
              <w:rPr>
                <w:b w:val="false"/>
                <w:i/>
                <w:kern w:val="0"/>
                <w:sz w:val="21"/>
                <w:szCs w:val="22"/>
              </w:rPr>
              <w:t xml:space="preserve"> suppressed knowledge</w:t>
            </w:r>
          </w:p>
        </w:tc>
      </w:tr>
      <w:tr>
        <w:trPr/>
        <w:tc>
          <w:tcPr>
            <w:tcW w:w="4785" w:type="dxa"/>
            <w:tcBorders/>
            <w:shd w:color="auto" w:fill="F2F2F2" w:val="clear"/>
          </w:tcPr>
          <w:p>
            <w:pPr>
              <w:pStyle w:val="Normal"/>
              <w:widowControl/>
              <w:spacing w:lineRule="auto" w:line="240" w:before="40" w:after="40"/>
              <w:rPr>
                <w:kern w:val="0"/>
                <w:szCs w:val="22"/>
              </w:rPr>
            </w:pPr>
            <w:r>
              <w:rPr>
                <w:b/>
                <w:i w:val="false"/>
                <w:kern w:val="0"/>
                <w:sz w:val="21"/>
                <w:szCs w:val="22"/>
              </w:rPr>
              <w:t>Trump and the MAGA Revolution</w:t>
            </w:r>
          </w:p>
        </w:tc>
        <w:tc>
          <w:tcPr>
            <w:tcW w:w="5755" w:type="dxa"/>
            <w:tcBorders/>
            <w:shd w:color="auto" w:fill="F2F2F2" w:val="clear"/>
          </w:tcPr>
          <w:p>
            <w:pPr>
              <w:pStyle w:val="Normal"/>
              <w:widowControl/>
              <w:spacing w:lineRule="auto" w:line="240" w:before="40" w:after="40"/>
              <w:rPr>
                <w:kern w:val="0"/>
                <w:szCs w:val="22"/>
              </w:rPr>
            </w:pPr>
            <w:r>
              <w:rPr>
                <w:b w:val="false"/>
                <w:i/>
                <w:kern w:val="0"/>
                <w:sz w:val="21"/>
                <w:szCs w:val="22"/>
              </w:rPr>
              <w:t>The antibody that survived crucifixion</w:t>
            </w:r>
          </w:p>
        </w:tc>
      </w:tr>
    </w:tbl>
    <w:p>
      <w:pPr>
        <w:pStyle w:val="Normal"/>
        <w:spacing w:before="160" w:after="40"/>
        <w:rPr/>
      </w:pPr>
      <w:r>
        <w:rPr>
          <w:b/>
          <w:i w:val="false"/>
          <w:sz w:val="28"/>
        </w:rPr>
        <w:t>How to read the full draft</w:t>
      </w:r>
    </w:p>
    <w:p>
      <w:pPr>
        <w:pStyle w:val="ListBullet"/>
        <w:numPr>
          <w:ilvl w:val="0"/>
          <w:numId w:val="1"/>
        </w:numPr>
        <w:spacing w:before="0" w:after="20"/>
        <w:contextualSpacing/>
        <w:rPr/>
      </w:pPr>
      <w:r>
        <w:rPr>
          <w:b/>
          <w:i w:val="false"/>
          <w:sz w:val="22"/>
        </w:rPr>
        <w:t xml:space="preserve">Read online: </w:t>
      </w:r>
      <w:hyperlink r:id="rId2">
        <w:r>
          <w:rPr>
            <w:rStyle w:val="Style"/>
            <w:b/>
            <w:color w:val="1155CC"/>
            <w:sz w:val="22"/>
            <w:u w:val="single"/>
          </w:rPr>
          <w:t>paradigmthreat.net/timeline</w:t>
        </w:r>
      </w:hyperlink>
    </w:p>
    <w:p>
      <w:pPr>
        <w:pStyle w:val="ListBullet"/>
        <w:numPr>
          <w:ilvl w:val="0"/>
          <w:numId w:val="1"/>
        </w:numPr>
        <w:spacing w:before="0" w:after="20"/>
        <w:contextualSpacing/>
        <w:rPr/>
      </w:pPr>
      <w:r>
        <w:rPr>
          <w:b/>
          <w:i w:val="false"/>
          <w:sz w:val="22"/>
        </w:rPr>
        <w:t xml:space="preserve">Google Doc: </w:t>
      </w:r>
      <w:r>
        <w:rPr>
          <w:b w:val="false"/>
          <w:i w:val="false"/>
          <w:sz w:val="22"/>
        </w:rPr>
        <w:t>Ask and I'll share an editable link — leave comments directly.</w:t>
      </w:r>
    </w:p>
    <w:p>
      <w:pPr>
        <w:pStyle w:val="ListBullet"/>
        <w:numPr>
          <w:ilvl w:val="0"/>
          <w:numId w:val="1"/>
        </w:numPr>
        <w:spacing w:before="0" w:after="20"/>
        <w:contextualSpacing/>
        <w:rPr/>
      </w:pPr>
      <w:r>
        <w:rPr>
          <w:b/>
          <w:i w:val="false"/>
          <w:sz w:val="22"/>
        </w:rPr>
        <w:t xml:space="preserve">PDF download: </w:t>
      </w:r>
      <w:r>
        <w:rPr>
          <w:b w:val="false"/>
          <w:i w:val="false"/>
          <w:sz w:val="22"/>
        </w:rPr>
        <w:t>A printable PDF of the current version is available — just ask.</w:t>
      </w:r>
    </w:p>
    <w:p>
      <w:pPr>
        <w:pStyle w:val="Normal"/>
        <w:spacing w:before="160" w:after="40"/>
        <w:rPr/>
      </w:pPr>
      <w:r>
        <w:rPr>
          <w:b/>
          <w:i w:val="false"/>
          <w:sz w:val="28"/>
        </w:rPr>
        <w:t>No rush, no rules</w:t>
      </w:r>
    </w:p>
    <w:p>
      <w:pPr>
        <w:pStyle w:val="Normal"/>
        <w:spacing w:before="0" w:after="120"/>
        <w:rPr/>
      </w:pPr>
      <w:r>
        <w:rPr>
          <w:b w:val="false"/>
          <w:i w:val="false"/>
          <w:sz w:val="22"/>
        </w:rPr>
        <w:t>Read as much or as little as you like. You don't need to agree — honest reactions are what matter most. Even a single page of notes is valuable. This is a draft; it will change based on your feedback.</w:t>
      </w:r>
    </w:p>
    <w:p>
      <w:pPr>
        <w:pStyle w:val="Normal"/>
        <w:spacing w:before="80" w:after="0"/>
        <w:jc w:val="center"/>
        <w:rPr/>
      </w:pPr>
      <w:r>
        <w:rPr>
          <w:b/>
          <w:i w:val="false"/>
          <w:sz w:val="26"/>
        </w:rPr>
        <w:t xml:space="preserve">Interested?  </w:t>
      </w:r>
      <w:r>
        <w:rPr>
          <w:b w:val="false"/>
          <w:i w:val="false"/>
          <w:sz w:val="26"/>
        </w:rPr>
        <w:t>Reach out — I'd love to hear from you.</w:t>
      </w:r>
    </w:p>
    <w:p>
      <w:pPr>
        <w:pStyle w:val="Normal"/>
        <w:rPr/>
      </w:pPr>
      <w:r>
        <w:rPr/>
      </w:r>
      <w:r>
        <w:br w:type="page"/>
      </w:r>
    </w:p>
    <w:p>
      <w:pPr>
        <w:pStyle w:val="Normal"/>
        <w:spacing w:before="0" w:after="80"/>
        <w:jc w:val="center"/>
        <w:rPr/>
      </w:pPr>
      <w:r>
        <w:rPr>
          <w:rFonts w:ascii="Libre Franklin" w:hAnsi="Libre Franklin"/>
          <w:b/>
          <w:color w:val="1A1A1A"/>
          <w:sz w:val="32"/>
        </w:rPr>
        <w:t>Table of Contents</w:t>
      </w:r>
    </w:p>
    <w:p>
      <w:pPr>
        <w:pStyle w:val="Normal"/>
        <w:spacing w:before="0" w:after="80"/>
        <w:jc w:val="center"/>
        <w:rPr/>
      </w:pPr>
      <w:r>
        <w:rPr>
          <w:color w:val="B8860B"/>
          <w:sz w:val="12"/>
        </w:rPr>
        <w:t>────────────────────────────────────────────────────────────────────────</w:t>
      </w:r>
    </w:p>
    <w:p>
      <w:pPr>
        <w:pStyle w:val="Normal"/>
        <w:spacing w:before="0" w:after="120"/>
        <w:jc w:val="center"/>
        <w:rPr/>
      </w:pPr>
      <w:r>
        <w:rPr>
          <w:i/>
          <w:color w:val="CC3300"/>
          <w:sz w:val="15"/>
        </w:rPr>
        <w:t xml:space="preserve">● </w:t>
      </w:r>
      <w:r>
        <w:rPr>
          <w:i/>
          <w:color w:val="CC3300"/>
          <w:sz w:val="15"/>
        </w:rPr>
        <w:t>= sample chapter included in this flyer</w:t>
      </w:r>
    </w:p>
    <w:p>
      <w:pPr>
        <w:pStyle w:val="TOC1"/>
        <w:spacing w:before="80" w:after="20"/>
        <w:rPr/>
      </w:pPr>
      <w:r>
        <w:rPr>
          <w:b/>
          <w:color w:val="CC3300"/>
          <w:sz w:val="17"/>
        </w:rPr>
        <w:t xml:space="preserve">● </w:t>
      </w:r>
      <w:r>
        <w:rPr>
          <w:b/>
          <w:color w:val="CC3300"/>
          <w:sz w:val="17"/>
        </w:rPr>
        <w:t>Part : Introduction</w:t>
      </w:r>
    </w:p>
    <w:p>
      <w:pPr>
        <w:pStyle w:val="TOC2"/>
        <w:spacing w:before="0" w:after="0"/>
        <w:rPr/>
      </w:pPr>
      <w:r>
        <w:rPr>
          <w:sz w:val="16"/>
        </w:rPr>
        <w:t>Chapter 1: The Third Story</w:t>
      </w:r>
    </w:p>
    <w:p>
      <w:pPr>
        <w:pStyle w:val="TOC2"/>
        <w:spacing w:before="0" w:after="0"/>
        <w:rPr/>
      </w:pPr>
      <w:r>
        <w:rPr>
          <w:sz w:val="16"/>
        </w:rPr>
        <w:t>Chapter 2: Background</w:t>
      </w:r>
    </w:p>
    <w:p>
      <w:pPr>
        <w:pStyle w:val="TOC3"/>
        <w:spacing w:before="0" w:after="0"/>
        <w:rPr/>
      </w:pPr>
      <w:r>
        <w:rPr>
          <w:i/>
          <w:color w:val="666666"/>
          <w:sz w:val="14"/>
        </w:rPr>
        <w:t>Authors Challenging the Mainstream Timeline</w:t>
      </w:r>
    </w:p>
    <w:p>
      <w:pPr>
        <w:pStyle w:val="TOC3"/>
        <w:spacing w:before="0" w:after="0"/>
        <w:rPr/>
      </w:pPr>
      <w:r>
        <w:rPr>
          <w:i/>
          <w:color w:val="666666"/>
          <w:sz w:val="14"/>
        </w:rPr>
        <w:t>Authors Who Read Ancient Sources as World Cataclysm</w:t>
      </w:r>
    </w:p>
    <w:p>
      <w:pPr>
        <w:pStyle w:val="TOC3"/>
        <w:spacing w:before="0" w:after="0"/>
        <w:rPr/>
      </w:pPr>
      <w:r>
        <w:rPr>
          <w:i/>
          <w:color w:val="666666"/>
          <w:sz w:val="14"/>
        </w:rPr>
        <w:t>Challenging Established Physics</w:t>
      </w:r>
    </w:p>
    <w:p>
      <w:pPr>
        <w:pStyle w:val="TOC2"/>
        <w:spacing w:before="0" w:after="0"/>
        <w:rPr/>
      </w:pPr>
      <w:r>
        <w:rPr>
          <w:sz w:val="16"/>
        </w:rPr>
        <w:t>Chapter 3: Core Concepts</w:t>
      </w:r>
    </w:p>
    <w:p>
      <w:pPr>
        <w:pStyle w:val="TOC3"/>
        <w:spacing w:before="0" w:after="0"/>
        <w:rPr/>
      </w:pPr>
      <w:r>
        <w:rPr>
          <w:i/>
          <w:color w:val="666666"/>
          <w:sz w:val="14"/>
        </w:rPr>
        <w:t>The Length of a Year Changes Throughout Antiquity</w:t>
      </w:r>
    </w:p>
    <w:p>
      <w:pPr>
        <w:pStyle w:val="TOC3"/>
        <w:spacing w:before="0" w:after="0"/>
        <w:rPr/>
      </w:pPr>
      <w:r>
        <w:rPr>
          <w:i/>
          <w:color w:val="666666"/>
          <w:sz w:val="14"/>
        </w:rPr>
        <w:t>Timeline Synchronization</w:t>
      </w:r>
    </w:p>
    <w:p>
      <w:pPr>
        <w:pStyle w:val="TOC3"/>
        <w:spacing w:before="0" w:after="0"/>
        <w:rPr/>
      </w:pPr>
      <w:r>
        <w:rPr>
          <w:i/>
          <w:color w:val="666666"/>
          <w:sz w:val="14"/>
        </w:rPr>
        <w:t>Cosmic Life Cycle</w:t>
      </w:r>
    </w:p>
    <w:p>
      <w:pPr>
        <w:pStyle w:val="TOC1"/>
        <w:spacing w:before="80" w:after="20"/>
        <w:rPr/>
      </w:pPr>
      <w:r>
        <w:rPr>
          <w:b/>
          <w:sz w:val="17"/>
        </w:rPr>
        <w:t>Part I: 5000 BCE — Before Creation</w:t>
      </w:r>
    </w:p>
    <w:p>
      <w:pPr>
        <w:pStyle w:val="TOC2"/>
        <w:spacing w:before="0" w:after="0"/>
        <w:rPr/>
      </w:pPr>
      <w:r>
        <w:rPr>
          <w:sz w:val="16"/>
        </w:rPr>
        <w:t>Chapter 4: 3 Plasmoids Southern Hemisphere</w:t>
      </w:r>
    </w:p>
    <w:p>
      <w:pPr>
        <w:pStyle w:val="TOC2"/>
        <w:spacing w:before="0" w:after="0"/>
        <w:rPr/>
      </w:pPr>
      <w:r>
        <w:rPr>
          <w:sz w:val="16"/>
        </w:rPr>
        <w:t>Chapter 5: Spawning of the First Life Forms</w:t>
      </w:r>
    </w:p>
    <w:p>
      <w:pPr>
        <w:pStyle w:val="TOC3"/>
        <w:spacing w:before="0" w:after="0"/>
        <w:rPr/>
      </w:pPr>
      <w:r>
        <w:rPr>
          <w:i/>
          <w:color w:val="666666"/>
          <w:sz w:val="14"/>
        </w:rPr>
        <w:t>Scalar Energy as the basis of Creation</w:t>
      </w:r>
    </w:p>
    <w:p>
      <w:pPr>
        <w:pStyle w:val="TOC2"/>
        <w:spacing w:before="0" w:after="0"/>
        <w:rPr/>
      </w:pPr>
      <w:r>
        <w:rPr>
          <w:sz w:val="16"/>
        </w:rPr>
        <w:t>Chapter 6: All planets and suns are hollow</w:t>
      </w:r>
    </w:p>
    <w:p>
      <w:pPr>
        <w:pStyle w:val="TOC1"/>
        <w:spacing w:before="80" w:after="20"/>
        <w:rPr/>
      </w:pPr>
      <w:r>
        <w:rPr>
          <w:b/>
          <w:sz w:val="17"/>
        </w:rPr>
        <w:t>Part II: 4077 BCE — The Golden Age</w:t>
      </w:r>
    </w:p>
    <w:p>
      <w:pPr>
        <w:pStyle w:val="TOC2"/>
        <w:spacing w:before="0" w:after="0"/>
        <w:rPr/>
      </w:pPr>
      <w:r>
        <w:rPr>
          <w:sz w:val="16"/>
        </w:rPr>
        <w:t>Chapter 7: 4077 BCE — Proto-Saturn joins the Sun's orbit</w:t>
      </w:r>
    </w:p>
    <w:p>
      <w:pPr>
        <w:pStyle w:val="TOC2"/>
        <w:spacing w:before="0" w:after="0"/>
        <w:rPr/>
      </w:pPr>
      <w:r>
        <w:rPr>
          <w:color w:val="CC3300"/>
          <w:sz w:val="16"/>
        </w:rPr>
        <w:t xml:space="preserve">● </w:t>
      </w:r>
      <w:r>
        <w:rPr>
          <w:color w:val="CC3300"/>
          <w:sz w:val="16"/>
        </w:rPr>
        <w:t>Chapter 8: The 225-Day Year</w:t>
      </w:r>
    </w:p>
    <w:p>
      <w:pPr>
        <w:pStyle w:val="TOC2"/>
        <w:spacing w:before="0" w:after="0"/>
        <w:rPr/>
      </w:pPr>
      <w:r>
        <w:rPr>
          <w:sz w:val="16"/>
        </w:rPr>
        <w:t>Chapter 9: Saturn Collinear Configuration</w:t>
      </w:r>
    </w:p>
    <w:p>
      <w:pPr>
        <w:pStyle w:val="TOC2"/>
        <w:spacing w:before="0" w:after="0"/>
        <w:rPr/>
      </w:pPr>
      <w:r>
        <w:rPr>
          <w:sz w:val="16"/>
        </w:rPr>
        <w:t>Chapter 10: Absu layers surrounded Planets</w:t>
      </w:r>
    </w:p>
    <w:p>
      <w:pPr>
        <w:pStyle w:val="TOC2"/>
        <w:spacing w:before="0" w:after="0"/>
        <w:rPr/>
      </w:pPr>
      <w:r>
        <w:rPr>
          <w:sz w:val="16"/>
        </w:rPr>
        <w:t>Chapter 11: Northern Configuration</w:t>
      </w:r>
    </w:p>
    <w:p>
      <w:pPr>
        <w:pStyle w:val="TOC2"/>
        <w:spacing w:before="0" w:after="0"/>
        <w:rPr/>
      </w:pPr>
      <w:r>
        <w:rPr>
          <w:sz w:val="16"/>
        </w:rPr>
        <w:t>Chapter 12: Southern Configuration</w:t>
      </w:r>
    </w:p>
    <w:p>
      <w:pPr>
        <w:pStyle w:val="TOC2"/>
        <w:spacing w:before="0" w:after="0"/>
        <w:rPr/>
      </w:pPr>
      <w:r>
        <w:rPr>
          <w:sz w:val="16"/>
        </w:rPr>
        <w:t>Chapter 13: Atlantis and the Tree of Knowledge</w:t>
      </w:r>
    </w:p>
    <w:p>
      <w:pPr>
        <w:pStyle w:val="TOC2"/>
        <w:spacing w:before="0" w:after="0"/>
        <w:rPr/>
      </w:pPr>
      <w:r>
        <w:rPr>
          <w:sz w:val="16"/>
        </w:rPr>
        <w:t>Chapter 14: Priori-Mars as the Ladder / Stairway / Mountain of Heaven</w:t>
      </w:r>
    </w:p>
    <w:p>
      <w:pPr>
        <w:pStyle w:val="TOC2"/>
        <w:spacing w:before="0" w:after="0"/>
        <w:rPr/>
      </w:pPr>
      <w:r>
        <w:rPr>
          <w:sz w:val="16"/>
        </w:rPr>
        <w:t>Chapter 15: Interplanetary Entanglement</w:t>
      </w:r>
    </w:p>
    <w:p>
      <w:pPr>
        <w:pStyle w:val="TOC2"/>
        <w:spacing w:before="0" w:after="0"/>
        <w:rPr/>
      </w:pPr>
      <w:r>
        <w:rPr>
          <w:sz w:val="16"/>
        </w:rPr>
        <w:t>Chapter 16: The Seven Days of Creation: A Compressed Memory of the Saturnian Epoch</w:t>
      </w:r>
    </w:p>
    <w:p>
      <w:pPr>
        <w:pStyle w:val="TOC1"/>
        <w:spacing w:before="80" w:after="20"/>
        <w:rPr/>
      </w:pPr>
      <w:r>
        <w:rPr>
          <w:b/>
          <w:sz w:val="17"/>
        </w:rPr>
        <w:t>Part III: 3147 BCE — The Dark Ages</w:t>
      </w:r>
    </w:p>
    <w:p>
      <w:pPr>
        <w:pStyle w:val="TOC2"/>
        <w:spacing w:before="0" w:after="0"/>
        <w:rPr/>
      </w:pPr>
      <w:r>
        <w:rPr>
          <w:sz w:val="16"/>
        </w:rPr>
        <w:t>Chapter 17: 3147 BCE — The Golden Age Ends Violently.</w:t>
      </w:r>
    </w:p>
    <w:p>
      <w:pPr>
        <w:pStyle w:val="TOC2"/>
        <w:spacing w:before="0" w:after="0"/>
        <w:rPr/>
      </w:pPr>
      <w:r>
        <w:rPr>
          <w:sz w:val="16"/>
        </w:rPr>
        <w:t>Chapter 18: Humanity was then cast out of the Garden</w:t>
      </w:r>
    </w:p>
    <w:p>
      <w:pPr>
        <w:pStyle w:val="TOC2"/>
        <w:spacing w:before="0" w:after="0"/>
        <w:rPr/>
      </w:pPr>
      <w:r>
        <w:rPr>
          <w:sz w:val="16"/>
        </w:rPr>
        <w:t>Chapter 19: 3067 BCE — The Planets are at war.</w:t>
      </w:r>
    </w:p>
    <w:p>
      <w:pPr>
        <w:pStyle w:val="TOC2"/>
        <w:spacing w:before="0" w:after="0"/>
        <w:rPr/>
      </w:pPr>
      <w:r>
        <w:rPr>
          <w:sz w:val="16"/>
        </w:rPr>
        <w:t>Chapter 20: 2860 BCE — All planets enter a stable Nonlinear Orbit</w:t>
      </w:r>
    </w:p>
    <w:p>
      <w:pPr>
        <w:pStyle w:val="TOC3"/>
        <w:spacing w:before="0" w:after="0"/>
        <w:rPr/>
      </w:pPr>
      <w:r>
        <w:rPr>
          <w:i/>
          <w:color w:val="666666"/>
          <w:sz w:val="14"/>
        </w:rPr>
        <w:t>Jupiter replaces Saturn as the new Saviour (aka Zeus, Thor, King Arthur)</w:t>
      </w:r>
    </w:p>
    <w:p>
      <w:pPr>
        <w:pStyle w:val="TOC3"/>
        <w:spacing w:before="0" w:after="0"/>
        <w:rPr/>
      </w:pPr>
      <w:r>
        <w:rPr>
          <w:i/>
          <w:color w:val="666666"/>
          <w:sz w:val="14"/>
        </w:rPr>
        <w:t>Pyramids were Portals</w:t>
      </w:r>
    </w:p>
    <w:p>
      <w:pPr>
        <w:pStyle w:val="TOC3"/>
        <w:spacing w:before="0" w:after="0"/>
        <w:rPr/>
      </w:pPr>
      <w:r>
        <w:rPr>
          <w:i/>
          <w:color w:val="666666"/>
          <w:sz w:val="14"/>
        </w:rPr>
        <w:t>Pyramids: Myths vs Reality</w:t>
      </w:r>
    </w:p>
    <w:p>
      <w:pPr>
        <w:pStyle w:val="TOC2"/>
        <w:spacing w:before="0" w:after="0"/>
        <w:rPr/>
      </w:pPr>
      <w:r>
        <w:rPr>
          <w:sz w:val="16"/>
        </w:rPr>
        <w:t>Chapter 21: 2349 BCE — September 8 — Jupiter disappears</w:t>
      </w:r>
    </w:p>
    <w:p>
      <w:pPr>
        <w:pStyle w:val="TOC2"/>
        <w:spacing w:before="0" w:after="0"/>
        <w:rPr/>
      </w:pPr>
      <w:r>
        <w:rPr>
          <w:sz w:val="16"/>
        </w:rPr>
        <w:t>Chapter 22: 2193–2167 BCE — Earth leaves last Absu layer &amp; Seasons Begin</w:t>
      </w:r>
    </w:p>
    <w:p>
      <w:pPr>
        <w:pStyle w:val="TOC2"/>
        <w:spacing w:before="0" w:after="0"/>
        <w:rPr/>
      </w:pPr>
      <w:r>
        <w:rPr>
          <w:sz w:val="16"/>
        </w:rPr>
        <w:t>Chapter 23: 1936 BCE — Sodom &amp; Gomorrah are completely Destroyed</w:t>
      </w:r>
    </w:p>
    <w:p>
      <w:pPr>
        <w:pStyle w:val="TOC2"/>
        <w:spacing w:before="0" w:after="0"/>
        <w:rPr/>
      </w:pPr>
      <w:r>
        <w:rPr>
          <w:sz w:val="16"/>
        </w:rPr>
        <w:t>Chapter 24: 1492 BCE — "Passover" of Comet Venus &amp; the Exodus</w:t>
      </w:r>
    </w:p>
    <w:p>
      <w:pPr>
        <w:pStyle w:val="TOC3"/>
        <w:spacing w:before="0" w:after="0"/>
        <w:rPr/>
      </w:pPr>
      <w:r>
        <w:rPr>
          <w:i/>
          <w:color w:val="666666"/>
          <w:sz w:val="14"/>
        </w:rPr>
        <w:t>Venus replaces Jupiter as the new Saviour (aka Joshua / Lucifer)</w:t>
      </w:r>
    </w:p>
    <w:p>
      <w:pPr>
        <w:pStyle w:val="TOC2"/>
        <w:spacing w:before="0" w:after="0"/>
        <w:rPr/>
      </w:pPr>
      <w:r>
        <w:rPr>
          <w:sz w:val="16"/>
        </w:rPr>
        <w:t>Chapter 25: 1442 BCE — The Sun Stands Still for Joshua</w:t>
      </w:r>
    </w:p>
    <w:p>
      <w:pPr>
        <w:pStyle w:val="TOC2"/>
        <w:spacing w:before="0" w:after="0"/>
        <w:rPr/>
      </w:pPr>
      <w:r>
        <w:rPr>
          <w:sz w:val="16"/>
        </w:rPr>
        <w:t>Chapter 26: 806–670 BCE — Mars, Earth &amp; Mercury finalize their Orbits</w:t>
      </w:r>
    </w:p>
    <w:p>
      <w:pPr>
        <w:pStyle w:val="TOC3"/>
        <w:spacing w:before="0" w:after="0"/>
        <w:rPr/>
      </w:pPr>
      <w:r>
        <w:rPr>
          <w:i/>
          <w:color w:val="666666"/>
          <w:sz w:val="14"/>
        </w:rPr>
        <w:t>Mars (aka Prometheus) replaces Venus as the new Saviour</w:t>
      </w:r>
    </w:p>
    <w:p>
      <w:pPr>
        <w:pStyle w:val="TOC2"/>
        <w:spacing w:before="0" w:after="0"/>
        <w:rPr/>
      </w:pPr>
      <w:r>
        <w:rPr>
          <w:sz w:val="16"/>
        </w:rPr>
        <w:t>Chapter 27: 670 BCE — March 23 — Priori-Mars loses its Outer Shell</w:t>
      </w:r>
    </w:p>
    <w:p>
      <w:pPr>
        <w:pStyle w:val="TOC2"/>
        <w:spacing w:before="0" w:after="0"/>
        <w:rPr/>
      </w:pPr>
      <w:r>
        <w:rPr>
          <w:sz w:val="16"/>
        </w:rPr>
        <w:t>Chapter 28: 684 BCE — Solar System becomes stable</w:t>
      </w:r>
    </w:p>
    <w:p>
      <w:pPr>
        <w:pStyle w:val="TOC1"/>
        <w:spacing w:before="80" w:after="20"/>
        <w:rPr/>
      </w:pPr>
      <w:r>
        <w:rPr>
          <w:b/>
          <w:sz w:val="17"/>
        </w:rPr>
        <w:t>Part IV: 670 BCE: The Blip</w:t>
      </w:r>
    </w:p>
    <w:p>
      <w:pPr>
        <w:pStyle w:val="TOC2"/>
        <w:spacing w:before="0" w:after="0"/>
        <w:rPr/>
      </w:pPr>
      <w:r>
        <w:rPr>
          <w:sz w:val="16"/>
        </w:rPr>
        <w:t>Chapter 29: Building the New Chronology</w:t>
      </w:r>
    </w:p>
    <w:p>
      <w:pPr>
        <w:pStyle w:val="TOC2"/>
        <w:spacing w:before="0" w:after="0"/>
        <w:rPr/>
      </w:pPr>
      <w:r>
        <w:rPr>
          <w:sz w:val="16"/>
        </w:rPr>
        <w:t>Chapter 30: Other Challenges to Chronology</w:t>
      </w:r>
    </w:p>
    <w:p>
      <w:pPr>
        <w:pStyle w:val="TOC1"/>
        <w:spacing w:before="80" w:after="20"/>
        <w:rPr/>
      </w:pPr>
      <w:r>
        <w:rPr>
          <w:b/>
          <w:color w:val="CC3300"/>
          <w:sz w:val="17"/>
        </w:rPr>
        <w:t xml:space="preserve">● </w:t>
      </w:r>
      <w:r>
        <w:rPr>
          <w:b/>
          <w:color w:val="CC3300"/>
          <w:sz w:val="17"/>
        </w:rPr>
        <w:t>Part V: 1053 CE — 11th Century C.E. Common Era Begins</w:t>
      </w:r>
    </w:p>
    <w:p>
      <w:pPr>
        <w:pStyle w:val="TOC2"/>
        <w:spacing w:before="0" w:after="0"/>
        <w:rPr/>
      </w:pPr>
      <w:r>
        <w:rPr>
          <w:sz w:val="16"/>
        </w:rPr>
        <w:t>Chapter 31: 1053 CE — 'Year of our Lord' Deception — Anno Domini</w:t>
      </w:r>
    </w:p>
    <w:p>
      <w:pPr>
        <w:pStyle w:val="TOC2"/>
        <w:spacing w:before="0" w:after="0"/>
        <w:rPr/>
      </w:pPr>
      <w:r>
        <w:rPr>
          <w:sz w:val="16"/>
        </w:rPr>
        <w:t>Chapter 32: Sun replaces Mars as new Saviour</w:t>
      </w:r>
    </w:p>
    <w:p>
      <w:pPr>
        <w:pStyle w:val="TOC2"/>
        <w:spacing w:before="0" w:after="0"/>
        <w:rPr/>
      </w:pPr>
      <w:r>
        <w:rPr>
          <w:sz w:val="16"/>
        </w:rPr>
        <w:t>Chapter 33: Deep State Centralizes World Religion</w:t>
      </w:r>
    </w:p>
    <w:p>
      <w:pPr>
        <w:pStyle w:val="TOC3"/>
        <w:spacing w:before="0" w:after="0"/>
        <w:rPr/>
      </w:pPr>
      <w:r>
        <w:rPr>
          <w:i/>
          <w:color w:val="666666"/>
          <w:sz w:val="14"/>
        </w:rPr>
        <w:t>New Religion of Constancy</w:t>
      </w:r>
    </w:p>
    <w:p>
      <w:pPr>
        <w:pStyle w:val="TOC1"/>
        <w:spacing w:before="80" w:after="20"/>
        <w:rPr/>
      </w:pPr>
      <w:r>
        <w:rPr>
          <w:b/>
          <w:sz w:val="17"/>
        </w:rPr>
        <w:t>Part VI: 1100 CE — 12th Century C.E. Birth of Christianity</w:t>
      </w:r>
    </w:p>
    <w:p>
      <w:pPr>
        <w:pStyle w:val="TOC2"/>
        <w:spacing w:before="0" w:after="0"/>
        <w:rPr/>
      </w:pPr>
      <w:r>
        <w:rPr>
          <w:sz w:val="16"/>
        </w:rPr>
        <w:t>Chapter 34: Deep State, the Census, &amp; Naming of Christ</w:t>
      </w:r>
    </w:p>
    <w:p>
      <w:pPr>
        <w:pStyle w:val="TOC3"/>
        <w:spacing w:before="0" w:after="0"/>
        <w:rPr/>
      </w:pPr>
      <w:r>
        <w:rPr>
          <w:i/>
          <w:color w:val="666666"/>
          <w:sz w:val="14"/>
        </w:rPr>
        <w:t>Hairy Mary: The Wild Woman Who Threatened Patriarchal Religion</w:t>
      </w:r>
    </w:p>
    <w:p>
      <w:pPr>
        <w:pStyle w:val="TOC2"/>
        <w:spacing w:before="0" w:after="0"/>
        <w:rPr/>
      </w:pPr>
      <w:r>
        <w:rPr>
          <w:sz w:val="16"/>
        </w:rPr>
        <w:t>Chapter 35: 1152 CE — Historical Christ is Born in Crimea</w:t>
      </w:r>
    </w:p>
    <w:p>
      <w:pPr>
        <w:pStyle w:val="TOC2"/>
        <w:spacing w:before="0" w:after="0"/>
        <w:rPr/>
      </w:pPr>
      <w:r>
        <w:rPr>
          <w:sz w:val="16"/>
        </w:rPr>
        <w:t>Chapter 36: 1185 CE — Christ is Crucified in Istanbul</w:t>
      </w:r>
    </w:p>
    <w:p>
      <w:pPr>
        <w:pStyle w:val="TOC3"/>
        <w:spacing w:before="0" w:after="0"/>
        <w:rPr/>
      </w:pPr>
      <w:r>
        <w:rPr>
          <w:i/>
          <w:color w:val="666666"/>
          <w:sz w:val="14"/>
        </w:rPr>
        <w:t>The Brother on the Cross</w:t>
      </w:r>
    </w:p>
    <w:p>
      <w:pPr>
        <w:pStyle w:val="TOC2"/>
        <w:spacing w:before="0" w:after="0"/>
        <w:rPr/>
      </w:pPr>
      <w:r>
        <w:rPr>
          <w:sz w:val="16"/>
        </w:rPr>
        <w:t>Chapter 37: Revolution Despite Christ's Martyrdom</w:t>
      </w:r>
    </w:p>
    <w:p>
      <w:pPr>
        <w:pStyle w:val="TOC2"/>
        <w:spacing w:before="0" w:after="0"/>
        <w:rPr/>
      </w:pPr>
      <w:r>
        <w:rPr>
          <w:sz w:val="16"/>
        </w:rPr>
        <w:t>Chapter 38: 1196 CE — The First Crusade &amp; Trojan War</w:t>
      </w:r>
    </w:p>
    <w:p>
      <w:pPr>
        <w:pStyle w:val="TOC1"/>
        <w:spacing w:before="80" w:after="20"/>
        <w:rPr/>
      </w:pPr>
      <w:r>
        <w:rPr>
          <w:b/>
          <w:sz w:val="17"/>
        </w:rPr>
        <w:t>Part VII: 1200 CE — 13th Century C.E.: The Russian Horde 'Tartarian' Empire emerges</w:t>
      </w:r>
    </w:p>
    <w:p>
      <w:pPr>
        <w:pStyle w:val="TOC2"/>
        <w:spacing w:before="0" w:after="0"/>
        <w:rPr/>
      </w:pPr>
      <w:r>
        <w:rPr>
          <w:sz w:val="16"/>
        </w:rPr>
        <w:t>Chapter 39: A Second Golden Age</w:t>
      </w:r>
    </w:p>
    <w:p>
      <w:pPr>
        <w:pStyle w:val="TOC3"/>
        <w:spacing w:before="0" w:after="0"/>
        <w:rPr/>
      </w:pPr>
      <w:r>
        <w:rPr>
          <w:i/>
          <w:color w:val="666666"/>
          <w:sz w:val="14"/>
        </w:rPr>
        <w:t>The Masons: Imperial Builders of the Rus-Horde Empire</w:t>
      </w:r>
    </w:p>
    <w:p>
      <w:pPr>
        <w:pStyle w:val="TOC3"/>
        <w:spacing w:before="0" w:after="0"/>
        <w:rPr/>
      </w:pPr>
      <w:r>
        <w:rPr>
          <w:i/>
          <w:color w:val="666666"/>
          <w:sz w:val="14"/>
        </w:rPr>
        <w:t>The Giants of the Rus-Horde</w:t>
      </w:r>
    </w:p>
    <w:p>
      <w:pPr>
        <w:pStyle w:val="TOC2"/>
        <w:spacing w:before="0" w:after="0"/>
        <w:rPr/>
      </w:pPr>
      <w:r>
        <w:rPr>
          <w:sz w:val="16"/>
        </w:rPr>
        <w:t>Chapter 40: 1258 CE — Historical Christ dies</w:t>
      </w:r>
    </w:p>
    <w:p>
      <w:pPr>
        <w:pStyle w:val="TOC2"/>
        <w:spacing w:before="0" w:after="0"/>
        <w:rPr/>
      </w:pPr>
      <w:r>
        <w:rPr>
          <w:sz w:val="16"/>
        </w:rPr>
        <w:t>Chapter 41: 1285 CE — First Olympic Games</w:t>
      </w:r>
    </w:p>
    <w:p>
      <w:pPr>
        <w:pStyle w:val="TOC1"/>
        <w:spacing w:before="80" w:after="20"/>
        <w:rPr/>
      </w:pPr>
      <w:r>
        <w:rPr>
          <w:b/>
          <w:sz w:val="17"/>
        </w:rPr>
        <w:t>Part VIII: 1300 CE — 14th Century C.E.: The Great Expansion — Triumph and Betrayal</w:t>
      </w:r>
    </w:p>
    <w:p>
      <w:pPr>
        <w:pStyle w:val="TOC2"/>
        <w:spacing w:before="0" w:after="0"/>
        <w:rPr/>
      </w:pPr>
      <w:r>
        <w:rPr>
          <w:sz w:val="16"/>
        </w:rPr>
        <w:t>Chapter 42: 1300 CE — European Religious Schism</w:t>
      </w:r>
    </w:p>
    <w:p>
      <w:pPr>
        <w:pStyle w:val="TOC2"/>
        <w:spacing w:before="0" w:after="0"/>
        <w:rPr/>
      </w:pPr>
      <w:r>
        <w:rPr>
          <w:sz w:val="16"/>
        </w:rPr>
        <w:t>Chapter 43: 1380 CE — Giants are defeated at the Battle of Kulikovo</w:t>
      </w:r>
    </w:p>
    <w:p>
      <w:pPr>
        <w:pStyle w:val="TOC3"/>
        <w:spacing w:before="0" w:after="0"/>
        <w:rPr/>
      </w:pPr>
      <w:r>
        <w:rPr>
          <w:i/>
          <w:color w:val="666666"/>
          <w:sz w:val="14"/>
        </w:rPr>
        <w:t>European Castles — Fortresses Against Giants</w:t>
      </w:r>
    </w:p>
    <w:p>
      <w:pPr>
        <w:pStyle w:val="TOC2"/>
        <w:spacing w:before="0" w:after="0"/>
        <w:rPr/>
      </w:pPr>
      <w:r>
        <w:rPr>
          <w:sz w:val="16"/>
        </w:rPr>
        <w:t>Chapter 44: Imperial Technology &amp; Knowledge</w:t>
      </w:r>
    </w:p>
    <w:p>
      <w:pPr>
        <w:pStyle w:val="TOC3"/>
        <w:spacing w:before="0" w:after="0"/>
        <w:rPr/>
      </w:pPr>
      <w:r>
        <w:rPr>
          <w:i/>
          <w:color w:val="666666"/>
          <w:sz w:val="14"/>
        </w:rPr>
        <w:t>Geopolymer Concrete: The Horde's Construction Secret</w:t>
      </w:r>
    </w:p>
    <w:p>
      <w:pPr>
        <w:pStyle w:val="TOC1"/>
        <w:spacing w:before="80" w:after="20"/>
        <w:rPr/>
      </w:pPr>
      <w:r>
        <w:rPr>
          <w:b/>
          <w:sz w:val="17"/>
        </w:rPr>
        <w:t>Part IX: 1400 CE — 15th Century C.E. Ottoman Conquest of Europe.</w:t>
      </w:r>
    </w:p>
    <w:p>
      <w:pPr>
        <w:pStyle w:val="TOC2"/>
        <w:spacing w:before="0" w:after="0"/>
        <w:rPr/>
      </w:pPr>
      <w:r>
        <w:rPr>
          <w:color w:val="CC3300"/>
          <w:sz w:val="16"/>
        </w:rPr>
        <w:t xml:space="preserve">● </w:t>
      </w:r>
      <w:r>
        <w:rPr>
          <w:color w:val="CC3300"/>
          <w:sz w:val="16"/>
        </w:rPr>
        <w:t>Chapter 45: 1421 CE — Meteorite falls on Yaroslavl</w:t>
      </w:r>
    </w:p>
    <w:p>
      <w:pPr>
        <w:pStyle w:val="TOC3"/>
        <w:spacing w:before="0" w:after="0"/>
        <w:rPr/>
      </w:pPr>
      <w:r>
        <w:rPr>
          <w:i/>
          <w:color w:val="666666"/>
          <w:sz w:val="14"/>
        </w:rPr>
        <w:t>1431 CE — Jeanne d'Arc is executed in Rouen, France</w:t>
      </w:r>
    </w:p>
    <w:p>
      <w:pPr>
        <w:pStyle w:val="TOC3"/>
        <w:spacing w:before="0" w:after="0"/>
        <w:rPr/>
      </w:pPr>
      <w:r>
        <w:rPr>
          <w:i/>
          <w:color w:val="666666"/>
          <w:sz w:val="14"/>
        </w:rPr>
        <w:t>1453 CE — Fall of Czar-Grad (Constantinople)</w:t>
      </w:r>
    </w:p>
    <w:p>
      <w:pPr>
        <w:pStyle w:val="TOC3"/>
        <w:spacing w:before="0" w:after="0"/>
        <w:rPr/>
      </w:pPr>
      <w:r>
        <w:rPr>
          <w:i/>
          <w:color w:val="666666"/>
          <w:sz w:val="14"/>
        </w:rPr>
        <w:t>Fall of Czar-Grad (Constantinople)</w:t>
      </w:r>
    </w:p>
    <w:p>
      <w:pPr>
        <w:pStyle w:val="TOC2"/>
        <w:spacing w:before="0" w:after="0"/>
        <w:rPr/>
      </w:pPr>
      <w:r>
        <w:rPr>
          <w:sz w:val="16"/>
        </w:rPr>
        <w:t>Chapter 46: 1455 CE — Gutenberg Bible translated into Latin</w:t>
      </w:r>
    </w:p>
    <w:p>
      <w:pPr>
        <w:pStyle w:val="TOC3"/>
        <w:spacing w:before="0" w:after="0"/>
        <w:rPr/>
      </w:pPr>
      <w:r>
        <w:rPr>
          <w:i/>
          <w:color w:val="666666"/>
          <w:sz w:val="14"/>
        </w:rPr>
        <w:t>Latin: Language of the Deep State</w:t>
      </w:r>
    </w:p>
    <w:p>
      <w:pPr>
        <w:pStyle w:val="TOC3"/>
        <w:spacing w:before="0" w:after="0"/>
        <w:rPr/>
      </w:pPr>
      <w:r>
        <w:rPr>
          <w:i/>
          <w:color w:val="666666"/>
          <w:sz w:val="14"/>
        </w:rPr>
        <w:t>Deep State Redacts Christianity into Jesuit Catholicism</w:t>
      </w:r>
    </w:p>
    <w:p>
      <w:pPr>
        <w:pStyle w:val="TOC2"/>
        <w:spacing w:before="0" w:after="0"/>
        <w:rPr/>
      </w:pPr>
      <w:r>
        <w:rPr>
          <w:sz w:val="16"/>
        </w:rPr>
        <w:t>Chapter 47: Jesuit Operations: Conversion, Catholicism, and the New World</w:t>
      </w:r>
    </w:p>
    <w:p>
      <w:pPr>
        <w:pStyle w:val="TOC2"/>
        <w:spacing w:before="0" w:after="0"/>
        <w:rPr/>
      </w:pPr>
      <w:r>
        <w:rPr>
          <w:sz w:val="16"/>
        </w:rPr>
        <w:t>Chapter 48: Revelation of the Coming Apocalypse</w:t>
      </w:r>
    </w:p>
    <w:p>
      <w:pPr>
        <w:pStyle w:val="TOC2"/>
        <w:spacing w:before="0" w:after="0"/>
        <w:rPr/>
      </w:pPr>
      <w:r>
        <w:rPr>
          <w:sz w:val="16"/>
        </w:rPr>
        <w:t>Chapter 49: 1492 CE — The Apocalypse Crusade</w:t>
      </w:r>
    </w:p>
    <w:p>
      <w:pPr>
        <w:pStyle w:val="TOC2"/>
        <w:spacing w:before="0" w:after="0"/>
        <w:rPr/>
      </w:pPr>
      <w:r>
        <w:rPr>
          <w:sz w:val="16"/>
        </w:rPr>
        <w:t>Chapter 50: Theory: The Reverse Exodus</w:t>
      </w:r>
    </w:p>
    <w:p>
      <w:pPr>
        <w:pStyle w:val="TOC1"/>
        <w:spacing w:before="80" w:after="20"/>
        <w:rPr/>
      </w:pPr>
      <w:r>
        <w:rPr>
          <w:b/>
          <w:sz w:val="17"/>
        </w:rPr>
        <w:t>Part X: 1500 CE — 16th Century C.E. Reformation and Inquisition.</w:t>
      </w:r>
    </w:p>
    <w:p>
      <w:pPr>
        <w:pStyle w:val="TOC2"/>
        <w:spacing w:before="0" w:after="0"/>
        <w:rPr/>
      </w:pPr>
      <w:r>
        <w:rPr>
          <w:sz w:val="16"/>
        </w:rPr>
        <w:t>Chapter 51: 1517 CE — Protestant Reformation Begins</w:t>
      </w:r>
    </w:p>
    <w:p>
      <w:pPr>
        <w:pStyle w:val="TOC2"/>
        <w:spacing w:before="0" w:after="0"/>
        <w:rPr/>
      </w:pPr>
      <w:r>
        <w:rPr>
          <w:sz w:val="16"/>
        </w:rPr>
        <w:t>Chapter 52: 1523 CE — Jesuits make "Pilgrimage" to Jerusalem</w:t>
      </w:r>
    </w:p>
    <w:p>
      <w:pPr>
        <w:pStyle w:val="TOC2"/>
        <w:spacing w:before="0" w:after="0"/>
        <w:rPr/>
      </w:pPr>
      <w:r>
        <w:rPr>
          <w:sz w:val="16"/>
        </w:rPr>
        <w:t>Chapter 53: 1542 CE — The Holy Inquisition</w:t>
      </w:r>
    </w:p>
    <w:p>
      <w:pPr>
        <w:pStyle w:val="TOC3"/>
        <w:spacing w:before="0" w:after="0"/>
        <w:rPr/>
      </w:pPr>
      <w:r>
        <w:rPr>
          <w:i/>
          <w:color w:val="666666"/>
          <w:sz w:val="14"/>
        </w:rPr>
        <w:t>Heresy of the Judaizers</w:t>
      </w:r>
    </w:p>
    <w:p>
      <w:pPr>
        <w:pStyle w:val="TOC3"/>
        <w:spacing w:before="0" w:after="0"/>
        <w:rPr/>
      </w:pPr>
      <w:r>
        <w:rPr>
          <w:i/>
          <w:color w:val="666666"/>
          <w:sz w:val="14"/>
        </w:rPr>
        <w:t>Cathar Suppression</w:t>
      </w:r>
    </w:p>
    <w:p>
      <w:pPr>
        <w:pStyle w:val="TOC3"/>
        <w:spacing w:before="0" w:after="0"/>
        <w:rPr/>
      </w:pPr>
      <w:r>
        <w:rPr>
          <w:i/>
          <w:color w:val="666666"/>
          <w:sz w:val="14"/>
        </w:rPr>
        <w:t>The Pentateuch as a Horde Chronicle</w:t>
      </w:r>
    </w:p>
    <w:p>
      <w:pPr>
        <w:pStyle w:val="TOC2"/>
        <w:spacing w:before="0" w:after="0"/>
        <w:rPr/>
      </w:pPr>
      <w:r>
        <w:rPr>
          <w:sz w:val="16"/>
        </w:rPr>
        <w:t>Chapter 54: 1548 CE — Jesuits reach Africa</w:t>
      </w:r>
    </w:p>
    <w:p>
      <w:pPr>
        <w:pStyle w:val="TOC2"/>
        <w:spacing w:before="0" w:after="0"/>
        <w:rPr/>
      </w:pPr>
      <w:r>
        <w:rPr>
          <w:sz w:val="16"/>
        </w:rPr>
        <w:t>Chapter 55: 1552 CE — Khazar Rebellion in the Horde Empire</w:t>
      </w:r>
    </w:p>
    <w:p>
      <w:pPr>
        <w:pStyle w:val="TOC3"/>
        <w:spacing w:before="0" w:after="0"/>
        <w:rPr/>
      </w:pPr>
      <w:r>
        <w:rPr>
          <w:i/>
          <w:color w:val="666666"/>
          <w:sz w:val="14"/>
        </w:rPr>
        <w:t>The Cathar–Khazar–Katya Connection</w:t>
      </w:r>
    </w:p>
    <w:p>
      <w:pPr>
        <w:pStyle w:val="TOC2"/>
        <w:spacing w:before="0" w:after="0"/>
        <w:rPr/>
      </w:pPr>
      <w:r>
        <w:rPr>
          <w:sz w:val="16"/>
        </w:rPr>
        <w:t>Chapter 56: The Oprichnina</w:t>
      </w:r>
    </w:p>
    <w:p>
      <w:pPr>
        <w:pStyle w:val="TOC2"/>
        <w:spacing w:before="0" w:after="0"/>
        <w:rPr/>
      </w:pPr>
      <w:r>
        <w:rPr>
          <w:sz w:val="16"/>
        </w:rPr>
        <w:t>Chapter 57: 1582 CE — Gregorian Calendar Correction</w:t>
      </w:r>
    </w:p>
    <w:p>
      <w:pPr>
        <w:pStyle w:val="TOC1"/>
        <w:spacing w:before="80" w:after="20"/>
        <w:rPr/>
      </w:pPr>
      <w:r>
        <w:rPr>
          <w:b/>
          <w:sz w:val="17"/>
        </w:rPr>
        <w:t>Part XI: 17th Century</w:t>
      </w:r>
    </w:p>
    <w:p>
      <w:pPr>
        <w:pStyle w:val="TOC1"/>
        <w:spacing w:before="0" w:after="0"/>
        <w:ind w:start="227"/>
        <w:rPr/>
      </w:pPr>
      <w:r>
        <w:rPr>
          <w:b w:val="false"/>
          <w:i/>
          <w:color w:val="666666"/>
          <w:sz w:val="14"/>
        </w:rPr>
        <w:t>From Empire to Invisible Government</w:t>
      </w:r>
    </w:p>
    <w:p>
      <w:pPr>
        <w:pStyle w:val="TOC2"/>
        <w:spacing w:before="0" w:after="0"/>
        <w:rPr/>
      </w:pPr>
      <w:r>
        <w:rPr>
          <w:sz w:val="16"/>
        </w:rPr>
        <w:t>Chapter 58: Romanov Seizure &amp; Fracturing of the Hordian Empire</w:t>
      </w:r>
    </w:p>
    <w:p>
      <w:pPr>
        <w:pStyle w:val="TOC3"/>
        <w:spacing w:before="0" w:after="0"/>
        <w:rPr/>
      </w:pPr>
      <w:r>
        <w:rPr>
          <w:i/>
          <w:color w:val="666666"/>
          <w:sz w:val="14"/>
        </w:rPr>
        <w:t>1613 CE — Romanovs-Zakharyin-Yurievs Dynasty takes the throne</w:t>
      </w:r>
    </w:p>
    <w:p>
      <w:pPr>
        <w:pStyle w:val="TOC3"/>
        <w:spacing w:before="0" w:after="0"/>
        <w:rPr/>
      </w:pPr>
      <w:r>
        <w:rPr>
          <w:i/>
          <w:color w:val="666666"/>
          <w:sz w:val="14"/>
        </w:rPr>
        <w:t>1627 CE — Deep State erases Russian Empire from all chronology</w:t>
      </w:r>
    </w:p>
    <w:p>
      <w:pPr>
        <w:pStyle w:val="TOC3"/>
        <w:spacing w:before="0" w:after="0"/>
        <w:rPr/>
      </w:pPr>
      <w:r>
        <w:rPr>
          <w:i/>
          <w:color w:val="666666"/>
          <w:sz w:val="14"/>
        </w:rPr>
        <w:t>1564–1616 CE — Shakespeare Encodes the Horde</w:t>
      </w:r>
    </w:p>
    <w:p>
      <w:pPr>
        <w:pStyle w:val="TOC2"/>
        <w:spacing w:before="0" w:after="0"/>
        <w:rPr/>
      </w:pPr>
      <w:r>
        <w:rPr>
          <w:sz w:val="16"/>
        </w:rPr>
        <w:t>Chapter 59: 1618–1660 CE — Resistance &amp; Religious Wars</w:t>
      </w:r>
    </w:p>
    <w:p>
      <w:pPr>
        <w:pStyle w:val="TOC3"/>
        <w:spacing w:before="0" w:after="0"/>
        <w:rPr/>
      </w:pPr>
      <w:r>
        <w:rPr>
          <w:i/>
          <w:color w:val="666666"/>
          <w:sz w:val="14"/>
        </w:rPr>
        <w:t>Cathars are annihilated in a *reversed* "Holy" Crusade &amp; Inquisition</w:t>
      </w:r>
    </w:p>
    <w:p>
      <w:pPr>
        <w:pStyle w:val="TOC3"/>
        <w:spacing w:before="0" w:after="0"/>
        <w:rPr/>
      </w:pPr>
      <w:r>
        <w:rPr>
          <w:i/>
          <w:color w:val="666666"/>
          <w:sz w:val="14"/>
        </w:rPr>
        <w:t>1618 CE — Great fight in the heart of Western Europe</w:t>
      </w:r>
    </w:p>
    <w:p>
      <w:pPr>
        <w:pStyle w:val="TOC3"/>
        <w:spacing w:before="0" w:after="0"/>
        <w:rPr/>
      </w:pPr>
      <w:r>
        <w:rPr>
          <w:i/>
          <w:color w:val="666666"/>
          <w:sz w:val="14"/>
        </w:rPr>
        <w:t>1642 CE — The English Revolution and Civil Wars</w:t>
      </w:r>
    </w:p>
    <w:p>
      <w:pPr>
        <w:pStyle w:val="TOC3"/>
        <w:spacing w:before="0" w:after="0"/>
        <w:rPr/>
      </w:pPr>
      <w:r>
        <w:rPr>
          <w:i/>
          <w:color w:val="666666"/>
          <w:sz w:val="14"/>
        </w:rPr>
        <w:t>1648 CE — Cossack–Polish War begins ethnic cleansing of Russians in Ukraine</w:t>
      </w:r>
    </w:p>
    <w:p>
      <w:pPr>
        <w:pStyle w:val="TOC3"/>
        <w:spacing w:before="0" w:after="0"/>
        <w:rPr/>
      </w:pPr>
      <w:r>
        <w:rPr>
          <w:i/>
          <w:color w:val="666666"/>
          <w:sz w:val="14"/>
        </w:rPr>
        <w:t>1600 CE — Russia and Turkey begin 300 years of war</w:t>
      </w:r>
    </w:p>
    <w:p>
      <w:pPr>
        <w:pStyle w:val="TOC2"/>
        <w:spacing w:before="0" w:after="0"/>
        <w:rPr/>
      </w:pPr>
      <w:r>
        <w:rPr>
          <w:sz w:val="16"/>
        </w:rPr>
        <w:t>Chapter 60: 1681–1689 CE — Marfull Framework</w:t>
      </w:r>
    </w:p>
    <w:p>
      <w:pPr>
        <w:pStyle w:val="TOC3"/>
        <w:spacing w:before="0" w:after="0"/>
        <w:rPr/>
      </w:pPr>
      <w:r>
        <w:rPr>
          <w:i/>
          <w:color w:val="666666"/>
          <w:sz w:val="14"/>
        </w:rPr>
        <w:t>1633 CE — Disputes against Jews reemerge</w:t>
      </w:r>
    </w:p>
    <w:p>
      <w:pPr>
        <w:pStyle w:val="TOC2"/>
        <w:spacing w:before="0" w:after="0"/>
        <w:rPr/>
      </w:pPr>
      <w:r>
        <w:rPr>
          <w:sz w:val="16"/>
        </w:rPr>
        <w:t>Chapter 61: 1664–1694 CE — London Financial Coup</w:t>
      </w:r>
    </w:p>
    <w:p>
      <w:pPr>
        <w:pStyle w:val="TOC3"/>
        <w:spacing w:before="0" w:after="0"/>
        <w:rPr/>
      </w:pPr>
      <w:r>
        <w:rPr>
          <w:i/>
          <w:color w:val="666666"/>
          <w:sz w:val="14"/>
        </w:rPr>
        <w:t>1660–1666 CE — The Apocalypse Prophecy of 1666</w:t>
      </w:r>
    </w:p>
    <w:p>
      <w:pPr>
        <w:pStyle w:val="TOC3"/>
        <w:spacing w:before="0" w:after="0"/>
        <w:rPr/>
      </w:pPr>
      <w:r>
        <w:rPr>
          <w:i/>
          <w:color w:val="666666"/>
          <w:sz w:val="14"/>
        </w:rPr>
        <w:t>1666 CE — London Burns to the Ground (Sept 2-6, 1666)</w:t>
      </w:r>
    </w:p>
    <w:p>
      <w:pPr>
        <w:pStyle w:val="TOC3"/>
        <w:spacing w:before="0" w:after="0"/>
        <w:rPr/>
      </w:pPr>
      <w:r>
        <w:rPr>
          <w:i/>
          <w:color w:val="666666"/>
          <w:sz w:val="14"/>
        </w:rPr>
        <w:t>1660–1694 CE — The Goldsmiths and the Death of Independent Valuation</w:t>
      </w:r>
    </w:p>
    <w:p>
      <w:pPr>
        <w:pStyle w:val="TOC3"/>
        <w:spacing w:before="0" w:after="0"/>
        <w:rPr/>
      </w:pPr>
      <w:r>
        <w:rPr>
          <w:i/>
          <w:color w:val="666666"/>
          <w:sz w:val="14"/>
        </w:rPr>
        <w:t>1668–1674 CE — The Cabal: England's Shadow Cabinet</w:t>
      </w:r>
    </w:p>
    <w:p>
      <w:pPr>
        <w:pStyle w:val="TOC2"/>
        <w:spacing w:before="0" w:after="0"/>
        <w:rPr/>
      </w:pPr>
      <w:r>
        <w:rPr>
          <w:sz w:val="16"/>
        </w:rPr>
        <w:t>Chapter 62: British Empire as Deep State Instrument</w:t>
      </w:r>
    </w:p>
    <w:p>
      <w:pPr>
        <w:pStyle w:val="TOC2"/>
        <w:spacing w:before="0" w:after="0"/>
        <w:rPr/>
      </w:pPr>
      <w:r>
        <w:rPr>
          <w:sz w:val="16"/>
        </w:rPr>
        <w:t>Chapter 63: Jesuits Missions convert Asians to Buddhism</w:t>
      </w:r>
    </w:p>
    <w:p>
      <w:pPr>
        <w:pStyle w:val="TOC2"/>
        <w:spacing w:before="0" w:after="0"/>
        <w:rPr/>
      </w:pPr>
      <w:r>
        <w:rPr>
          <w:sz w:val="16"/>
        </w:rPr>
        <w:t>Chapter 64: 1526–1830 CE — Slave Trades and the Horde Fracture</w:t>
      </w:r>
    </w:p>
    <w:p>
      <w:pPr>
        <w:pStyle w:val="TOC1"/>
        <w:spacing w:before="80" w:after="20"/>
        <w:rPr/>
      </w:pPr>
      <w:r>
        <w:rPr>
          <w:b/>
          <w:sz w:val="17"/>
        </w:rPr>
        <w:t>Part XII: 1718 CE — Secret Society of Jesus goes public</w:t>
      </w:r>
    </w:p>
    <w:p>
      <w:pPr>
        <w:pStyle w:val="TOC2"/>
        <w:spacing w:before="0" w:after="0"/>
        <w:rPr/>
      </w:pPr>
      <w:r>
        <w:rPr>
          <w:sz w:val="16"/>
        </w:rPr>
        <w:t>Chapter 65: 1773 CE — The Rebellion of Pugachev</w:t>
      </w:r>
    </w:p>
    <w:p>
      <w:pPr>
        <w:pStyle w:val="TOC2"/>
        <w:spacing w:before="0" w:after="0"/>
        <w:rPr/>
      </w:pPr>
      <w:r>
        <w:rPr>
          <w:sz w:val="16"/>
        </w:rPr>
        <w:t>Chapter 66: 1774 CE — mysterious carbon-14 spike</w:t>
      </w:r>
    </w:p>
    <w:p>
      <w:pPr>
        <w:pStyle w:val="TOC2"/>
        <w:spacing w:before="0" w:after="0"/>
        <w:rPr/>
      </w:pPr>
      <w:r>
        <w:rPr>
          <w:sz w:val="16"/>
        </w:rPr>
        <w:t>Chapter 67: 1774 CE — The MudFlood &amp; World Cataclysm</w:t>
      </w:r>
    </w:p>
    <w:p>
      <w:pPr>
        <w:pStyle w:val="TOC2"/>
        <w:spacing w:before="0" w:after="0"/>
        <w:rPr/>
      </w:pPr>
      <w:r>
        <w:rPr>
          <w:sz w:val="16"/>
        </w:rPr>
        <w:t>Chapter 68: Instant Fossilization &amp; Electric</w:t>
      </w:r>
    </w:p>
    <w:p>
      <w:pPr>
        <w:pStyle w:val="TOC2"/>
        <w:spacing w:before="0" w:after="0"/>
        <w:rPr/>
      </w:pPr>
      <w:r>
        <w:rPr>
          <w:sz w:val="16"/>
        </w:rPr>
        <w:t>Chapter 69: 1774 CE — The Mars Catastrophe</w:t>
      </w:r>
    </w:p>
    <w:p>
      <w:pPr>
        <w:pStyle w:val="TOC3"/>
        <w:spacing w:before="0" w:after="0"/>
        <w:rPr/>
      </w:pPr>
      <w:r>
        <w:rPr>
          <w:i/>
          <w:color w:val="666666"/>
          <w:sz w:val="14"/>
        </w:rPr>
        <w:t>1774 CE — The Mars Catastrophe: Research Dead End</w:t>
      </w:r>
    </w:p>
    <w:p>
      <w:pPr>
        <w:pStyle w:val="TOC2"/>
        <w:spacing w:before="0" w:after="0"/>
        <w:rPr/>
      </w:pPr>
      <w:r>
        <w:rPr>
          <w:sz w:val="16"/>
        </w:rPr>
        <w:t>Chapter 70: Trail of Tears: Century-Long Erasure</w:t>
      </w:r>
    </w:p>
    <w:p>
      <w:pPr>
        <w:pStyle w:val="TOC1"/>
        <w:spacing w:before="80" w:after="20"/>
        <w:rPr/>
      </w:pPr>
      <w:r>
        <w:rPr>
          <w:b/>
          <w:sz w:val="17"/>
        </w:rPr>
        <w:t>Part XIII: 1800 CE — 19th Century: The Rise of Communism</w:t>
      </w:r>
    </w:p>
    <w:p>
      <w:pPr>
        <w:pStyle w:val="TOC2"/>
        <w:spacing w:before="0" w:after="0"/>
        <w:rPr/>
      </w:pPr>
      <w:r>
        <w:rPr>
          <w:sz w:val="16"/>
        </w:rPr>
        <w:t>Chapter 71: 1803–1815 CE — Napoleonic Wars — Reverse Crusades</w:t>
      </w:r>
    </w:p>
    <w:p>
      <w:pPr>
        <w:pStyle w:val="TOC3"/>
        <w:spacing w:before="0" w:after="0"/>
        <w:rPr/>
      </w:pPr>
      <w:r>
        <w:rPr>
          <w:i/>
          <w:color w:val="666666"/>
          <w:sz w:val="14"/>
        </w:rPr>
        <w:t>1812 CE — Napoleon invades Russia — Reverse Crusade I</w:t>
      </w:r>
    </w:p>
    <w:p>
      <w:pPr>
        <w:pStyle w:val="TOC3"/>
        <w:spacing w:before="0" w:after="0"/>
        <w:rPr/>
      </w:pPr>
      <w:r>
        <w:rPr>
          <w:i/>
          <w:color w:val="666666"/>
          <w:sz w:val="14"/>
        </w:rPr>
        <w:t>1814 CE — Aftermath of 1812: Russian Pursuit to Paris</w:t>
      </w:r>
    </w:p>
    <w:p>
      <w:pPr>
        <w:pStyle w:val="TOC3"/>
        <w:spacing w:before="0" w:after="0"/>
        <w:rPr/>
      </w:pPr>
      <w:r>
        <w:rPr>
          <w:i/>
          <w:color w:val="666666"/>
          <w:sz w:val="14"/>
        </w:rPr>
        <w:t>1840 CE — Ecliptic pathway of the Absu last seen.</w:t>
      </w:r>
    </w:p>
    <w:p>
      <w:pPr>
        <w:pStyle w:val="TOC3"/>
        <w:spacing w:before="0" w:after="0"/>
        <w:rPr/>
      </w:pPr>
      <w:r>
        <w:rPr>
          <w:i/>
          <w:color w:val="666666"/>
          <w:sz w:val="14"/>
        </w:rPr>
        <w:t>1880 CE — Tchaikovsky releases 1812 Overture</w:t>
      </w:r>
    </w:p>
    <w:p>
      <w:pPr>
        <w:pStyle w:val="TOC2"/>
        <w:spacing w:before="0" w:after="0"/>
        <w:rPr/>
      </w:pPr>
      <w:r>
        <w:rPr>
          <w:sz w:val="16"/>
        </w:rPr>
        <w:t>Chapter 72: 1848–1883 CE — Battle for Communism's Soul</w:t>
      </w:r>
    </w:p>
    <w:p>
      <w:pPr>
        <w:pStyle w:val="TOC3"/>
        <w:spacing w:before="0" w:after="0"/>
        <w:rPr/>
      </w:pPr>
      <w:r>
        <w:rPr>
          <w:i/>
          <w:color w:val="666666"/>
          <w:sz w:val="14"/>
        </w:rPr>
        <w:t>1883–1945 CE — The Hijacking of Communism: Why the Deep State Had to Impose Its Own Version</w:t>
      </w:r>
    </w:p>
    <w:p>
      <w:pPr>
        <w:pStyle w:val="TOC2"/>
        <w:spacing w:before="0" w:after="0"/>
        <w:rPr/>
      </w:pPr>
      <w:r>
        <w:rPr>
          <w:sz w:val="16"/>
        </w:rPr>
        <w:t>Chapter 73: 1860–1917 CE — 19th Century Assault on Hordian Communalism</w:t>
      </w:r>
    </w:p>
    <w:p>
      <w:pPr>
        <w:pStyle w:val="TOC3"/>
        <w:spacing w:before="0" w:after="0"/>
        <w:rPr/>
      </w:pPr>
      <w:r>
        <w:rPr>
          <w:i/>
          <w:color w:val="666666"/>
          <w:sz w:val="14"/>
        </w:rPr>
        <w:t>1790–1929 CE — Orphan Trains, the Trail of Tears, and the Exile to Siberia</w:t>
      </w:r>
    </w:p>
    <w:p>
      <w:pPr>
        <w:pStyle w:val="TOC2"/>
        <w:spacing w:before="0" w:after="0"/>
        <w:rPr/>
      </w:pPr>
      <w:r>
        <w:rPr>
          <w:sz w:val="16"/>
        </w:rPr>
        <w:t>Chapter 74: 1814–1900 CE — Jesuit Restoration: Mission Pattern</w:t>
      </w:r>
    </w:p>
    <w:p>
      <w:pPr>
        <w:pStyle w:val="TOC2"/>
        <w:spacing w:before="0" w:after="0"/>
        <w:rPr/>
      </w:pPr>
      <w:r>
        <w:rPr>
          <w:sz w:val="16"/>
        </w:rPr>
        <w:t>Chapter 75: 1865 CE — 19th Century Weapons &amp; Declassification</w:t>
      </w:r>
    </w:p>
    <w:p>
      <w:pPr>
        <w:pStyle w:val="TOC2"/>
        <w:spacing w:before="0" w:after="0"/>
        <w:rPr/>
      </w:pPr>
      <w:r>
        <w:rPr>
          <w:sz w:val="16"/>
        </w:rPr>
        <w:t>Chapter 76: 1865–1930 CE — Suppression of Maxwell &amp; Aether</w:t>
      </w:r>
    </w:p>
    <w:p>
      <w:pPr>
        <w:pStyle w:val="TOC1"/>
        <w:spacing w:before="80" w:after="20"/>
        <w:rPr/>
      </w:pPr>
      <w:r>
        <w:rPr>
          <w:b/>
          <w:sz w:val="17"/>
        </w:rPr>
        <w:t>Part XIV: 1900 CE — 20th Century: The Reverse Crusades Continue</w:t>
      </w:r>
    </w:p>
    <w:p>
      <w:pPr>
        <w:pStyle w:val="TOC2"/>
        <w:spacing w:before="0" w:after="0"/>
        <w:rPr/>
      </w:pPr>
      <w:r>
        <w:rPr>
          <w:color w:val="CC3300"/>
          <w:sz w:val="16"/>
        </w:rPr>
        <w:t xml:space="preserve">● </w:t>
      </w:r>
      <w:r>
        <w:rPr>
          <w:color w:val="CC3300"/>
          <w:sz w:val="16"/>
        </w:rPr>
        <w:t>Chapter 77: 1914–1918 CE — World War I: Reverse Crusade II</w:t>
      </w:r>
    </w:p>
    <w:p>
      <w:pPr>
        <w:pStyle w:val="TOC2"/>
        <w:spacing w:before="0" w:after="0"/>
        <w:rPr/>
      </w:pPr>
      <w:r>
        <w:rPr>
          <w:sz w:val="16"/>
        </w:rPr>
        <w:t>Chapter 78: 1917 CE — Bolshevik Revolution: Fulfilment of the Marxist Plan</w:t>
      </w:r>
    </w:p>
    <w:p>
      <w:pPr>
        <w:pStyle w:val="TOC3"/>
        <w:spacing w:before="0" w:after="0"/>
        <w:rPr/>
      </w:pPr>
      <w:r>
        <w:rPr>
          <w:i/>
          <w:color w:val="666666"/>
          <w:sz w:val="14"/>
        </w:rPr>
        <w:t>1917–1945 CE — The Aftermath: Flight, Exile, and Erasure</w:t>
      </w:r>
    </w:p>
    <w:p>
      <w:pPr>
        <w:pStyle w:val="TOC2"/>
        <w:spacing w:before="0" w:after="0"/>
        <w:rPr/>
      </w:pPr>
      <w:r>
        <w:rPr>
          <w:sz w:val="16"/>
        </w:rPr>
        <w:t>Chapter 79: 1922–1930 CE — Russian Intellectual Emigration</w:t>
      </w:r>
    </w:p>
    <w:p>
      <w:pPr>
        <w:pStyle w:val="TOC2"/>
        <w:spacing w:before="0" w:after="0"/>
        <w:rPr/>
      </w:pPr>
      <w:r>
        <w:rPr>
          <w:sz w:val="16"/>
        </w:rPr>
        <w:t>Chapter 80: 1918–1991 CE — Soviet Historiography: Final Layer</w:t>
      </w:r>
    </w:p>
    <w:p>
      <w:pPr>
        <w:pStyle w:val="TOC2"/>
        <w:spacing w:before="0" w:after="0"/>
        <w:rPr/>
      </w:pPr>
      <w:r>
        <w:rPr>
          <w:sz w:val="16"/>
        </w:rPr>
        <w:t>Chapter 81: 1900–1991 CE — From Missionaries to Corporations</w:t>
      </w:r>
    </w:p>
    <w:p>
      <w:pPr>
        <w:pStyle w:val="TOC2"/>
        <w:spacing w:before="0" w:after="0"/>
        <w:rPr/>
      </w:pPr>
      <w:r>
        <w:rPr>
          <w:sz w:val="16"/>
        </w:rPr>
        <w:t>Chapter 82: 1904–1950 CE — American Chestnut Blight: Martian Origin Theory</w:t>
      </w:r>
    </w:p>
    <w:p>
      <w:pPr>
        <w:pStyle w:val="TOC2"/>
        <w:spacing w:before="0" w:after="0"/>
        <w:rPr/>
      </w:pPr>
      <w:r>
        <w:rPr>
          <w:sz w:val="16"/>
        </w:rPr>
        <w:t>Chapter 83: 1948–1975 CE — Mockingbird: Public Erasure</w:t>
      </w:r>
    </w:p>
    <w:p>
      <w:pPr>
        <w:pStyle w:val="TOC2"/>
        <w:spacing w:before="0" w:after="0"/>
        <w:rPr/>
      </w:pPr>
      <w:r>
        <w:rPr>
          <w:sz w:val="16"/>
        </w:rPr>
        <w:t>Chapter 84: 1880–1996 CE — Mars Literature as Reclassified Nonfiction</w:t>
      </w:r>
    </w:p>
    <w:p>
      <w:pPr>
        <w:pStyle w:val="TOC2"/>
        <w:spacing w:before="0" w:after="0"/>
        <w:rPr/>
      </w:pPr>
      <w:r>
        <w:rPr>
          <w:sz w:val="16"/>
        </w:rPr>
        <w:t>Chapter 85: 1938–1977 CE — Nuclear Energy &amp; "Bomb": Most Dangerous Deception</w:t>
      </w:r>
    </w:p>
    <w:p>
      <w:pPr>
        <w:pStyle w:val="TOC2"/>
        <w:spacing w:before="0" w:after="0"/>
        <w:rPr/>
      </w:pPr>
      <w:r>
        <w:rPr>
          <w:sz w:val="16"/>
        </w:rPr>
        <w:t>Chapter 86: 1946–2000 CE — Weather Control: From Martian Weapons to Modern Programs</w:t>
      </w:r>
    </w:p>
    <w:p>
      <w:pPr>
        <w:pStyle w:val="TOC2"/>
        <w:spacing w:before="0" w:after="0"/>
        <w:rPr/>
      </w:pPr>
      <w:r>
        <w:rPr>
          <w:sz w:val="16"/>
        </w:rPr>
        <w:t>Chapter 87: 1910–1935 CE — Flexner Report &amp; Suppression of Bioelectric Medicine</w:t>
      </w:r>
    </w:p>
    <w:p>
      <w:pPr>
        <w:pStyle w:val="TOC2"/>
        <w:spacing w:before="0" w:after="0"/>
        <w:rPr/>
      </w:pPr>
      <w:r>
        <w:rPr>
          <w:sz w:val="16"/>
        </w:rPr>
        <w:t>Chapter 88: 1939–1945 CE — World War II: Reverse Crusade III</w:t>
      </w:r>
    </w:p>
    <w:p>
      <w:pPr>
        <w:pStyle w:val="TOC3"/>
        <w:spacing w:before="0" w:after="0"/>
        <w:rPr/>
      </w:pPr>
      <w:r>
        <w:rPr>
          <w:i/>
          <w:color w:val="666666"/>
          <w:sz w:val="14"/>
        </w:rPr>
        <w:t>1945– CE — World War II Aftermath: Architectural Erasure, German Evacuation, and Unsolved Technology</w:t>
      </w:r>
    </w:p>
    <w:p>
      <w:pPr>
        <w:pStyle w:val="TOC1"/>
        <w:spacing w:before="80" w:after="20"/>
        <w:rPr/>
      </w:pPr>
      <w:r>
        <w:rPr>
          <w:b/>
          <w:sz w:val="17"/>
        </w:rPr>
        <w:t>Part XV: 2000 CE — 21st Century: The Final Struggle — Reverse Crusade IV</w:t>
      </w:r>
    </w:p>
    <w:p>
      <w:pPr>
        <w:pStyle w:val="TOC2"/>
        <w:spacing w:before="0" w:after="0"/>
        <w:rPr/>
      </w:pPr>
      <w:r>
        <w:rPr>
          <w:sz w:val="16"/>
        </w:rPr>
        <w:t>Chapter 89: 300 BCE — Censorship and Book Burning: From Alexandria to the Internet</w:t>
      </w:r>
    </w:p>
    <w:p>
      <w:pPr>
        <w:pStyle w:val="TOC2"/>
        <w:spacing w:before="0" w:after="0"/>
        <w:rPr/>
      </w:pPr>
      <w:r>
        <w:rPr>
          <w:sz w:val="16"/>
        </w:rPr>
        <w:t>Chapter 90: 1890–1985 CE — 20th C. Predictive Programming</w:t>
      </w:r>
    </w:p>
    <w:p>
      <w:pPr>
        <w:pStyle w:val="TOC3"/>
        <w:spacing w:before="0" w:after="0"/>
        <w:rPr/>
      </w:pPr>
      <w:r>
        <w:rPr>
          <w:i/>
          <w:color w:val="666666"/>
          <w:sz w:val="14"/>
        </w:rPr>
        <w:t>1942–1992 CE — Asimov: Marx in Space!</w:t>
      </w:r>
    </w:p>
    <w:p>
      <w:pPr>
        <w:pStyle w:val="TOC2"/>
        <w:spacing w:before="0" w:after="0"/>
        <w:rPr/>
      </w:pPr>
      <w:r>
        <w:rPr>
          <w:sz w:val="16"/>
        </w:rPr>
        <w:t>Chapter 91: 1900–2026 CE — Controlled Opposition: Managed Disclosure and Gatekeeping</w:t>
      </w:r>
    </w:p>
    <w:p>
      <w:pPr>
        <w:pStyle w:val="TOC2"/>
        <w:spacing w:before="0" w:after="0"/>
        <w:rPr/>
      </w:pPr>
      <w:r>
        <w:rPr>
          <w:sz w:val="16"/>
        </w:rPr>
        <w:t>Chapter 92: 1898–2026 CE — False Flags: Architecture of Manufactured War</w:t>
      </w:r>
    </w:p>
    <w:p>
      <w:pPr>
        <w:pStyle w:val="TOC2"/>
        <w:spacing w:before="0" w:after="0"/>
        <w:rPr/>
      </w:pPr>
      <w:r>
        <w:rPr>
          <w:sz w:val="16"/>
        </w:rPr>
        <w:t>Chapter 93: 1492–2026 CE — Population Control: From 1492 to the Present</w:t>
      </w:r>
    </w:p>
    <w:p>
      <w:pPr>
        <w:pStyle w:val="TOC2"/>
        <w:spacing w:before="0" w:after="0"/>
        <w:rPr/>
      </w:pPr>
      <w:r>
        <w:rPr>
          <w:sz w:val="16"/>
        </w:rPr>
        <w:t>Chapter 94: 2009 CE — CERN's LHC &amp; Portal Technology</w:t>
      </w:r>
    </w:p>
    <w:p>
      <w:pPr>
        <w:pStyle w:val="TOC2"/>
        <w:spacing w:before="0" w:after="0"/>
        <w:rPr/>
      </w:pPr>
      <w:r>
        <w:rPr>
          <w:color w:val="CC3300"/>
          <w:sz w:val="16"/>
        </w:rPr>
        <w:t xml:space="preserve">● </w:t>
      </w:r>
      <w:r>
        <w:rPr>
          <w:color w:val="CC3300"/>
          <w:sz w:val="16"/>
        </w:rPr>
        <w:t>Chapter 95: 1898–2023 CE — Historical Antibodies: Independent Agents Against Erasure</w:t>
      </w:r>
    </w:p>
    <w:p>
      <w:pPr>
        <w:pStyle w:val="TOC3"/>
        <w:spacing w:before="0" w:after="0"/>
        <w:rPr/>
      </w:pPr>
      <w:r>
        <w:rPr>
          <w:i/>
          <w:color w:val="CC3300"/>
          <w:sz w:val="14"/>
        </w:rPr>
        <w:t xml:space="preserve">● </w:t>
      </w:r>
      <w:r>
        <w:rPr>
          <w:i/>
          <w:color w:val="CC3300"/>
          <w:sz w:val="14"/>
        </w:rPr>
        <w:t>Trump and the MAGA Revolution: The Antibody That Survived Crucifixion</w:t>
      </w:r>
    </w:p>
    <w:p>
      <w:pPr>
        <w:pStyle w:val="Normal"/>
        <w:spacing w:before="0" w:after="80"/>
        <w:rPr/>
        <w:sectPr>
          <w:type w:val="nextPage"/>
          <w:pgSz w:w="12240" w:h="15840"/>
          <w:pgMar w:left="850" w:right="850" w:gutter="0" w:header="0" w:top="680" w:footer="0" w:bottom="680"/>
          <w:pgNumType w:fmt="decimal"/>
          <w:formProt w:val="false"/>
          <w:textDirection w:val="lrTb"/>
          <w:docGrid w:type="default" w:linePitch="360" w:charSpace="0"/>
        </w:sectPr>
      </w:pPr>
      <w:r>
        <w:rPr/>
      </w:r>
      <w:r>
        <w:br w:type="page"/>
      </w:r>
    </w:p>
    <w:p>
      <w:pPr>
        <w:pStyle w:val="Heading1"/>
        <w:rPr/>
      </w:pPr>
      <w:r>
        <w:rPr>
          <w:b/>
        </w:rPr>
        <w:t>Part  — Introduction</w:t>
      </w:r>
    </w:p>
    <w:p>
      <w:pPr>
        <w:pStyle w:val="Normal"/>
        <w:jc w:val="center"/>
        <w:rPr/>
      </w:pPr>
      <w:r>
        <w:rPr/>
      </w:r>
    </w:p>
    <w:p>
      <w:pPr>
        <w:pStyle w:val="Caption"/>
        <w:rPr/>
      </w:pPr>
      <w:r>
        <w:rPr/>
        <w:t>Paradigm Threat: The Third Story</w:t>
      </w:r>
    </w:p>
    <w:p>
      <w:pPr>
        <w:pStyle w:val="Normal"/>
        <w:rPr>
          <w:b w:val="false"/>
          <w:i w:val="false"/>
          <w:color w:val="B8860B"/>
        </w:rPr>
      </w:pPr>
      <w:r>
        <w:rPr/>
      </w:r>
    </w:p>
    <w:p>
      <w:pPr>
        <w:pStyle w:val="Normal"/>
        <w:rPr/>
      </w:pPr>
      <w:r>
        <w:rPr>
          <w:b w:val="false"/>
          <w:i w:val="false"/>
        </w:rPr>
        <w:t>History as presented today resembles a tumbleweed — a tangled mass gathering layers of complexity with each tumble, so knotted that no one can trace a single thread back to where it started. That complexity is treated as inherent, as though the past is simply too messy for ordinary people to grasp. But history should look like a tree: a clear foundation, a trunk you can follow, and branches that diverge in ways anyone could understand at a single glance. The tumbleweed is not the natural shape of history — it is the shape of history after centuries of deliberate cutting, grafting, and tangling by those who benefit from the confusion. How do we get back to the tree? I started this timeline project because I had faith since I was young that technology can solve any human problem.</w:t>
      </w:r>
    </w:p>
    <w:p>
      <w:pPr>
        <w:pStyle w:val="Normal"/>
        <w:rPr/>
      </w:pPr>
      <w:r>
        <w:rPr>
          <w:b w:val="false"/>
          <w:i w:val="false"/>
        </w:rPr>
        <w:t xml:space="preserve">I was born and raised Jewish. The faith and history were hard for me to accept — things didn't add up. I was drawn to the emerging technologies of the 1980s: computers and software, which </w:t>
      </w:r>
      <w:r>
        <w:rPr>
          <w:b w:val="false"/>
          <w:i/>
        </w:rPr>
        <w:t>did</w:t>
      </w:r>
      <w:r>
        <w:rPr>
          <w:b w:val="false"/>
          <w:i w:val="false"/>
        </w:rPr>
        <w:t xml:space="preserve"> add up. They were causal, logical, honest. Technology became my religion. But the early 1990s optimism — the internet decentralizing knowledge, software solving the big problems — faded year by year. The technology I believed in was systematically captured: surveillance platforms replaced open protocols, artificial scarcity replaced abundance. By the 2010s the dystopia was undeniable.</w:t>
      </w:r>
    </w:p>
    <w:p>
      <w:pPr>
        <w:pStyle w:val="Normal"/>
        <w:rPr/>
      </w:pPr>
      <w:r>
        <w:rPr>
          <w:b w:val="false"/>
          <w:i w:val="false"/>
        </w:rPr>
        <w:t>Then I noticed the same pattern in history — the same cycles of war, oppression, and collapse repeating across centuries, as though the human species were either unwilling or unable to learn from the horrors of the past. The implication was that we had a greedy, warlike nature that could not be mitigated without some sort of unified world order. Once I started looking, the pattern appeared in nearly every other field too: medicine, energy, education, agriculture — wherever a technology threatened to decentralize power, it was captured or suppressed.</w:t>
      </w:r>
    </w:p>
    <w:p>
      <w:pPr>
        <w:pStyle w:val="Normal"/>
        <w:rPr/>
      </w:pPr>
      <w:r>
        <w:rPr>
          <w:b w:val="false"/>
          <w:i w:val="false"/>
        </w:rPr>
        <w:t>If history was written by the victors, then centuries of warfare produced a highly redacted, winner's-eye view — scrubbed, compressed, and reordered to serve those who controlled record-keeping.</w:t>
      </w:r>
    </w:p>
    <w:p>
      <w:pPr>
        <w:pStyle w:val="Normal"/>
        <w:rPr/>
      </w:pPr>
      <w:r>
        <w:rPr>
          <w:b w:val="false"/>
          <w:i w:val="false"/>
        </w:rPr>
        <w:t xml:space="preserve">As a software developer, I'm wired toward causality. I want to know </w:t>
      </w:r>
      <w:r>
        <w:rPr>
          <w:b w:val="false"/>
          <w:i/>
        </w:rPr>
        <w:t>why</w:t>
      </w:r>
      <w:r>
        <w:rPr>
          <w:b w:val="false"/>
          <w:i w:val="false"/>
        </w:rPr>
        <w:t xml:space="preserve"> something works the way it does, and trace the chain back to its origin. In software, there are no biases — code either runs or it doesn't. Cause follows effect.</w:t>
      </w:r>
    </w:p>
    <w:p>
      <w:pPr>
        <w:pStyle w:val="Normal"/>
        <w:rPr/>
      </w:pPr>
      <w:r>
        <w:rPr>
          <w:b w:val="false"/>
          <w:i w:val="false"/>
        </w:rPr>
        <w:t>Applying that principle to history — using modern software tools, especially AI agents to OCR old books in multiple languages and cross-reference conclusions — I set out to reconstruct a potentially highly redacted history of Earth. This timeline is the result.</w:t>
      </w:r>
    </w:p>
    <w:p>
      <w:pPr>
        <w:pStyle w:val="Normal"/>
        <w:rPr/>
      </w:pPr>
      <w:r>
        <w:rPr>
          <w:b w:val="false"/>
          <w:i w:val="false"/>
        </w:rPr>
        <w:t xml:space="preserve">What pushed me in this direction was censorship. Around 2010, I noticed a flourishing of controversial ideas on Facebook, Google+, and the early social web — everything from Hollow Earth to unorthodox WW2 history to suppressed science. Then, within a year or two, all of it vanished. Not organically. Systematically. Shadowbanned, permabanned, demonetized, downvoted, downranked — every mechanism available was deployed against specific topics with striking consistency. I started collecting those materials before they disappeared, building an archive I eventually released as the </w:t>
      </w:r>
      <w:r>
        <w:rPr>
          <w:b/>
          <w:i w:val="false"/>
        </w:rPr>
        <w:t>Paradigm Threat Repository</w:t>
      </w:r>
      <w:r>
        <w:rPr>
          <w:b w:val="false"/>
          <w:i w:val="false"/>
        </w:rPr>
        <w:t>.</w:t>
      </w:r>
    </w:p>
    <w:p>
      <w:pPr>
        <w:pStyle w:val="Normal"/>
        <w:rPr/>
      </w:pPr>
      <w:r>
        <w:rPr>
          <w:b w:val="false"/>
          <w:i w:val="false"/>
        </w:rPr>
        <w:t xml:space="preserve">The aggression of that censorship was, paradoxically, the most clarifying signal I received. When a topic is ignored, it may simply be fringe. When a topic is </w:t>
      </w:r>
      <w:r>
        <w:rPr>
          <w:b w:val="false"/>
          <w:i/>
        </w:rPr>
        <w:t>actively suppressed</w:t>
      </w:r>
      <w:r>
        <w:rPr>
          <w:b w:val="false"/>
          <w:i w:val="false"/>
        </w:rPr>
        <w:t xml:space="preserve"> with coordinated effort across every major platform simultaneously, it means something else. The blatancy of it points in one direction: the "first story" (mainstream consensus) and the "second story" (conspiracy counter-narrative) are both managed — a divide-and-conquer structure designed to exhaust us in arguments between two controlled positions, preventing us from perceiving a third story altogether.</w:t>
      </w:r>
    </w:p>
    <w:p>
      <w:pPr>
        <w:pStyle w:val="Heading2"/>
        <w:rPr/>
      </w:pPr>
      <w:r>
        <w:rPr/>
        <w:t>The Paradigm Threat</w:t>
      </w:r>
    </w:p>
    <w:p>
      <w:pPr>
        <w:pStyle w:val="Normal"/>
        <w:rPr/>
      </w:pPr>
      <w:r>
        <w:rPr>
          <w:b w:val="false"/>
          <w:i w:val="false"/>
        </w:rPr>
        <w:t xml:space="preserve">This project exists to pose an </w:t>
      </w:r>
      <w:r>
        <w:rPr>
          <w:b/>
          <w:i w:val="false"/>
        </w:rPr>
        <w:t>intellectual challenge</w:t>
      </w:r>
      <w:r>
        <w:rPr>
          <w:b w:val="false"/>
          <w:i w:val="false"/>
        </w:rPr>
        <w:t xml:space="preserve"> to the reigning paradigms of every discipline — history, cosmology, medicine, physics, religion, finance, governance fortified with sourced research, cross-referenced chronologies, AI Agent analysis, and a willingness to follow the evidence wherever it leads.</w:t>
      </w:r>
    </w:p>
    <w:p>
      <w:pPr>
        <w:pStyle w:val="Normal"/>
        <w:rPr/>
      </w:pPr>
      <w:r>
        <w:rPr>
          <w:b w:val="false"/>
          <w:i w:val="false"/>
        </w:rPr>
        <w:t xml:space="preserve">Every field has its orthodoxy. Every orthodoxy has its gatekeepers. And every gatekeeper benefits from the assumption that the paradigm they protect is settled, unassailable, not worth re-examining. </w:t>
      </w:r>
      <w:r>
        <w:rPr>
          <w:b/>
          <w:i w:val="false"/>
        </w:rPr>
        <w:t>We disagree.</w:t>
      </w:r>
      <w:r>
        <w:rPr>
          <w:b w:val="false"/>
          <w:i w:val="false"/>
        </w:rPr>
        <w:t xml:space="preserve"> If a paradigm cannot survive scrutiny, it does not deserve the authority it claims. If it </w:t>
      </w:r>
      <w:r>
        <w:rPr>
          <w:b w:val="false"/>
          <w:i/>
        </w:rPr>
        <w:t>can</w:t>
      </w:r>
      <w:r>
        <w:rPr>
          <w:b w:val="false"/>
          <w:i w:val="false"/>
        </w:rPr>
        <w:t xml:space="preserve"> survive scrutiny, then the challenge only makes it stronger. Either way, the challenge is the point.</w:t>
      </w:r>
    </w:p>
    <w:p>
      <w:pPr>
        <w:pStyle w:val="Normal"/>
        <w:rPr/>
      </w:pPr>
      <w:r>
        <w:rPr>
          <w:b w:val="false"/>
          <w:i w:val="false"/>
        </w:rPr>
        <w:t xml:space="preserve">This project is armed with history and ready to debate. We invite scholars, skeptics, and anyone willing to think critically to engage with the material on its merits. We are not asking anyone to believe — we are asking everyone to </w:t>
      </w:r>
      <w:r>
        <w:rPr>
          <w:b w:val="false"/>
          <w:i/>
        </w:rPr>
        <w:t>look</w:t>
      </w:r>
      <w:r>
        <w:rPr>
          <w:b w:val="false"/>
          <w:i w:val="false"/>
        </w:rPr>
        <w:t>.</w:t>
      </w:r>
    </w:p>
    <w:p>
      <w:pPr>
        <w:pStyle w:val="Heading2"/>
        <w:rPr>
          <w:b/>
        </w:rPr>
      </w:pPr>
      <w:r>
        <w:rPr>
          <w:b/>
        </w:rPr>
      </w:r>
    </w:p>
    <w:p>
      <w:pPr>
        <w:pStyle w:val="Heading2"/>
        <w:rPr>
          <w:b/>
        </w:rPr>
      </w:pPr>
      <w:r>
        <w:rPr>
          <w:b/>
        </w:rPr>
        <w:t>Chapter 1: The 225-Day Year</w:t>
      </w:r>
    </w:p>
    <w:p>
      <w:pPr>
        <w:pStyle w:val="Normal"/>
        <w:rPr/>
      </w:pPr>
      <w:r>
        <w:rPr>
          <w:b w:val="false"/>
          <w:i/>
        </w:rPr>
        <w:t>Evidence from the Sumerian King-List</w:t>
      </w:r>
    </w:p>
    <w:p>
      <w:pPr>
        <w:pStyle w:val="Normal"/>
        <w:rPr/>
      </w:pPr>
      <w:r>
        <w:rPr>
          <w:b w:val="false"/>
          <w:i w:val="false"/>
        </w:rPr>
        <w:t xml:space="preserve">Saturn was called </w:t>
      </w:r>
      <w:hyperlink r:id="rId3">
        <w:r>
          <w:rPr>
            <w:rStyle w:val="Style"/>
            <w:b w:val="false"/>
            <w:i w:val="false"/>
            <w:color w:val="B8860B"/>
          </w:rPr>
          <w:t>Kronos</w:t>
        </w:r>
      </w:hyperlink>
      <w:r>
        <w:rPr>
          <w:b w:val="false"/>
          <w:i w:val="false"/>
        </w:rPr>
        <w:t xml:space="preserve">, the </w:t>
      </w:r>
      <w:r>
        <w:rPr>
          <w:b w:val="false"/>
          <w:i/>
        </w:rPr>
        <w:t>God before time began</w:t>
      </w:r>
      <w:r>
        <w:rPr>
          <w:b w:val="false"/>
          <w:i w:val="false"/>
        </w:rPr>
        <w:t>. Before clocks and calendars, planetary positions were the only way to measure time. When Saturn's system joined the Sun's orbit, time began. Our current Sun was still hidden behind Saturn (and Jupiter). Earth's spin remained constant — a "day" stayed the same — but the year was only 225 days: 40% faster than today's 365.25-day orbit. Year-lengths shifted periodically as Earth jumped between orbits, each jump drawing less solar energy and producing a slower orbit.</w:t>
      </w:r>
    </w:p>
    <w:p>
      <w:pPr>
        <w:pStyle w:val="Heading2"/>
        <w:rPr/>
      </w:pPr>
      <w:r>
        <w:rPr/>
        <w:t>Kronos = Time</w:t>
      </w:r>
    </w:p>
    <w:p>
      <w:pPr>
        <w:pStyle w:val="Normal"/>
        <w:rPr/>
      </w:pPr>
      <w:r>
        <w:rPr>
          <w:b w:val="false"/>
          <w:i w:val="false"/>
        </w:rPr>
        <w:t>Saturn or Kronos translates to "time." The visible crescent of Saturn — lit by the real Sun at Saturn's rim — was the first clock. As Earth rotated beneath Saturn, this crescent swept counterclockwise, brightening at night and dimming by day.</w:t>
      </w:r>
    </w:p>
    <w:p>
      <w:pPr>
        <w:pStyle w:val="Quote"/>
        <w:rPr/>
      </w:pPr>
      <w:r>
        <w:rPr>
          <w:b w:val="false"/>
          <w:i/>
          <w:sz w:val="16"/>
        </w:rPr>
        <w:t>"We can actually claim that Saturn invented time — when it no longer blazed, but had reduced its output or dropped to dark mode. That is when a crescent would be seen at the edge of the globe, rotating counterclockwise on a daily basis."</w:t>
      </w:r>
      <w:r>
        <w:rPr>
          <w:b w:val="false"/>
          <w:i w:val="false"/>
          <w:sz w:val="16"/>
        </w:rPr>
        <w:t xml:space="preserve"> — Jno Cook, </w:t>
      </w:r>
      <w:r>
        <w:rPr>
          <w:b w:val="false"/>
          <w:i/>
          <w:sz w:val="16"/>
        </w:rPr>
        <w:t>Saturnian Cosmology</w:t>
      </w:r>
      <w:r>
        <w:rPr>
          <w:b w:val="false"/>
          <w:i w:val="false"/>
          <w:sz w:val="16"/>
        </w:rPr>
        <w:t>, Chapter 14</w:t>
      </w:r>
    </w:p>
    <w:p>
      <w:pPr>
        <w:pStyle w:val="Normal"/>
        <w:rPr/>
      </w:pPr>
      <w:r>
        <w:rPr>
          <w:b w:val="false"/>
          <w:i w:val="false"/>
        </w:rPr>
        <w:t>When Jupiter displaced Saturn after 3147 BC, Jupiter replaced "the older God of Time and Beginnings."</w:t>
      </w:r>
    </w:p>
    <w:p>
      <w:pPr>
        <w:pStyle w:val="Normal"/>
        <w:rPr/>
      </w:pPr>
      <w:r>
        <w:rPr>
          <w:b w:val="false"/>
          <w:i w:val="false"/>
        </w:rPr>
        <w:t>Sumerian King-List (</w:t>
      </w:r>
      <w:r>
        <w:rPr>
          <w:b w:val="false"/>
          <w:i/>
        </w:rPr>
        <w:t>List of Kings Before the Flood</w:t>
      </w:r>
      <w:r>
        <w:rPr>
          <w:b w:val="false"/>
          <w:i w:val="false"/>
        </w:rPr>
        <w:t xml:space="preserve">) — reigns in tens of thousands of "years" dismissed as fantastical. Cook: these record </w:t>
      </w:r>
      <w:r>
        <w:rPr>
          <w:b w:val="false"/>
          <w:i/>
        </w:rPr>
        <w:t>days</w:t>
      </w:r>
      <w:r>
        <w:rPr>
          <w:b w:val="false"/>
          <w:i w:val="false"/>
        </w:rPr>
        <w:t>; only a 225-day year resolves totals into whole-number multiples of 32 years. Grand total: 241,200 days = 1,072 years. A 225-day year = 0.72 AU (Venus's orbit); Kepler's third law gives ~214 days for 0.70 AU — consistent. The 360→365.24 jump (747 BC) corroborated by calendar reforms across Egypt, Rome, Greece, Mesopotamia. C-14: shorter-year chronology tracks INTCAL98 calibration.</w:t>
      </w:r>
    </w:p>
    <w:p>
      <w:pPr>
        <w:pStyle w:val="Normal"/>
        <w:rPr/>
      </w:pPr>
      <w:r>
        <w:rPr>
          <w:b w:val="false"/>
          <w:i w:val="false"/>
        </w:rPr>
        <w:t xml:space="preserve">Full tables: </w:t>
      </w:r>
      <w:hyperlink r:id="rId4">
        <w:r>
          <w:rPr>
            <w:rStyle w:val="Style"/>
            <w:b w:val="false"/>
            <w:i w:val="false"/>
            <w:color w:val="B8860B"/>
          </w:rPr>
          <w:t>Year-Length and Calendar Evidence</w:t>
        </w:r>
      </w:hyperlink>
      <w:r>
        <w:rPr>
          <w:b w:val="false"/>
          <w:i w:val="false"/>
        </w:rPr>
        <w:t>.</w:t>
      </w:r>
    </w:p>
    <w:p>
      <w:pPr>
        <w:pStyle w:val="Heading1"/>
        <w:rPr>
          <w:b/>
        </w:rPr>
      </w:pPr>
      <w:r>
        <w:rPr>
          <w:b/>
        </w:rPr>
        <w:t>Part V — 1053 CE — 11th Century C.E. Common Era Begins</w:t>
      </w:r>
    </w:p>
    <w:p>
      <w:pPr>
        <w:pStyle w:val="Quote"/>
        <w:rPr/>
      </w:pPr>
      <w:r>
        <w:rPr>
          <w:b w:val="false"/>
          <w:i w:val="false"/>
          <w:sz w:val="16"/>
        </w:rPr>
        <w:t>"I establish my covenant with you: Never again will all life be destroyed by the waters of a flood; never again will there be a flood to destroy the earth." -</w:t>
      </w:r>
      <w:hyperlink r:id="rId5">
        <w:r>
          <w:rPr>
            <w:rStyle w:val="Style"/>
            <w:b w:val="false"/>
            <w:i w:val="false"/>
            <w:color w:val="B8860B"/>
            <w:sz w:val="16"/>
          </w:rPr>
          <w:t xml:space="preserve"> Genesis 9:11</w:t>
        </w:r>
      </w:hyperlink>
    </w:p>
    <w:p>
      <w:pPr>
        <w:pStyle w:val="Normal"/>
        <w:jc w:val="center"/>
        <w:rPr/>
      </w:pPr>
      <w:r>
        <w:rPr/>
        <w:drawing>
          <wp:inline distT="0" distB="0" distL="0" distR="0">
            <wp:extent cx="3657600" cy="24384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6"/>
                    <a:stretch>
                      <a:fillRect/>
                    </a:stretch>
                  </pic:blipFill>
                  <pic:spPr bwMode="auto">
                    <a:xfrm>
                      <a:off x="0" y="0"/>
                      <a:ext cx="3657600" cy="2438400"/>
                    </a:xfrm>
                    <a:prstGeom prst="rect">
                      <a:avLst/>
                    </a:prstGeom>
                    <a:noFill/>
                  </pic:spPr>
                </pic:pic>
              </a:graphicData>
            </a:graphic>
          </wp:inline>
        </w:drawing>
      </w:r>
    </w:p>
    <w:p>
      <w:pPr>
        <w:pStyle w:val="Caption"/>
        <w:rPr/>
      </w:pPr>
      <w:r>
        <w:rPr/>
        <w:t>The New Saviour — our Sun — rises as the dominant celestial body and civilization enters a new era of stability.</w:t>
      </w:r>
    </w:p>
    <w:p>
      <w:pPr>
        <w:pStyle w:val="Normal"/>
        <w:rPr/>
      </w:pPr>
      <w:r>
        <w:rPr>
          <w:b w:val="false"/>
          <w:i w:val="false"/>
        </w:rPr>
        <w:t xml:space="preserve">With the </w:t>
      </w:r>
      <w:r>
        <w:rPr>
          <w:b w:val="false"/>
          <w:i/>
        </w:rPr>
        <w:t>age of cataclysm</w:t>
      </w:r>
      <w:r>
        <w:rPr>
          <w:b w:val="false"/>
          <w:i w:val="false"/>
        </w:rPr>
        <w:t xml:space="preserve"> ended, Earth bloomed with life. Predictable seasons prompted trade routes between cities. The red rings of the Absu faded revealing clear sky. The old Gods departed to become specks in the night sky, replaced by the </w:t>
      </w:r>
      <w:r>
        <w:rPr>
          <w:b w:val="false"/>
          <w:i/>
        </w:rPr>
        <w:t>new Saviour</w:t>
      </w:r>
      <w:r>
        <w:rPr>
          <w:b w:val="false"/>
          <w:i w:val="false"/>
        </w:rPr>
        <w:t xml:space="preserve">, our Sun. The </w:t>
      </w:r>
      <w:hyperlink r:id="rId7">
        <w:r>
          <w:rPr>
            <w:rStyle w:val="Style"/>
            <w:b w:val="false"/>
            <w:i/>
            <w:color w:val="B8860B"/>
          </w:rPr>
          <w:t>rainbow</w:t>
        </w:r>
      </w:hyperlink>
      <w:r>
        <w:rPr>
          <w:b w:val="false"/>
          <w:i w:val="false"/>
        </w:rPr>
        <w:t xml:space="preserve"> became a common phenomenon signifying the promise of </w:t>
      </w:r>
      <w:r>
        <w:rPr>
          <w:b w:val="false"/>
          <w:i/>
        </w:rPr>
        <w:t>no more creation</w:t>
      </w:r>
      <w:r>
        <w:rPr>
          <w:b w:val="false"/>
          <w:i w:val="false"/>
        </w:rPr>
        <w:t>.</w:t>
      </w:r>
    </w:p>
    <w:p>
      <w:pPr>
        <w:pStyle w:val="Heading2"/>
        <w:rPr/>
      </w:pPr>
      <w:r>
        <w:rPr/>
        <w:t>A Global Explosion of Cities</w:t>
      </w:r>
    </w:p>
    <w:p>
      <w:pPr>
        <w:pStyle w:val="Normal"/>
        <w:rPr/>
      </w:pPr>
      <w:r>
        <w:rPr>
          <w:b w:val="false"/>
          <w:i w:val="false"/>
        </w:rPr>
        <w:t xml:space="preserve">According to Fomenko, the 11th century was </w:t>
      </w:r>
      <w:r>
        <w:rPr>
          <w:b/>
          <w:i w:val="false"/>
        </w:rPr>
        <w:t>the dawn of civilization itself</w:t>
      </w:r>
      <w:r>
        <w:rPr>
          <w:b w:val="false"/>
          <w:i w:val="false"/>
        </w:rPr>
        <w:t>:</w:t>
      </w:r>
    </w:p>
    <w:p>
      <w:pPr>
        <w:pStyle w:val="Quote"/>
        <w:rPr/>
      </w:pPr>
      <w:r>
        <w:rPr>
          <w:b w:val="false"/>
          <w:i w:val="false"/>
          <w:sz w:val="16"/>
        </w:rPr>
        <w:t>"The epoch prior to the XI century should be envisioned as 'primeval,' the dawn of civilization. During that time people still dwelt in caves and dug-outs." -</w:t>
      </w:r>
      <w:hyperlink r:id="rId8">
        <w:r>
          <w:rPr>
            <w:rStyle w:val="Style"/>
            <w:b w:val="false"/>
            <w:i w:val="false"/>
            <w:color w:val="B8860B"/>
            <w:sz w:val="16"/>
          </w:rPr>
          <w:t>How It Was In Reality, Introduction</w:t>
        </w:r>
      </w:hyperlink>
    </w:p>
    <w:p>
      <w:pPr>
        <w:pStyle w:val="Normal"/>
        <w:rPr/>
      </w:pPr>
      <w:r>
        <w:rPr>
          <w:b/>
          <w:i w:val="false"/>
        </w:rPr>
        <w:t>Writing</w:t>
      </w:r>
      <w:r>
        <w:rPr>
          <w:b w:val="false"/>
          <w:i w:val="false"/>
        </w:rPr>
        <w:t xml:space="preserve">, the </w:t>
      </w:r>
      <w:r>
        <w:rPr>
          <w:b/>
          <w:i w:val="false"/>
        </w:rPr>
        <w:t>first calendar</w:t>
      </w:r>
      <w:r>
        <w:rPr>
          <w:b w:val="false"/>
          <w:i w:val="false"/>
        </w:rPr>
        <w:t xml:space="preserve"> (Paschal cycle), </w:t>
      </w:r>
      <w:r>
        <w:rPr>
          <w:b/>
          <w:i w:val="false"/>
        </w:rPr>
        <w:t>astronomy</w:t>
      </w:r>
      <w:r>
        <w:rPr>
          <w:b w:val="false"/>
          <w:i w:val="false"/>
        </w:rPr>
        <w:t xml:space="preserve">, and Ptolemy's </w:t>
      </w:r>
      <w:r>
        <w:rPr>
          <w:b w:val="false"/>
          <w:i/>
        </w:rPr>
        <w:t>Almagest</w:t>
      </w:r>
      <w:r>
        <w:rPr>
          <w:b w:val="false"/>
          <w:i w:val="false"/>
        </w:rPr>
        <w:t xml:space="preserve"> all originated no earlier than X–XI centuries. The entire apparatus of recorded civilization — cities, scripts, timekeeping, science — </w:t>
      </w:r>
      <w:r>
        <w:rPr>
          <w:b/>
          <w:i w:val="false"/>
        </w:rPr>
        <w:t>bloomed simultaneously in a single century</w:t>
      </w:r>
      <w:r>
        <w:rPr>
          <w:b w:val="false"/>
          <w:i w:val="false"/>
        </w:rPr>
        <w:t xml:space="preserve">. For Deep State origins, see </w:t>
      </w:r>
      <w:hyperlink r:id="rId9">
        <w:r>
          <w:rPr>
            <w:rStyle w:val="Style"/>
            <w:b w:val="false"/>
            <w:i w:val="false"/>
            <w:color w:val="B8860B"/>
          </w:rPr>
          <w:t>Atlantis and the Tree of Knowledge</w:t>
        </w:r>
      </w:hyperlink>
      <w:r>
        <w:rPr>
          <w:b w:val="false"/>
          <w:i w:val="false"/>
        </w:rPr>
        <w:t>.</w:t>
      </w:r>
    </w:p>
    <w:p>
      <w:pPr>
        <w:pStyle w:val="Normal"/>
        <w:rPr/>
      </w:pPr>
      <w:r>
        <w:rPr>
          <w:b w:val="false"/>
          <w:i w:val="false"/>
        </w:rPr>
        <w:t xml:space="preserve">In the Mediterranean, a kingdom emerged with its capital in the Nile Delta (Alexandria). In the XI century the metropolis moved to the Bosporus — </w:t>
      </w:r>
      <w:r>
        <w:rPr>
          <w:b/>
          <w:i w:val="false"/>
        </w:rPr>
        <w:t>Yoros</w:t>
      </w:r>
      <w:r>
        <w:rPr>
          <w:b w:val="false"/>
          <w:i w:val="false"/>
        </w:rPr>
        <w:t xml:space="preserve"> (Jerusalem / Czar-Grad / Troy). In Mesoamerica, the Toltec empire rose at Tula and conquered </w:t>
      </w:r>
      <w:r>
        <w:rPr>
          <w:b/>
          <w:i w:val="false"/>
        </w:rPr>
        <w:t>Chichen Itza</w:t>
      </w:r>
      <w:r>
        <w:rPr>
          <w:b w:val="false"/>
          <w:i w:val="false"/>
        </w:rPr>
        <w:t xml:space="preserve"> around 1000 AD. In China, </w:t>
      </w:r>
      <w:r>
        <w:rPr>
          <w:b/>
          <w:i w:val="false"/>
        </w:rPr>
        <w:t>Yu-Huang</w:t>
      </w:r>
      <w:r>
        <w:rPr>
          <w:b w:val="false"/>
          <w:i w:val="false"/>
        </w:rPr>
        <w:t xml:space="preserve"> (Jade Emperor) had his cult begin in the 11th century with first temple built in 1115. This simultaneous founding across every continent points to a </w:t>
      </w:r>
      <w:r>
        <w:rPr>
          <w:b/>
          <w:i w:val="false"/>
        </w:rPr>
        <w:t>global reset event</w:t>
      </w:r>
      <w:r>
        <w:rPr>
          <w:b w:val="false"/>
          <w:i w:val="false"/>
        </w:rPr>
        <w:t>.</w:t>
      </w:r>
    </w:p>
    <w:p>
      <w:pPr>
        <w:pStyle w:val="Heading2"/>
        <w:rPr/>
      </w:pPr>
      <w:r>
        <w:rPr/>
        <w:t>The New Sun Religion</w:t>
      </w:r>
    </w:p>
    <w:p>
      <w:pPr>
        <w:pStyle w:val="Normal"/>
        <w:rPr/>
      </w:pPr>
      <w:r>
        <w:rPr>
          <w:b w:val="false"/>
          <w:i w:val="false"/>
        </w:rPr>
        <w:t xml:space="preserve">The old planetary Gods (Saturn, Jupiter, Venus, Mars) had physically departed. An entirely new God dominated — our Sun — always present but now, with cleared skies, undeniable. Cook writes that </w:t>
      </w:r>
      <w:r>
        <w:rPr>
          <w:b w:val="false"/>
          <w:i/>
        </w:rPr>
        <w:t>"the title of 'Sun' was transferred from Saturn to Jupiter everywhere"</w:t>
      </w:r>
      <w:r>
        <w:rPr>
          <w:b w:val="false"/>
          <w:i w:val="false"/>
        </w:rPr>
        <w:t xml:space="preserve"> during the upheavals — and ultimately landed on our Sun. See </w:t>
      </w:r>
      <w:hyperlink r:id="rId10">
        <w:r>
          <w:rPr>
            <w:rStyle w:val="Style"/>
            <w:b w:val="false"/>
            <w:i w:val="false"/>
            <w:color w:val="B8860B"/>
          </w:rPr>
          <w:t>The Sun Replaces Mars as the New Saviour</w:t>
        </w:r>
      </w:hyperlink>
      <w:r>
        <w:rPr>
          <w:b w:val="false"/>
          <w:i w:val="false"/>
        </w:rPr>
        <w:t xml:space="preserve"> for full analysis.</w:t>
      </w:r>
    </w:p>
    <w:p>
      <w:pPr>
        <w:pStyle w:val="Heading2"/>
        <w:rPr/>
      </w:pPr>
      <w:r>
        <w:rPr/>
        <w:t>Cities Built Like Circuit Boards?</w:t>
      </w:r>
    </w:p>
    <w:p>
      <w:pPr>
        <w:pStyle w:val="Normal"/>
        <w:rPr/>
      </w:pPr>
      <w:r>
        <w:rPr>
          <w:b w:val="false"/>
          <w:i w:val="false"/>
        </w:rPr>
        <w:t xml:space="preserve">An emerging investigation compares ancient city layouts to </w:t>
      </w:r>
      <w:r>
        <w:rPr>
          <w:b/>
          <w:i w:val="false"/>
        </w:rPr>
        <w:t>printed circuit boards</w:t>
      </w:r>
      <w:r>
        <w:rPr>
          <w:b w:val="false"/>
          <w:i w:val="false"/>
        </w:rPr>
        <w:t xml:space="preserve"> — arguing cities channelled electromagnetic energy from the Sun and telluric currents. Three pillars support this:</w:t>
      </w:r>
    </w:p>
    <w:p>
      <w:pPr>
        <w:pStyle w:val="ListNumber"/>
        <w:numPr>
          <w:ilvl w:val="0"/>
          <w:numId w:val="4"/>
        </w:numPr>
        <w:spacing w:before="20" w:after="20"/>
        <w:contextualSpacing/>
        <w:rPr/>
      </w:pPr>
      <w:r>
        <w:rPr>
          <w:b/>
          <w:i w:val="false"/>
          <w:sz w:val="16"/>
        </w:rPr>
        <w:t>The Electric Universe</w:t>
      </w:r>
      <w:r>
        <w:rPr>
          <w:b w:val="false"/>
          <w:i w:val="false"/>
          <w:sz w:val="16"/>
        </w:rPr>
        <w:t>: electromagnetic forces govern everything from particles to galaxies. Human settlements exist inside this circuit.</w:t>
      </w:r>
    </w:p>
    <w:p>
      <w:pPr>
        <w:pStyle w:val="ListNumber"/>
        <w:numPr>
          <w:ilvl w:val="0"/>
          <w:numId w:val="4"/>
        </w:numPr>
        <w:spacing w:before="20" w:after="20"/>
        <w:contextualSpacing/>
        <w:rPr/>
      </w:pPr>
      <w:r>
        <w:rPr>
          <w:b/>
          <w:i w:val="false"/>
          <w:sz w:val="16"/>
        </w:rPr>
        <w:t>Astronomically-aligned city planning</w:t>
      </w:r>
      <w:r>
        <w:rPr>
          <w:b w:val="false"/>
          <w:i w:val="false"/>
          <w:sz w:val="16"/>
        </w:rPr>
        <w:t>: Cook demonstrates Mesoamerican sites (Izapa, Chichen Itza) were precisely aligned to solar/planetary dates.</w:t>
      </w:r>
    </w:p>
    <w:p>
      <w:pPr>
        <w:pStyle w:val="ListNumber"/>
        <w:numPr>
          <w:ilvl w:val="0"/>
          <w:numId w:val="4"/>
        </w:numPr>
        <w:spacing w:before="20" w:after="20"/>
        <w:contextualSpacing/>
        <w:rPr/>
      </w:pPr>
      <w:r>
        <w:rPr>
          <w:b/>
          <w:i w:val="false"/>
          <w:sz w:val="16"/>
        </w:rPr>
        <w:t>"As Above, So Below"</w:t>
      </w:r>
      <w:r>
        <w:rPr>
          <w:b w:val="false"/>
          <w:i w:val="false"/>
          <w:sz w:val="16"/>
        </w:rPr>
        <w:t xml:space="preserve">: Ancient cultures reproduced cosmic plans in ceremonial architecture. If the cosmos operates electrically and cities mirror the cosmos, then </w:t>
      </w:r>
      <w:r>
        <w:rPr>
          <w:b/>
          <w:i w:val="false"/>
          <w:sz w:val="16"/>
        </w:rPr>
        <w:t>cities were electrical systems</w:t>
      </w:r>
      <w:r>
        <w:rPr>
          <w:b w:val="false"/>
          <w:i w:val="false"/>
          <w:sz w:val="16"/>
        </w:rPr>
        <w:t xml:space="preserve"> receiving energy from above and below.</w:t>
      </w:r>
    </w:p>
    <w:p>
      <w:pPr>
        <w:pStyle w:val="Normal"/>
        <w:rPr/>
      </w:pPr>
      <w:r>
        <w:rPr>
          <w:b w:val="false"/>
          <w:i w:val="false"/>
        </w:rPr>
        <w:t xml:space="preserve">The </w:t>
      </w:r>
      <w:r>
        <w:rPr>
          <w:b/>
          <w:i w:val="false"/>
        </w:rPr>
        <w:t>Romanesque cathedral boom</w:t>
      </w:r>
      <w:r>
        <w:rPr>
          <w:b w:val="false"/>
          <w:i w:val="false"/>
        </w:rPr>
        <w:t xml:space="preserve"> (11th century) may be the most visible evidence: hundreds of massive stone structures, oriented east, built with specific proportions, topped with copper and gold spires — appearing across Europe simultaneously. Energy-harvesting nodes in a continent-wide grid?</w:t>
      </w:r>
    </w:p>
    <w:p>
      <w:pPr>
        <w:pStyle w:val="Normal"/>
        <w:rPr/>
      </w:pPr>
      <w:r>
        <w:rPr>
          <w:b w:val="false"/>
          <w:i w:val="false"/>
        </w:rPr>
        <w:t>This inquiry remains open — more common in Tartarian/mudflood research than academic-catastrophist sources. But the foundational physics, archaeological evidence, and philosophical framework are present in the archives.</w:t>
      </w:r>
    </w:p>
    <w:p>
      <w:pPr>
        <w:pStyle w:val="Normal"/>
        <w:spacing w:before="0" w:after="80"/>
        <w:rPr/>
        <w:sectPr>
          <w:headerReference w:type="even" r:id="rId11"/>
          <w:headerReference w:type="default" r:id="rId12"/>
          <w:headerReference w:type="first" r:id="rId13"/>
          <w:footerReference w:type="even" r:id="rId14"/>
          <w:footerReference w:type="default" r:id="rId15"/>
          <w:footerReference w:type="first" r:id="rId16"/>
          <w:type w:val="nextPage"/>
          <w:pgSz w:w="12240" w:h="15840"/>
          <w:pgMar w:left="850" w:right="850" w:gutter="0" w:header="720" w:top="777" w:footer="720" w:bottom="777"/>
          <w:pgNumType w:fmt="decimal"/>
          <w:formProt w:val="false"/>
          <w:titlePg/>
          <w:textDirection w:val="lrTb"/>
          <w:docGrid w:type="default" w:linePitch="360" w:charSpace="0"/>
        </w:sectPr>
      </w:pPr>
      <w:r>
        <w:rPr/>
      </w:r>
    </w:p>
    <w:p>
      <w:pPr>
        <w:pStyle w:val="Heading2"/>
        <w:rPr/>
      </w:pPr>
      <w:r>
        <w:rPr>
          <w:b/>
        </w:rPr>
        <w:t>Chapter 2: 1421 CE — Meteorite falls on Yaroslavl</w:t>
      </w:r>
    </w:p>
    <w:p>
      <w:pPr>
        <w:pStyle w:val="Normal"/>
        <w:jc w:val="center"/>
        <w:rPr/>
      </w:pPr>
      <w:r>
        <w:rPr/>
        <w:drawing>
          <wp:inline distT="0" distB="0" distL="0" distR="0">
            <wp:extent cx="3657600" cy="24384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17"/>
                    <a:stretch>
                      <a:fillRect/>
                    </a:stretch>
                  </pic:blipFill>
                  <pic:spPr bwMode="auto">
                    <a:xfrm>
                      <a:off x="0" y="0"/>
                      <a:ext cx="3657600" cy="2438400"/>
                    </a:xfrm>
                    <a:prstGeom prst="rect">
                      <a:avLst/>
                    </a:prstGeom>
                    <a:noFill/>
                  </pic:spPr>
                </pic:pic>
              </a:graphicData>
            </a:graphic>
          </wp:inline>
        </w:drawing>
      </w:r>
    </w:p>
    <w:p>
      <w:pPr>
        <w:pStyle w:val="Caption"/>
        <w:rPr/>
      </w:pPr>
      <w:r>
        <w:rPr/>
        <w:t>1421 CE — Meteorite falls on Yaroslavl</w:t>
      </w:r>
    </w:p>
    <w:p>
      <w:pPr>
        <w:pStyle w:val="Normal"/>
        <w:rPr/>
      </w:pPr>
      <w:r>
        <w:rPr>
          <w:b w:val="false"/>
          <w:i w:val="false"/>
        </w:rPr>
        <w:t xml:space="preserve">In the year 1421, a meteor unexpectedly fell to the earth out of a fiery cloud near </w:t>
      </w:r>
      <w:hyperlink r:id="rId18">
        <w:r>
          <w:rPr>
            <w:rStyle w:val="Style"/>
            <w:b w:val="false"/>
            <w:i w:val="false"/>
            <w:color w:val="B8860B"/>
          </w:rPr>
          <w:t>Yaroslavl</w:t>
        </w:r>
      </w:hyperlink>
      <w:r>
        <w:rPr>
          <w:b w:val="false"/>
          <w:i w:val="false"/>
        </w:rPr>
        <w:t xml:space="preserve"> leaving behind a giant meteorite composed of heavy metals. The object was considered a holy relic, but the significance of its arrival was unclear. Eventually the Hordian craftsmen experimented with the debris. They quickly found that when used as an additive, a strong resilient steel could be smelted-the famous Damascus (i.e. Moscovian) </w:t>
      </w:r>
      <w:hyperlink r:id="rId19">
        <w:r>
          <w:rPr>
            <w:rStyle w:val="Style"/>
            <w:b w:val="false"/>
            <w:i w:val="false"/>
            <w:color w:val="B8860B"/>
          </w:rPr>
          <w:t>Bulat</w:t>
        </w:r>
      </w:hyperlink>
      <w:r>
        <w:rPr>
          <w:b w:val="false"/>
          <w:i w:val="false"/>
        </w:rPr>
        <w:t xml:space="preserve"> Steel.</w:t>
      </w:r>
    </w:p>
    <w:p>
      <w:pPr>
        <w:pStyle w:val="Normal"/>
        <w:rPr/>
      </w:pPr>
      <w:r>
        <w:rPr>
          <w:b w:val="false"/>
          <w:i w:val="false"/>
        </w:rPr>
        <w:t xml:space="preserve">This invention gave the Rus-Horde Empire a new war advantage. Not only would the stronger metal cut through that of any opposing army, but it offered a psychological advantage as well. The enemy would regard the metal itself as a gift from the Gods, and a sign that They favored Rus-Horde crusaders. Later this story was </w:t>
      </w:r>
      <w:r>
        <w:fldChar w:fldCharType="begin"/>
      </w:r>
      <w:r>
        <w:rPr>
          <w:rStyle w:val="Style"/>
          <w:b w:val="false"/>
          <w:i w:val="false"/>
          <w:color w:val="B8860B"/>
        </w:rPr>
        <w:instrText xml:space="preserve"> HYPERLINK "https://chronologia.org/en/how_it_was/05_26.html" \l "the27"</w:instrText>
      </w:r>
      <w:r>
        <w:rPr>
          <w:rStyle w:val="Style"/>
          <w:b w:val="false"/>
          <w:i w:val="false"/>
          <w:color w:val="B8860B"/>
        </w:rPr>
        <w:fldChar w:fldCharType="separate"/>
      </w:r>
      <w:r>
        <w:rPr>
          <w:rStyle w:val="Style"/>
          <w:b w:val="false"/>
          <w:i w:val="false"/>
          <w:color w:val="B8860B"/>
        </w:rPr>
        <w:t>reflected</w:t>
      </w:r>
      <w:r>
        <w:rPr>
          <w:rStyle w:val="Style"/>
          <w:b w:val="false"/>
          <w:i w:val="false"/>
          <w:color w:val="B8860B"/>
        </w:rPr>
        <w:fldChar w:fldCharType="end"/>
      </w:r>
      <w:r>
        <w:rPr>
          <w:b w:val="false"/>
          <w:i w:val="false"/>
        </w:rPr>
        <w:t xml:space="preserve"> in the literature of Islam, Christianity, "Ancient" Rome and Greece, as well as in </w:t>
      </w:r>
      <w:hyperlink r:id="rId20">
        <w:r>
          <w:rPr>
            <w:rStyle w:val="Style"/>
            <w:b w:val="false"/>
            <w:i w:val="false"/>
            <w:color w:val="B8860B"/>
          </w:rPr>
          <w:t>modern media</w:t>
        </w:r>
      </w:hyperlink>
      <w:r>
        <w:rPr>
          <w:b w:val="false"/>
          <w:i w:val="false"/>
        </w:rPr>
        <w:t xml:space="preserve">. During their military campaigns the Hordians and Atamans (Ottomans) carried the debris of the Yaroslavl meteor in a holy </w:t>
      </w:r>
      <w:r>
        <w:rPr>
          <w:b w:val="false"/>
          <w:i/>
        </w:rPr>
        <w:t>arc</w:t>
      </w:r>
      <w:r>
        <w:rPr>
          <w:b w:val="false"/>
          <w:i w:val="false"/>
        </w:rPr>
        <w:t xml:space="preserve"> called Kaaba.</w:t>
      </w:r>
    </w:p>
    <w:p>
      <w:pPr>
        <w:pStyle w:val="Normal"/>
        <w:jc w:val="center"/>
        <w:rPr/>
      </w:pPr>
      <w:r>
        <w:rPr/>
        <w:drawing>
          <wp:inline distT="0" distB="0" distL="0" distR="0">
            <wp:extent cx="3657600" cy="24384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21"/>
                    <a:stretch>
                      <a:fillRect/>
                    </a:stretch>
                  </pic:blipFill>
                  <pic:spPr bwMode="auto">
                    <a:xfrm>
                      <a:off x="0" y="0"/>
                      <a:ext cx="3657600" cy="2438400"/>
                    </a:xfrm>
                    <a:prstGeom prst="rect">
                      <a:avLst/>
                    </a:prstGeom>
                    <a:noFill/>
                  </pic:spPr>
                </pic:pic>
              </a:graphicData>
            </a:graphic>
          </wp:inline>
        </w:drawing>
      </w:r>
    </w:p>
    <w:p>
      <w:pPr>
        <w:pStyle w:val="Caption"/>
        <w:rPr/>
      </w:pPr>
      <w:r>
        <w:rPr/>
        <w:t>Star Metal</w:t>
      </w:r>
    </w:p>
    <w:p>
      <w:pPr>
        <w:pStyle w:val="Normal"/>
        <w:spacing w:before="0" w:after="80"/>
        <w:rPr/>
        <w:sectPr>
          <w:headerReference w:type="even" r:id="rId22"/>
          <w:headerReference w:type="default" r:id="rId23"/>
          <w:headerReference w:type="first" r:id="rId24"/>
          <w:footerReference w:type="even" r:id="rId25"/>
          <w:footerReference w:type="default" r:id="rId26"/>
          <w:footerReference w:type="first" r:id="rId27"/>
          <w:type w:val="nextPage"/>
          <w:pgSz w:w="12240" w:h="15840"/>
          <w:pgMar w:left="850" w:right="850" w:gutter="0" w:header="720" w:top="777" w:footer="720" w:bottom="777"/>
          <w:pgNumType w:fmt="decimal"/>
          <w:formProt w:val="false"/>
          <w:titlePg/>
          <w:textDirection w:val="lrTb"/>
          <w:docGrid w:type="default" w:linePitch="360" w:charSpace="0"/>
        </w:sectPr>
      </w:pPr>
      <w:r>
        <w:rPr/>
      </w:r>
    </w:p>
    <w:p>
      <w:pPr>
        <w:pStyle w:val="Heading2"/>
        <w:rPr/>
      </w:pPr>
      <w:r>
        <w:rPr>
          <w:b/>
        </w:rPr>
        <w:t>Chapter 3: 1914–1918 CE — World War I: Reverse Crusade II</w:t>
      </w:r>
    </w:p>
    <w:p>
      <w:pPr>
        <w:pStyle w:val="Heading2"/>
        <w:rPr/>
      </w:pPr>
      <w:r>
        <w:rPr/>
        <w:t>The Invisible War</w:t>
      </w:r>
    </w:p>
    <w:p>
      <w:pPr>
        <w:pStyle w:val="Normal"/>
        <w:rPr/>
      </w:pPr>
      <w:r>
        <w:rPr>
          <w:b w:val="false"/>
          <w:i w:val="false"/>
        </w:rPr>
        <w:t xml:space="preserve">World War I was the most sophisticated of the four Reverse Crusades — because it was the only one that </w:t>
      </w:r>
      <w:r>
        <w:rPr>
          <w:b/>
          <w:i w:val="false"/>
        </w:rPr>
        <w:t>did not require a visible puppet</w:t>
      </w:r>
      <w:r>
        <w:rPr>
          <w:b w:val="false"/>
          <w:i w:val="false"/>
        </w:rPr>
        <w:t xml:space="preserve">. Napoleon had to lead the army himself. Hitler had to be manufactured by Anglo-American publishers. Zelensky had to be installed via colour revolution. But in 1914, the alliance architecture </w:t>
      </w:r>
      <w:r>
        <w:rPr>
          <w:b w:val="false"/>
          <w:i/>
        </w:rPr>
        <w:t>was</w:t>
      </w:r>
      <w:r>
        <w:rPr>
          <w:b w:val="false"/>
          <w:i w:val="false"/>
        </w:rPr>
        <w:t xml:space="preserve"> the weapon. The trigger was pulled at Sarajevo, and the machine ran itself.</w:t>
      </w:r>
    </w:p>
    <w:p>
      <w:pPr>
        <w:pStyle w:val="Normal"/>
        <w:rPr/>
      </w:pPr>
      <w:r>
        <w:rPr>
          <w:b w:val="false"/>
          <w:i w:val="false"/>
        </w:rPr>
        <w:t xml:space="preserve">The conventional narrative — "entangling alliances" triggered by an assassination, "the war nobody wanted" — is the perfect cover story. If nobody wanted it, </w:t>
      </w:r>
      <w:r>
        <w:rPr>
          <w:b/>
          <w:i w:val="false"/>
        </w:rPr>
        <w:t>nobody is responsible</w:t>
      </w:r>
      <w:r>
        <w:rPr>
          <w:b w:val="false"/>
          <w:i w:val="false"/>
        </w:rPr>
        <w:t>. This is exactly the narrative you'd construct if the real architects intended to remain invisible.</w:t>
      </w:r>
    </w:p>
    <w:p>
      <w:pPr>
        <w:pStyle w:val="Heading2"/>
        <w:rPr/>
      </w:pPr>
      <w:r>
        <w:rPr/>
        <w:t>The Alliance Architecture as Weapon</w:t>
      </w:r>
    </w:p>
    <w:p>
      <w:pPr>
        <w:pStyle w:val="Normal"/>
        <w:rPr/>
      </w:pPr>
      <w:r>
        <w:rPr>
          <w:b w:val="false"/>
          <w:i w:val="false"/>
        </w:rPr>
        <w:t xml:space="preserve">The system that made WW1 "automatic" took </w:t>
      </w:r>
      <w:r>
        <w:rPr>
          <w:b/>
          <w:i w:val="false"/>
        </w:rPr>
        <w:t>35 years to build</w:t>
      </w:r>
      <w:r>
        <w:rPr>
          <w:b w:val="false"/>
          <w:i w:val="false"/>
        </w:rPr>
        <w:t>:</w:t>
      </w:r>
    </w:p>
    <w:tbl>
      <w:tblPr>
        <w:tblStyle w:val="TableGrid"/>
        <w:tblW w:w="6372" w:type="dxa"/>
        <w:jc w:val="start"/>
        <w:tblInd w:w="0" w:type="dxa"/>
        <w:tblLayout w:type="fixed"/>
        <w:tblCellMar>
          <w:top w:w="30" w:type="dxa"/>
          <w:start w:w="60" w:type="dxa"/>
          <w:bottom w:w="30" w:type="dxa"/>
          <w:end w:w="60" w:type="dxa"/>
        </w:tblCellMar>
        <w:tblLook w:val="04a0" w:noHBand="0" w:noVBand="1" w:firstColumn="1" w:lastRow="0" w:lastColumn="0" w:firstRow="1"/>
      </w:tblPr>
      <w:tblGrid>
        <w:gridCol w:w="807"/>
        <w:gridCol w:w="2477"/>
        <w:gridCol w:w="3088"/>
      </w:tblGrid>
      <w:tr>
        <w:trPr/>
        <w:tc>
          <w:tcPr>
            <w:tcW w:w="807" w:type="dxa"/>
            <w:tcBorders/>
            <w:shd w:color="auto" w:fill="F0F0F0" w:val="clear"/>
          </w:tcPr>
          <w:p>
            <w:pPr>
              <w:pStyle w:val="Normal"/>
              <w:widowControl/>
              <w:spacing w:lineRule="auto" w:line="240" w:before="20" w:after="20"/>
              <w:jc w:val="center"/>
              <w:rPr>
                <w:kern w:val="0"/>
                <w:szCs w:val="22"/>
              </w:rPr>
            </w:pPr>
            <w:r>
              <w:rPr>
                <w:rFonts w:ascii="Libre Franklin" w:hAnsi="Libre Franklin"/>
                <w:b/>
                <w:kern w:val="0"/>
                <w:sz w:val="18"/>
                <w:szCs w:val="22"/>
              </w:rPr>
              <w:t>Year</w:t>
            </w:r>
          </w:p>
        </w:tc>
        <w:tc>
          <w:tcPr>
            <w:tcW w:w="2477" w:type="dxa"/>
            <w:tcBorders/>
            <w:shd w:color="auto" w:fill="F0F0F0" w:val="clear"/>
          </w:tcPr>
          <w:p>
            <w:pPr>
              <w:pStyle w:val="Normal"/>
              <w:widowControl/>
              <w:spacing w:lineRule="auto" w:line="240" w:before="20" w:after="20"/>
              <w:jc w:val="center"/>
              <w:rPr>
                <w:kern w:val="0"/>
                <w:szCs w:val="22"/>
              </w:rPr>
            </w:pPr>
            <w:r>
              <w:rPr>
                <w:rFonts w:ascii="Libre Franklin" w:hAnsi="Libre Franklin"/>
                <w:b/>
                <w:kern w:val="0"/>
                <w:sz w:val="18"/>
                <w:szCs w:val="22"/>
              </w:rPr>
              <w:t>Alliance / Agreement</w:t>
            </w:r>
          </w:p>
        </w:tc>
        <w:tc>
          <w:tcPr>
            <w:tcW w:w="3088" w:type="dxa"/>
            <w:tcBorders/>
            <w:shd w:color="auto" w:fill="F0F0F0" w:val="clear"/>
          </w:tcPr>
          <w:p>
            <w:pPr>
              <w:pStyle w:val="Normal"/>
              <w:widowControl/>
              <w:spacing w:lineRule="auto" w:line="240" w:before="20" w:after="20"/>
              <w:jc w:val="center"/>
              <w:rPr>
                <w:kern w:val="0"/>
                <w:szCs w:val="22"/>
              </w:rPr>
            </w:pPr>
            <w:r>
              <w:rPr>
                <w:rFonts w:ascii="Libre Franklin" w:hAnsi="Libre Franklin"/>
                <w:b/>
                <w:kern w:val="0"/>
                <w:sz w:val="18"/>
                <w:szCs w:val="22"/>
              </w:rPr>
              <w:t>Effect</w:t>
            </w:r>
          </w:p>
        </w:tc>
      </w:tr>
      <w:tr>
        <w:trPr/>
        <w:tc>
          <w:tcPr>
            <w:tcW w:w="807" w:type="dxa"/>
            <w:tcBorders/>
          </w:tcPr>
          <w:p>
            <w:pPr>
              <w:pStyle w:val="Normal"/>
              <w:widowControl/>
              <w:spacing w:lineRule="auto" w:line="240" w:before="20" w:after="20"/>
              <w:rPr>
                <w:kern w:val="0"/>
                <w:szCs w:val="22"/>
              </w:rPr>
            </w:pPr>
            <w:r>
              <w:rPr>
                <w:b w:val="false"/>
                <w:i w:val="false"/>
                <w:kern w:val="0"/>
                <w:sz w:val="18"/>
                <w:szCs w:val="22"/>
              </w:rPr>
              <w:t>1879</w:t>
            </w:r>
          </w:p>
        </w:tc>
        <w:tc>
          <w:tcPr>
            <w:tcW w:w="2477" w:type="dxa"/>
            <w:tcBorders/>
          </w:tcPr>
          <w:p>
            <w:pPr>
              <w:pStyle w:val="Normal"/>
              <w:widowControl/>
              <w:spacing w:lineRule="auto" w:line="240" w:before="20" w:after="20"/>
              <w:rPr>
                <w:kern w:val="0"/>
                <w:szCs w:val="22"/>
              </w:rPr>
            </w:pPr>
            <w:r>
              <w:rPr>
                <w:b w:val="false"/>
                <w:i w:val="false"/>
                <w:kern w:val="0"/>
                <w:sz w:val="18"/>
                <w:szCs w:val="22"/>
              </w:rPr>
              <w:t>Dual Alliance (Germany–Austria-Hungary)</w:t>
            </w:r>
          </w:p>
        </w:tc>
        <w:tc>
          <w:tcPr>
            <w:tcW w:w="3088" w:type="dxa"/>
            <w:tcBorders/>
          </w:tcPr>
          <w:p>
            <w:pPr>
              <w:pStyle w:val="Normal"/>
              <w:widowControl/>
              <w:spacing w:lineRule="auto" w:line="240" w:before="20" w:after="20"/>
              <w:rPr>
                <w:kern w:val="0"/>
                <w:szCs w:val="22"/>
              </w:rPr>
            </w:pPr>
            <w:r>
              <w:rPr>
                <w:b w:val="false"/>
                <w:i w:val="false"/>
                <w:kern w:val="0"/>
                <w:sz w:val="18"/>
                <w:szCs w:val="22"/>
              </w:rPr>
              <w:t>Created the Central Powers core</w:t>
            </w:r>
          </w:p>
        </w:tc>
      </w:tr>
      <w:tr>
        <w:trPr/>
        <w:tc>
          <w:tcPr>
            <w:tcW w:w="807" w:type="dxa"/>
            <w:tcBorders/>
          </w:tcPr>
          <w:p>
            <w:pPr>
              <w:pStyle w:val="Normal"/>
              <w:widowControl/>
              <w:spacing w:lineRule="auto" w:line="240" w:before="20" w:after="20"/>
              <w:rPr>
                <w:kern w:val="0"/>
                <w:szCs w:val="22"/>
              </w:rPr>
            </w:pPr>
            <w:r>
              <w:rPr>
                <w:b w:val="false"/>
                <w:i w:val="false"/>
                <w:kern w:val="0"/>
                <w:sz w:val="18"/>
                <w:szCs w:val="22"/>
              </w:rPr>
              <w:t>1882</w:t>
            </w:r>
          </w:p>
        </w:tc>
        <w:tc>
          <w:tcPr>
            <w:tcW w:w="2477" w:type="dxa"/>
            <w:tcBorders/>
          </w:tcPr>
          <w:p>
            <w:pPr>
              <w:pStyle w:val="Normal"/>
              <w:widowControl/>
              <w:spacing w:lineRule="auto" w:line="240" w:before="20" w:after="20"/>
              <w:rPr>
                <w:kern w:val="0"/>
                <w:szCs w:val="22"/>
              </w:rPr>
            </w:pPr>
            <w:r>
              <w:rPr>
                <w:b w:val="false"/>
                <w:i w:val="false"/>
                <w:kern w:val="0"/>
                <w:sz w:val="18"/>
                <w:szCs w:val="22"/>
              </w:rPr>
              <w:t>Triple Alliance (+ Italy)</w:t>
            </w:r>
          </w:p>
        </w:tc>
        <w:tc>
          <w:tcPr>
            <w:tcW w:w="3088" w:type="dxa"/>
            <w:tcBorders/>
          </w:tcPr>
          <w:p>
            <w:pPr>
              <w:pStyle w:val="Normal"/>
              <w:widowControl/>
              <w:spacing w:lineRule="auto" w:line="240" w:before="20" w:after="20"/>
              <w:rPr>
                <w:kern w:val="0"/>
                <w:szCs w:val="22"/>
              </w:rPr>
            </w:pPr>
            <w:r>
              <w:rPr>
                <w:b w:val="false"/>
                <w:i w:val="false"/>
                <w:kern w:val="0"/>
                <w:sz w:val="18"/>
                <w:szCs w:val="22"/>
              </w:rPr>
              <w:t>Expanded Central Powers</w:t>
            </w:r>
          </w:p>
        </w:tc>
      </w:tr>
      <w:tr>
        <w:trPr/>
        <w:tc>
          <w:tcPr>
            <w:tcW w:w="807" w:type="dxa"/>
            <w:tcBorders/>
          </w:tcPr>
          <w:p>
            <w:pPr>
              <w:pStyle w:val="Normal"/>
              <w:widowControl/>
              <w:spacing w:lineRule="auto" w:line="240" w:before="20" w:after="20"/>
              <w:rPr>
                <w:kern w:val="0"/>
                <w:szCs w:val="22"/>
              </w:rPr>
            </w:pPr>
            <w:r>
              <w:rPr>
                <w:b w:val="false"/>
                <w:i w:val="false"/>
                <w:kern w:val="0"/>
                <w:sz w:val="18"/>
                <w:szCs w:val="22"/>
              </w:rPr>
              <w:t>1894</w:t>
            </w:r>
          </w:p>
        </w:tc>
        <w:tc>
          <w:tcPr>
            <w:tcW w:w="2477" w:type="dxa"/>
            <w:tcBorders/>
          </w:tcPr>
          <w:p>
            <w:pPr>
              <w:pStyle w:val="Normal"/>
              <w:widowControl/>
              <w:spacing w:lineRule="auto" w:line="240" w:before="20" w:after="20"/>
              <w:rPr>
                <w:kern w:val="0"/>
                <w:szCs w:val="22"/>
              </w:rPr>
            </w:pPr>
            <w:r>
              <w:rPr>
                <w:b w:val="false"/>
                <w:i w:val="false"/>
                <w:kern w:val="0"/>
                <w:sz w:val="18"/>
                <w:szCs w:val="22"/>
              </w:rPr>
              <w:t>Franco-Russian Alliance</w:t>
            </w:r>
          </w:p>
        </w:tc>
        <w:tc>
          <w:tcPr>
            <w:tcW w:w="3088" w:type="dxa"/>
            <w:tcBorders/>
          </w:tcPr>
          <w:p>
            <w:pPr>
              <w:pStyle w:val="Normal"/>
              <w:widowControl/>
              <w:spacing w:lineRule="auto" w:line="240" w:before="20" w:after="20"/>
              <w:rPr>
                <w:kern w:val="0"/>
                <w:szCs w:val="22"/>
              </w:rPr>
            </w:pPr>
            <w:r>
              <w:rPr>
                <w:b w:val="false"/>
                <w:i w:val="false"/>
                <w:kern w:val="0"/>
                <w:sz w:val="18"/>
                <w:szCs w:val="22"/>
              </w:rPr>
              <w:t>Bound Russia to France, guaranteeing two-front war</w:t>
            </w:r>
          </w:p>
        </w:tc>
      </w:tr>
      <w:tr>
        <w:trPr/>
        <w:tc>
          <w:tcPr>
            <w:tcW w:w="807" w:type="dxa"/>
            <w:tcBorders/>
          </w:tcPr>
          <w:p>
            <w:pPr>
              <w:pStyle w:val="Normal"/>
              <w:widowControl/>
              <w:spacing w:lineRule="auto" w:line="240" w:before="20" w:after="20"/>
              <w:rPr>
                <w:kern w:val="0"/>
                <w:szCs w:val="22"/>
              </w:rPr>
            </w:pPr>
            <w:r>
              <w:rPr>
                <w:b w:val="false"/>
                <w:i w:val="false"/>
                <w:kern w:val="0"/>
                <w:sz w:val="18"/>
                <w:szCs w:val="22"/>
              </w:rPr>
              <w:t>1904</w:t>
            </w:r>
          </w:p>
        </w:tc>
        <w:tc>
          <w:tcPr>
            <w:tcW w:w="2477" w:type="dxa"/>
            <w:tcBorders/>
          </w:tcPr>
          <w:p>
            <w:pPr>
              <w:pStyle w:val="Normal"/>
              <w:widowControl/>
              <w:spacing w:lineRule="auto" w:line="240" w:before="20" w:after="20"/>
              <w:rPr>
                <w:kern w:val="0"/>
                <w:szCs w:val="22"/>
              </w:rPr>
            </w:pPr>
            <w:r>
              <w:rPr>
                <w:b w:val="false"/>
                <w:i w:val="false"/>
                <w:kern w:val="0"/>
                <w:sz w:val="18"/>
                <w:szCs w:val="22"/>
              </w:rPr>
              <w:t>Entente Cordiale (Britain–France)</w:t>
            </w:r>
          </w:p>
        </w:tc>
        <w:tc>
          <w:tcPr>
            <w:tcW w:w="3088" w:type="dxa"/>
            <w:tcBorders/>
          </w:tcPr>
          <w:p>
            <w:pPr>
              <w:pStyle w:val="Normal"/>
              <w:widowControl/>
              <w:spacing w:lineRule="auto" w:line="240" w:before="20" w:after="20"/>
              <w:rPr>
                <w:kern w:val="0"/>
                <w:szCs w:val="22"/>
              </w:rPr>
            </w:pPr>
            <w:r>
              <w:rPr>
                <w:b w:val="false"/>
                <w:i w:val="false"/>
                <w:kern w:val="0"/>
                <w:sz w:val="18"/>
                <w:szCs w:val="22"/>
              </w:rPr>
              <w:t>Ended centuries of Anglo-French rivalry</w:t>
            </w:r>
          </w:p>
        </w:tc>
      </w:tr>
      <w:tr>
        <w:trPr/>
        <w:tc>
          <w:tcPr>
            <w:tcW w:w="807" w:type="dxa"/>
            <w:tcBorders/>
          </w:tcPr>
          <w:p>
            <w:pPr>
              <w:pStyle w:val="Normal"/>
              <w:widowControl/>
              <w:spacing w:lineRule="auto" w:line="240" w:before="20" w:after="20"/>
              <w:rPr>
                <w:kern w:val="0"/>
                <w:szCs w:val="22"/>
              </w:rPr>
            </w:pPr>
            <w:r>
              <w:rPr>
                <w:b w:val="false"/>
                <w:i w:val="false"/>
                <w:kern w:val="0"/>
                <w:sz w:val="18"/>
                <w:szCs w:val="22"/>
              </w:rPr>
              <w:t>1907</w:t>
            </w:r>
          </w:p>
        </w:tc>
        <w:tc>
          <w:tcPr>
            <w:tcW w:w="2477" w:type="dxa"/>
            <w:tcBorders/>
          </w:tcPr>
          <w:p>
            <w:pPr>
              <w:pStyle w:val="Normal"/>
              <w:widowControl/>
              <w:spacing w:lineRule="auto" w:line="240" w:before="20" w:after="20"/>
              <w:rPr>
                <w:kern w:val="0"/>
                <w:szCs w:val="22"/>
              </w:rPr>
            </w:pPr>
            <w:r>
              <w:rPr>
                <w:b w:val="false"/>
                <w:i w:val="false"/>
                <w:kern w:val="0"/>
                <w:sz w:val="18"/>
                <w:szCs w:val="22"/>
              </w:rPr>
              <w:t>Anglo-Russian Convention</w:t>
            </w:r>
          </w:p>
        </w:tc>
        <w:tc>
          <w:tcPr>
            <w:tcW w:w="3088" w:type="dxa"/>
            <w:tcBorders/>
          </w:tcPr>
          <w:p>
            <w:pPr>
              <w:pStyle w:val="Normal"/>
              <w:widowControl/>
              <w:spacing w:lineRule="auto" w:line="240" w:before="20" w:after="20"/>
              <w:rPr>
                <w:kern w:val="0"/>
                <w:szCs w:val="22"/>
              </w:rPr>
            </w:pPr>
            <w:r>
              <w:rPr>
                <w:b w:val="false"/>
                <w:i w:val="false"/>
                <w:kern w:val="0"/>
                <w:sz w:val="18"/>
                <w:szCs w:val="22"/>
              </w:rPr>
              <w:t>Completed the Triple Entente</w:t>
            </w:r>
          </w:p>
        </w:tc>
      </w:tr>
      <w:tr>
        <w:trPr/>
        <w:tc>
          <w:tcPr>
            <w:tcW w:w="807" w:type="dxa"/>
            <w:tcBorders/>
          </w:tcPr>
          <w:p>
            <w:pPr>
              <w:pStyle w:val="Normal"/>
              <w:widowControl/>
              <w:spacing w:lineRule="auto" w:line="240" w:before="20" w:after="20"/>
              <w:rPr>
                <w:kern w:val="0"/>
                <w:szCs w:val="22"/>
              </w:rPr>
            </w:pPr>
            <w:r>
              <w:rPr>
                <w:b w:val="false"/>
                <w:i w:val="false"/>
                <w:kern w:val="0"/>
                <w:sz w:val="18"/>
                <w:szCs w:val="22"/>
              </w:rPr>
              <w:t>1913</w:t>
            </w:r>
          </w:p>
        </w:tc>
        <w:tc>
          <w:tcPr>
            <w:tcW w:w="2477" w:type="dxa"/>
            <w:tcBorders/>
          </w:tcPr>
          <w:p>
            <w:pPr>
              <w:pStyle w:val="Normal"/>
              <w:widowControl/>
              <w:spacing w:lineRule="auto" w:line="240" w:before="20" w:after="20"/>
              <w:rPr>
                <w:kern w:val="0"/>
                <w:szCs w:val="22"/>
              </w:rPr>
            </w:pPr>
            <w:r>
              <w:rPr>
                <w:b w:val="false"/>
                <w:i w:val="false"/>
                <w:kern w:val="0"/>
                <w:sz w:val="18"/>
                <w:szCs w:val="22"/>
              </w:rPr>
              <w:t>Federal Reserve Act</w:t>
            </w:r>
          </w:p>
        </w:tc>
        <w:tc>
          <w:tcPr>
            <w:tcW w:w="3088" w:type="dxa"/>
            <w:tcBorders/>
          </w:tcPr>
          <w:p>
            <w:pPr>
              <w:pStyle w:val="Normal"/>
              <w:widowControl/>
              <w:spacing w:lineRule="auto" w:line="240" w:before="20" w:after="20"/>
              <w:rPr>
                <w:kern w:val="0"/>
                <w:szCs w:val="22"/>
              </w:rPr>
            </w:pPr>
            <w:r>
              <w:rPr>
                <w:b w:val="false"/>
                <w:i w:val="false"/>
                <w:kern w:val="0"/>
                <w:sz w:val="18"/>
                <w:szCs w:val="22"/>
              </w:rPr>
              <w:t>US financial infrastructure ready to serve as creditor</w:t>
            </w:r>
          </w:p>
        </w:tc>
      </w:tr>
      <w:tr>
        <w:trPr/>
        <w:tc>
          <w:tcPr>
            <w:tcW w:w="807" w:type="dxa"/>
            <w:tcBorders/>
          </w:tcPr>
          <w:p>
            <w:pPr>
              <w:pStyle w:val="Normal"/>
              <w:widowControl/>
              <w:spacing w:lineRule="auto" w:line="240" w:before="20" w:after="20"/>
              <w:rPr>
                <w:kern w:val="0"/>
                <w:szCs w:val="22"/>
              </w:rPr>
            </w:pPr>
            <w:r>
              <w:rPr>
                <w:b w:val="false"/>
                <w:i w:val="false"/>
                <w:kern w:val="0"/>
                <w:sz w:val="18"/>
                <w:szCs w:val="22"/>
              </w:rPr>
              <w:t>1914</w:t>
            </w:r>
          </w:p>
        </w:tc>
        <w:tc>
          <w:tcPr>
            <w:tcW w:w="2477" w:type="dxa"/>
            <w:tcBorders/>
          </w:tcPr>
          <w:p>
            <w:pPr>
              <w:pStyle w:val="Normal"/>
              <w:widowControl/>
              <w:spacing w:lineRule="auto" w:line="240" w:before="20" w:after="20"/>
              <w:rPr>
                <w:kern w:val="0"/>
                <w:szCs w:val="22"/>
              </w:rPr>
            </w:pPr>
            <w:r>
              <w:rPr>
                <w:b w:val="false"/>
                <w:i w:val="false"/>
                <w:kern w:val="0"/>
                <w:sz w:val="18"/>
                <w:szCs w:val="22"/>
              </w:rPr>
              <w:t>Sarajevo trigger</w:t>
            </w:r>
          </w:p>
        </w:tc>
        <w:tc>
          <w:tcPr>
            <w:tcW w:w="3088" w:type="dxa"/>
            <w:tcBorders/>
          </w:tcPr>
          <w:p>
            <w:pPr>
              <w:pStyle w:val="Normal"/>
              <w:widowControl/>
              <w:spacing w:lineRule="auto" w:line="240" w:before="20" w:after="20"/>
              <w:rPr>
                <w:kern w:val="0"/>
                <w:szCs w:val="22"/>
              </w:rPr>
            </w:pPr>
            <w:r>
              <w:rPr>
                <w:b w:val="false"/>
                <w:i w:val="false"/>
                <w:kern w:val="0"/>
                <w:sz w:val="18"/>
                <w:szCs w:val="22"/>
              </w:rPr>
              <w:t>Cascade activates</w:t>
            </w:r>
          </w:p>
        </w:tc>
      </w:tr>
    </w:tbl>
    <w:p>
      <w:pPr>
        <w:pStyle w:val="Normal"/>
        <w:rPr/>
      </w:pPr>
      <w:r>
        <w:rPr/>
      </w:r>
    </w:p>
    <w:p>
      <w:pPr>
        <w:pStyle w:val="Normal"/>
        <w:rPr/>
      </w:pPr>
      <w:r>
        <w:rPr>
          <w:b w:val="false"/>
          <w:i w:val="false"/>
        </w:rPr>
        <w:t>By the time Gavrilo Princip fired his pistol, the outcome was structurally determined. The alliances guaranteed that any Balkan incident would escalate into a continental war, that Russia would be drawn in on the side of Serbia, and that the resulting war would exhaust all participants — creating the conditions for revolution. The architects (Bismarck, Delcassé, Grey, Izvolsky) understood what they were constructing. The "nobody wanted it" narrative is the cover story for a machine pre-assembled over three decades.</w:t>
      </w:r>
    </w:p>
    <w:p>
      <w:pPr>
        <w:pStyle w:val="Heading2"/>
        <w:rPr/>
      </w:pPr>
      <w:r>
        <w:rPr/>
        <w:t>The False Flag at Sarajevo</w:t>
      </w:r>
    </w:p>
    <w:p>
      <w:pPr>
        <w:pStyle w:val="Normal"/>
        <w:rPr/>
      </w:pPr>
      <w:r>
        <w:rPr>
          <w:b w:val="false"/>
          <w:i w:val="false"/>
        </w:rPr>
        <w:t>The assassination of Archduke Franz Ferdinand has all the hallmarks of a manufactured trigger. Princip was linked to the Black Hand, which had ties to Serbian military intelligence, which had ties to Russian intelligence — giving Austria-Hungary the pretext to issue an ultimatum designed to be rejected, which activated the cascade.</w:t>
      </w:r>
    </w:p>
    <w:p>
      <w:pPr>
        <w:pStyle w:val="Normal"/>
        <w:rPr/>
      </w:pPr>
      <w:r>
        <w:rPr>
          <w:b w:val="false"/>
          <w:i w:val="false"/>
        </w:rPr>
        <w:t>Who benefits from the cascade activating? Not Serbia (occupied). Not Russia (revolution and collapse). Not Austria-Hungary (ceased to exist). The beneficiaries:</w:t>
      </w:r>
    </w:p>
    <w:p>
      <w:pPr>
        <w:pStyle w:val="ListBullet"/>
        <w:numPr>
          <w:ilvl w:val="0"/>
          <w:numId w:val="1"/>
        </w:numPr>
        <w:spacing w:before="20" w:after="20"/>
        <w:contextualSpacing/>
        <w:rPr/>
      </w:pPr>
      <w:r>
        <w:rPr>
          <w:b/>
          <w:i w:val="false"/>
          <w:sz w:val="16"/>
        </w:rPr>
        <w:t>Britain</w:t>
      </w:r>
      <w:r>
        <w:rPr>
          <w:b w:val="false"/>
          <w:i w:val="false"/>
          <w:sz w:val="16"/>
        </w:rPr>
        <w:t xml:space="preserve"> — eliminated Germany as a naval and industrial rival without firing the first shot</w:t>
      </w:r>
    </w:p>
    <w:p>
      <w:pPr>
        <w:pStyle w:val="ListBullet"/>
        <w:numPr>
          <w:ilvl w:val="0"/>
          <w:numId w:val="1"/>
        </w:numPr>
        <w:spacing w:before="20" w:after="20"/>
        <w:contextualSpacing/>
        <w:rPr/>
      </w:pPr>
      <w:r>
        <w:rPr>
          <w:b/>
          <w:i w:val="false"/>
          <w:sz w:val="16"/>
        </w:rPr>
        <w:t>The United States</w:t>
      </w:r>
      <w:r>
        <w:rPr>
          <w:b w:val="false"/>
          <w:i w:val="false"/>
          <w:sz w:val="16"/>
        </w:rPr>
        <w:t xml:space="preserve"> — entered late as creditor to all parties, emerged as global financial hegemon (the Federal Reserve had been created one year before the war, ready to extend credit)</w:t>
      </w:r>
    </w:p>
    <w:p>
      <w:pPr>
        <w:pStyle w:val="ListBullet"/>
        <w:numPr>
          <w:ilvl w:val="0"/>
          <w:numId w:val="1"/>
        </w:numPr>
        <w:spacing w:before="20" w:after="20"/>
        <w:contextualSpacing/>
        <w:rPr/>
      </w:pPr>
      <w:r>
        <w:rPr>
          <w:b/>
          <w:i w:val="false"/>
          <w:sz w:val="16"/>
        </w:rPr>
        <w:t>The architects of revolution</w:t>
      </w:r>
      <w:r>
        <w:rPr>
          <w:b w:val="false"/>
          <w:i w:val="false"/>
          <w:sz w:val="16"/>
        </w:rPr>
        <w:t xml:space="preserve"> — WW1 created the conditions for the Bolshevik coup of 1917; without the war, the Tsar's regime likely survives</w:t>
      </w:r>
    </w:p>
    <w:p>
      <w:pPr>
        <w:pStyle w:val="Normal"/>
        <w:rPr/>
      </w:pPr>
      <w:r>
        <w:rPr>
          <w:b w:val="false"/>
          <w:i w:val="false"/>
        </w:rPr>
        <w:t>The parallel to later false flags — Pearl Harbor (WW2), the Gulf of Tonkin (Vietnam), the Lusitania sinking (US entry into WW1 itself) — is structural. In each case, an event is manufactured or allowed to occur, providing the emotional trigger for a pre-planned escalation.</w:t>
      </w:r>
    </w:p>
    <w:p>
      <w:pPr>
        <w:pStyle w:val="Heading2"/>
        <w:rPr/>
      </w:pPr>
      <w:r>
        <w:rPr/>
        <w:t>No Puppet, No Face — The Back Office War</w:t>
      </w:r>
    </w:p>
    <w:p>
      <w:pPr>
        <w:pStyle w:val="Normal"/>
        <w:rPr/>
      </w:pPr>
      <w:r>
        <w:rPr>
          <w:b w:val="false"/>
          <w:i w:val="false"/>
        </w:rPr>
        <w:t xml:space="preserve">Where Napoleon, Hitler, and Zelensky were </w:t>
      </w:r>
      <w:r>
        <w:rPr>
          <w:b/>
          <w:i w:val="false"/>
        </w:rPr>
        <w:t>visible figureheads</w:t>
      </w:r>
      <w:r>
        <w:rPr>
          <w:b w:val="false"/>
          <w:i w:val="false"/>
        </w:rPr>
        <w:t xml:space="preserve"> built to justify and direct the crusade, WW1 was run entirely from the back office. The figures who engineered the WW1-to-revolution pipeline were not public faces:</w:t>
      </w:r>
    </w:p>
    <w:p>
      <w:pPr>
        <w:pStyle w:val="ListBullet"/>
        <w:numPr>
          <w:ilvl w:val="0"/>
          <w:numId w:val="1"/>
        </w:numPr>
        <w:spacing w:before="20" w:after="20"/>
        <w:contextualSpacing/>
        <w:rPr/>
      </w:pPr>
      <w:r>
        <w:rPr>
          <w:b/>
          <w:i w:val="false"/>
          <w:sz w:val="16"/>
        </w:rPr>
        <w:t>Alexander Parvus (Israel Helphand)</w:t>
      </w:r>
      <w:r>
        <w:rPr>
          <w:b w:val="false"/>
          <w:i w:val="false"/>
          <w:sz w:val="16"/>
        </w:rPr>
        <w:t xml:space="preserve"> — the intermediary who arranged German funding for Lenin's sealed-train return to Russia. A Social Democrat, arms dealer, and intelligence asset who operated between Berlin, Constantinople, and Petrograd. Without Parvus, no Bolshevik Revolution.</w:t>
      </w:r>
    </w:p>
    <w:p>
      <w:pPr>
        <w:pStyle w:val="ListBullet"/>
        <w:numPr>
          <w:ilvl w:val="0"/>
          <w:numId w:val="1"/>
        </w:numPr>
        <w:spacing w:before="20" w:after="20"/>
        <w:contextualSpacing/>
        <w:rPr/>
      </w:pPr>
      <w:r>
        <w:rPr>
          <w:b/>
          <w:i w:val="false"/>
          <w:sz w:val="16"/>
        </w:rPr>
        <w:t>Colonel Edward Mandell House</w:t>
      </w:r>
      <w:r>
        <w:rPr>
          <w:b w:val="false"/>
          <w:i w:val="false"/>
          <w:sz w:val="16"/>
        </w:rPr>
        <w:t xml:space="preserve"> — Woodrow Wilson's unelected advisor who steered US entry into WW1 and shaped both the Fourteen Points and Versailles. House operated as a shadow secretary of state, negotiating directly with European leaders without congressional oversight.</w:t>
      </w:r>
    </w:p>
    <w:p>
      <w:pPr>
        <w:pStyle w:val="ListBullet"/>
        <w:numPr>
          <w:ilvl w:val="0"/>
          <w:numId w:val="1"/>
        </w:numPr>
        <w:spacing w:before="20" w:after="20"/>
        <w:contextualSpacing/>
        <w:rPr/>
      </w:pPr>
      <w:r>
        <w:rPr>
          <w:b/>
          <w:i w:val="false"/>
          <w:sz w:val="16"/>
        </w:rPr>
        <w:t>The Warburg network</w:t>
      </w:r>
      <w:r>
        <w:rPr>
          <w:b w:val="false"/>
          <w:i w:val="false"/>
          <w:sz w:val="16"/>
        </w:rPr>
        <w:t xml:space="preserve"> — Max Warburg advised the Kaiser; Paul Warburg co-designed the Federal Reserve (1913). The family operated on both sides of the conflict, ensuring that regardless of military outcome, the financial architecture served the same masters.</w:t>
      </w:r>
    </w:p>
    <w:p>
      <w:pPr>
        <w:pStyle w:val="ListBullet"/>
        <w:numPr>
          <w:ilvl w:val="0"/>
          <w:numId w:val="1"/>
        </w:numPr>
        <w:spacing w:before="20" w:after="20"/>
        <w:contextualSpacing/>
        <w:rPr/>
      </w:pPr>
      <w:r>
        <w:rPr>
          <w:b/>
          <w:i w:val="false"/>
          <w:sz w:val="16"/>
        </w:rPr>
        <w:t>Lord Milner and the Round Table</w:t>
      </w:r>
      <w:r>
        <w:rPr>
          <w:b w:val="false"/>
          <w:i w:val="false"/>
          <w:sz w:val="16"/>
        </w:rPr>
        <w:t xml:space="preserve"> — the Cecil Rhodes network that engineered British imperial policy. Milner's group shaped the conditions that made the alliance cascade inevitable, then managed the post-war settlement to ensure the "right" outcomes.</w:t>
      </w:r>
    </w:p>
    <w:p>
      <w:pPr>
        <w:pStyle w:val="Normal"/>
        <w:rPr/>
      </w:pPr>
      <w:r>
        <w:rPr>
          <w:b w:val="false"/>
          <w:i w:val="false"/>
        </w:rPr>
        <w:t>These are the structural equivalents of the publishers who built Hitler's brand or the NATO trainers who built Zelensky — but they never stood on a stage. WW1 was the most elegant operation because its architects were invisible.</w:t>
      </w:r>
    </w:p>
    <w:p>
      <w:pPr>
        <w:pStyle w:val="Heading2"/>
        <w:rPr/>
      </w:pPr>
      <w:r>
        <w:rPr/>
        <w:t>The Kaiser as Inverted Puppet</w:t>
      </w:r>
    </w:p>
    <w:p>
      <w:pPr>
        <w:pStyle w:val="Normal"/>
        <w:rPr/>
      </w:pPr>
      <w:r>
        <w:rPr>
          <w:b w:val="false"/>
          <w:i w:val="false"/>
        </w:rPr>
        <w:t xml:space="preserve">If anyone played the "Napoleon/Hitler" role in WW1, it was </w:t>
      </w:r>
      <w:r>
        <w:rPr>
          <w:b/>
          <w:i w:val="false"/>
        </w:rPr>
        <w:t>Kaiser Wilhelm II</w:t>
      </w:r>
      <w:r>
        <w:rPr>
          <w:b w:val="false"/>
          <w:i w:val="false"/>
        </w:rPr>
        <w:t xml:space="preserve"> — but from the other side. He was not the West's puppet leading a crusade; he was the figure </w:t>
      </w:r>
      <w:r>
        <w:rPr>
          <w:b/>
          <w:i w:val="false"/>
        </w:rPr>
        <w:t>demonised by Western propaganda</w:t>
      </w:r>
      <w:r>
        <w:rPr>
          <w:b w:val="false"/>
          <w:i w:val="false"/>
        </w:rPr>
        <w:t xml:space="preserve"> to justify the war to domestic audiences. British propaganda turned the Kaiser into a cartoon monster — "the Hun," "the Beast of Berlin," "the Mad Dog of Europe" — performing the same narrative function as Hitler-as-villain post-1945 or Putin-as-villain post-2014.</w:t>
      </w:r>
    </w:p>
    <w:p>
      <w:pPr>
        <w:pStyle w:val="Normal"/>
        <w:rPr/>
      </w:pPr>
      <w:r>
        <w:rPr>
          <w:b w:val="false"/>
          <w:i w:val="false"/>
        </w:rPr>
        <w:t xml:space="preserve">This is an inversion of the standard pattern. In 1812 and 1941, the West built a figurehead to </w:t>
      </w:r>
      <w:r>
        <w:rPr>
          <w:b w:val="false"/>
          <w:i/>
        </w:rPr>
        <w:t>lead</w:t>
      </w:r>
      <w:r>
        <w:rPr>
          <w:b w:val="false"/>
          <w:i w:val="false"/>
        </w:rPr>
        <w:t xml:space="preserve"> the attack on Russia. In 1914, the West demonised a figurehead to </w:t>
      </w:r>
      <w:r>
        <w:rPr>
          <w:b w:val="false"/>
          <w:i/>
        </w:rPr>
        <w:t>justify</w:t>
      </w:r>
      <w:r>
        <w:rPr>
          <w:b w:val="false"/>
          <w:i w:val="false"/>
        </w:rPr>
        <w:t xml:space="preserve"> the war that would deliver Russia into revolution. The target was always Russia. The puppet's role — attacker or designated villain — is interchangeable.</w:t>
      </w:r>
    </w:p>
    <w:p>
      <w:pPr>
        <w:pStyle w:val="Heading2"/>
        <w:rPr/>
      </w:pPr>
      <w:r>
        <w:rPr/>
        <w:t>The Real Objective: Destroy Russia From Within</w:t>
      </w:r>
    </w:p>
    <w:p>
      <w:pPr>
        <w:pStyle w:val="Normal"/>
        <w:rPr/>
      </w:pPr>
      <w:r>
        <w:rPr>
          <w:b w:val="false"/>
          <w:i w:val="false"/>
        </w:rPr>
        <w:t xml:space="preserve">The Western Front — Verdun, the Somme, Passchendaele — is presented as the heart of WW1. But the Western Front was the </w:t>
      </w:r>
      <w:r>
        <w:rPr>
          <w:b/>
          <w:i w:val="false"/>
        </w:rPr>
        <w:t>distraction</w:t>
      </w:r>
      <w:r>
        <w:rPr>
          <w:b w:val="false"/>
          <w:i w:val="false"/>
        </w:rPr>
        <w:t xml:space="preserve">. The strategic objective was the </w:t>
      </w:r>
      <w:r>
        <w:rPr>
          <w:b/>
          <w:i w:val="false"/>
        </w:rPr>
        <w:t>Eastern Front</w:t>
      </w:r>
      <w:r>
        <w:rPr>
          <w:b w:val="false"/>
          <w:i w:val="false"/>
        </w:rPr>
        <w:t>: the total exhaustion of the Russian state, creating conditions for internal collapse.</w:t>
      </w:r>
    </w:p>
    <w:p>
      <w:pPr>
        <w:pStyle w:val="Normal"/>
        <w:rPr/>
      </w:pPr>
      <w:r>
        <w:rPr>
          <w:b w:val="false"/>
          <w:i w:val="false"/>
        </w:rPr>
        <w:t>Consider:</w:t>
      </w:r>
    </w:p>
    <w:p>
      <w:pPr>
        <w:pStyle w:val="ListBullet"/>
        <w:numPr>
          <w:ilvl w:val="0"/>
          <w:numId w:val="1"/>
        </w:numPr>
        <w:spacing w:before="20" w:after="20"/>
        <w:contextualSpacing/>
        <w:rPr/>
      </w:pPr>
      <w:r>
        <w:rPr>
          <w:b w:val="false"/>
          <w:i w:val="false"/>
          <w:sz w:val="16"/>
        </w:rPr>
        <w:t xml:space="preserve">Russia mobilised </w:t>
      </w:r>
      <w:r>
        <w:rPr>
          <w:b/>
          <w:i w:val="false"/>
          <w:sz w:val="16"/>
        </w:rPr>
        <w:t>12 million men</w:t>
      </w:r>
      <w:r>
        <w:rPr>
          <w:b w:val="false"/>
          <w:i w:val="false"/>
          <w:sz w:val="16"/>
        </w:rPr>
        <w:t xml:space="preserve"> — the largest army in the war</w:t>
      </w:r>
    </w:p>
    <w:p>
      <w:pPr>
        <w:pStyle w:val="ListBullet"/>
        <w:numPr>
          <w:ilvl w:val="0"/>
          <w:numId w:val="1"/>
        </w:numPr>
        <w:spacing w:before="20" w:after="20"/>
        <w:contextualSpacing/>
        <w:rPr/>
      </w:pPr>
      <w:r>
        <w:rPr>
          <w:b w:val="false"/>
          <w:i w:val="false"/>
          <w:sz w:val="16"/>
        </w:rPr>
        <w:t xml:space="preserve">Russian casualties exceeded </w:t>
      </w:r>
      <w:r>
        <w:rPr>
          <w:b/>
          <w:i w:val="false"/>
          <w:sz w:val="16"/>
        </w:rPr>
        <w:t>3.3 million dead</w:t>
      </w:r>
      <w:r>
        <w:rPr>
          <w:b w:val="false"/>
          <w:i w:val="false"/>
          <w:sz w:val="16"/>
        </w:rPr>
        <w:t>, with millions more wounded, captured, or missing</w:t>
      </w:r>
    </w:p>
    <w:p>
      <w:pPr>
        <w:pStyle w:val="ListBullet"/>
        <w:numPr>
          <w:ilvl w:val="0"/>
          <w:numId w:val="1"/>
        </w:numPr>
        <w:spacing w:before="20" w:after="20"/>
        <w:contextualSpacing/>
        <w:rPr/>
      </w:pPr>
      <w:r>
        <w:rPr>
          <w:b w:val="false"/>
          <w:i w:val="false"/>
          <w:sz w:val="16"/>
        </w:rPr>
        <w:t>The war destroyed the Russian economy, created mass food shortages, and discredited the Tsar's government</w:t>
      </w:r>
    </w:p>
    <w:p>
      <w:pPr>
        <w:pStyle w:val="ListBullet"/>
        <w:numPr>
          <w:ilvl w:val="0"/>
          <w:numId w:val="1"/>
        </w:numPr>
        <w:spacing w:before="20" w:after="20"/>
        <w:contextualSpacing/>
        <w:rPr/>
      </w:pPr>
      <w:r>
        <w:rPr>
          <w:b w:val="false"/>
          <w:i w:val="false"/>
          <w:sz w:val="16"/>
        </w:rPr>
        <w:t>Germany transported Lenin to Russia in a sealed train — a strategic weapon disguised as a political exile</w:t>
      </w:r>
    </w:p>
    <w:p>
      <w:pPr>
        <w:pStyle w:val="ListBullet"/>
        <w:numPr>
          <w:ilvl w:val="0"/>
          <w:numId w:val="1"/>
        </w:numPr>
        <w:spacing w:before="20" w:after="20"/>
        <w:contextualSpacing/>
        <w:rPr/>
      </w:pPr>
      <w:r>
        <w:rPr>
          <w:b w:val="false"/>
          <w:i w:val="false"/>
          <w:sz w:val="16"/>
        </w:rPr>
        <w:t xml:space="preserve">Britain and France — nominally Russia's </w:t>
      </w:r>
      <w:r>
        <w:rPr>
          <w:b w:val="false"/>
          <w:i/>
          <w:sz w:val="16"/>
        </w:rPr>
        <w:t>allies</w:t>
      </w:r>
      <w:r>
        <w:rPr>
          <w:b w:val="false"/>
          <w:i w:val="false"/>
          <w:sz w:val="16"/>
        </w:rPr>
        <w:t xml:space="preserve"> — did nothing to prevent the revolution and swiftly recognised the Bolshevik regime that destroyed everything the alliance supposedly protected</w:t>
      </w:r>
    </w:p>
    <w:p>
      <w:pPr>
        <w:pStyle w:val="Normal"/>
        <w:rPr/>
      </w:pPr>
      <w:r>
        <w:rPr>
          <w:b w:val="false"/>
          <w:i w:val="false"/>
        </w:rPr>
        <w:t xml:space="preserve">The war's "purpose" — stopping German aggression, defending Belgium's neutrality, making the world "safe for democracy" — was marketing. The product was the destruction of the Russian state and its replacement with a regime (the Bolsheviks) that would systematically eliminate every surviving institution connecting Russia to its Hordian past: the Church, the aristocracy, the communes, the archives, the independent scholars. See </w:t>
      </w:r>
      <w:hyperlink r:id="rId28">
        <w:r>
          <w:rPr>
            <w:rStyle w:val="Style"/>
            <w:b w:val="false"/>
            <w:i w:val="false"/>
            <w:color w:val="B8860B"/>
          </w:rPr>
          <w:t>The Bolshevik Revolution</w:t>
        </w:r>
      </w:hyperlink>
      <w:r>
        <w:rPr>
          <w:b w:val="false"/>
          <w:i w:val="false"/>
        </w:rPr>
        <w:t>.</w:t>
      </w:r>
    </w:p>
    <w:p>
      <w:pPr>
        <w:pStyle w:val="Heading2"/>
        <w:rPr/>
      </w:pPr>
      <w:r>
        <w:rPr/>
        <w:t>Versailles: Setting Up the Next Crusade</w:t>
      </w:r>
    </w:p>
    <w:p>
      <w:pPr>
        <w:pStyle w:val="Normal"/>
        <w:rPr/>
      </w:pPr>
      <w:r>
        <w:rPr>
          <w:b w:val="false"/>
          <w:i w:val="false"/>
        </w:rPr>
        <w:t xml:space="preserve">The Treaty of Versailles (1919) is conventionally presented as either a just punishment or a tragic overreach. In the Reverse Crusade framework, it was </w:t>
      </w:r>
      <w:r>
        <w:rPr>
          <w:b/>
          <w:i w:val="false"/>
        </w:rPr>
        <w:t>neither</w:t>
      </w:r>
      <w:r>
        <w:rPr>
          <w:b w:val="false"/>
          <w:i w:val="false"/>
        </w:rPr>
        <w:t xml:space="preserve"> — it was a setup for WW2.</w:t>
      </w:r>
    </w:p>
    <w:p>
      <w:pPr>
        <w:pStyle w:val="Normal"/>
        <w:rPr/>
      </w:pPr>
      <w:r>
        <w:rPr>
          <w:b w:val="false"/>
          <w:i w:val="false"/>
        </w:rPr>
        <w:t>Versailles imposed conditions on Germany designed to create the grievances that would justify the next invasion of Russia:</w:t>
      </w:r>
    </w:p>
    <w:p>
      <w:pPr>
        <w:pStyle w:val="ListBullet"/>
        <w:numPr>
          <w:ilvl w:val="0"/>
          <w:numId w:val="1"/>
        </w:numPr>
        <w:spacing w:before="20" w:after="20"/>
        <w:contextualSpacing/>
        <w:rPr/>
      </w:pPr>
      <w:r>
        <w:rPr>
          <w:b w:val="false"/>
          <w:i w:val="false"/>
          <w:sz w:val="16"/>
        </w:rPr>
        <w:t>Massive reparations → economic collapse → radicalisation</w:t>
      </w:r>
    </w:p>
    <w:p>
      <w:pPr>
        <w:pStyle w:val="ListBullet"/>
        <w:numPr>
          <w:ilvl w:val="0"/>
          <w:numId w:val="1"/>
        </w:numPr>
        <w:spacing w:before="20" w:after="20"/>
        <w:contextualSpacing/>
        <w:rPr/>
      </w:pPr>
      <w:r>
        <w:rPr>
          <w:b w:val="false"/>
          <w:i w:val="false"/>
          <w:sz w:val="16"/>
        </w:rPr>
        <w:t>Military restrictions → covert rearmament → need for a figurehead to justify openly rebuilding</w:t>
      </w:r>
    </w:p>
    <w:p>
      <w:pPr>
        <w:pStyle w:val="ListBullet"/>
        <w:numPr>
          <w:ilvl w:val="0"/>
          <w:numId w:val="1"/>
        </w:numPr>
        <w:spacing w:before="20" w:after="20"/>
        <w:contextualSpacing/>
        <w:rPr/>
      </w:pPr>
      <w:r>
        <w:rPr>
          <w:b w:val="false"/>
          <w:i w:val="false"/>
          <w:sz w:val="16"/>
        </w:rPr>
        <w:t>Territorial humiliation → revanchist nationalism → readymade target for the next puppet</w:t>
      </w:r>
    </w:p>
    <w:p>
      <w:pPr>
        <w:pStyle w:val="Normal"/>
        <w:rPr/>
      </w:pPr>
      <w:r>
        <w:rPr>
          <w:b w:val="false"/>
          <w:i w:val="false"/>
        </w:rPr>
        <w:t xml:space="preserve">The 20-year gap between Versailles (1919) and the invasion of Poland (1939) was not a "failure of diplomacy." It was the construction period for the next Reverse Crusade — the time needed to build Germany into a weapon, install a figurehead, and aim him east. See </w:t>
      </w:r>
      <w:hyperlink r:id="rId29">
        <w:r>
          <w:rPr>
            <w:rStyle w:val="Style"/>
            <w:b w:val="false"/>
            <w:i w:val="false"/>
            <w:color w:val="B8860B"/>
          </w:rPr>
          <w:t>World War II: Reverse Crusade III</w:t>
        </w:r>
      </w:hyperlink>
      <w:r>
        <w:rPr>
          <w:b w:val="false"/>
          <w:i w:val="false"/>
        </w:rPr>
        <w:t>.</w:t>
      </w:r>
    </w:p>
    <w:p>
      <w:pPr>
        <w:pStyle w:val="Heading2"/>
        <w:rPr/>
      </w:pPr>
      <w:r>
        <w:rPr/>
        <w:t>Sources</w:t>
      </w:r>
    </w:p>
    <w:p>
      <w:pPr>
        <w:pStyle w:val="ListBullet"/>
        <w:numPr>
          <w:ilvl w:val="0"/>
          <w:numId w:val="1"/>
        </w:numPr>
        <w:spacing w:before="20" w:after="20"/>
        <w:contextualSpacing/>
        <w:rPr/>
      </w:pPr>
      <w:r>
        <w:rPr>
          <w:b w:val="false"/>
          <w:i w:val="false"/>
          <w:sz w:val="16"/>
        </w:rPr>
        <w:t xml:space="preserve">Docherty, G. &amp; Macgregor, J. </w:t>
      </w:r>
      <w:r>
        <w:rPr>
          <w:b w:val="false"/>
          <w:i/>
          <w:sz w:val="16"/>
        </w:rPr>
        <w:t>Hidden History: The Secret Origins of the First World War</w:t>
      </w:r>
      <w:r>
        <w:rPr>
          <w:b w:val="false"/>
          <w:i w:val="false"/>
          <w:sz w:val="16"/>
        </w:rPr>
        <w:t xml:space="preserve"> (2013)</w:t>
      </w:r>
    </w:p>
    <w:p>
      <w:pPr>
        <w:pStyle w:val="ListBullet"/>
        <w:numPr>
          <w:ilvl w:val="0"/>
          <w:numId w:val="1"/>
        </w:numPr>
        <w:spacing w:before="20" w:after="20"/>
        <w:contextualSpacing/>
        <w:rPr/>
      </w:pPr>
      <w:r>
        <w:rPr>
          <w:b w:val="false"/>
          <w:i w:val="false"/>
          <w:sz w:val="16"/>
        </w:rPr>
        <w:t xml:space="preserve">Preparata, G.G. </w:t>
      </w:r>
      <w:r>
        <w:rPr>
          <w:b w:val="false"/>
          <w:i/>
          <w:sz w:val="16"/>
        </w:rPr>
        <w:t>Conjuring Hitler: How Britain and America Made the Third Reich</w:t>
      </w:r>
      <w:r>
        <w:rPr>
          <w:b w:val="false"/>
          <w:i w:val="false"/>
          <w:sz w:val="16"/>
        </w:rPr>
        <w:t xml:space="preserve"> (2005) — covers the Versailles-to-Hitler pipeline</w:t>
      </w:r>
    </w:p>
    <w:p>
      <w:pPr>
        <w:pStyle w:val="ListBullet"/>
        <w:numPr>
          <w:ilvl w:val="0"/>
          <w:numId w:val="1"/>
        </w:numPr>
        <w:spacing w:before="20" w:after="20"/>
        <w:contextualSpacing/>
        <w:rPr/>
      </w:pPr>
      <w:r>
        <w:rPr>
          <w:b w:val="false"/>
          <w:i w:val="false"/>
          <w:sz w:val="16"/>
        </w:rPr>
        <w:t xml:space="preserve">Sutton, A.C. </w:t>
      </w:r>
      <w:r>
        <w:rPr>
          <w:b w:val="false"/>
          <w:i/>
          <w:sz w:val="16"/>
        </w:rPr>
        <w:t>Wall Street and the Bolshevik Revolution</w:t>
      </w:r>
      <w:r>
        <w:rPr>
          <w:b w:val="false"/>
          <w:i w:val="false"/>
          <w:sz w:val="16"/>
        </w:rPr>
        <w:t xml:space="preserve"> (1974)</w:t>
      </w:r>
    </w:p>
    <w:p>
      <w:pPr>
        <w:pStyle w:val="ListBullet"/>
        <w:numPr>
          <w:ilvl w:val="0"/>
          <w:numId w:val="1"/>
        </w:numPr>
        <w:spacing w:before="20" w:after="20"/>
        <w:contextualSpacing/>
        <w:rPr/>
      </w:pPr>
      <w:r>
        <w:rPr>
          <w:b w:val="false"/>
          <w:i w:val="false"/>
          <w:sz w:val="16"/>
        </w:rPr>
        <w:t xml:space="preserve">Zeman, Z.A.B. </w:t>
      </w:r>
      <w:r>
        <w:rPr>
          <w:b w:val="false"/>
          <w:i/>
          <w:sz w:val="16"/>
        </w:rPr>
        <w:t>Germany and the Revolution in Russia, 1915–1918: Documents from the Archives of the German Foreign Ministry</w:t>
      </w:r>
      <w:r>
        <w:rPr>
          <w:b w:val="false"/>
          <w:i w:val="false"/>
          <w:sz w:val="16"/>
        </w:rPr>
        <w:t xml:space="preserve"> (1958) — Parvus/Lenin sealed-train documents</w:t>
      </w:r>
    </w:p>
    <w:p>
      <w:pPr>
        <w:pStyle w:val="ListBullet"/>
        <w:numPr>
          <w:ilvl w:val="0"/>
          <w:numId w:val="1"/>
        </w:numPr>
        <w:spacing w:before="20" w:after="20"/>
        <w:contextualSpacing/>
        <w:rPr/>
      </w:pPr>
      <w:r>
        <w:rPr>
          <w:b w:val="false"/>
          <w:i w:val="false"/>
          <w:sz w:val="16"/>
        </w:rPr>
        <w:t>Schiff, Jacob H. — documented financial support for the 1905 Russian Revolution via Kuhn, Loeb &amp; Co.</w:t>
      </w:r>
    </w:p>
    <w:p>
      <w:pPr>
        <w:pStyle w:val="ListBullet"/>
        <w:numPr>
          <w:ilvl w:val="0"/>
          <w:numId w:val="1"/>
        </w:numPr>
        <w:spacing w:before="20" w:after="20"/>
        <w:contextualSpacing/>
        <w:rPr/>
      </w:pPr>
      <w:r>
        <w:rPr>
          <w:b w:val="false"/>
          <w:i w:val="false"/>
          <w:sz w:val="16"/>
        </w:rPr>
        <w:t xml:space="preserve">See also: </w:t>
      </w:r>
      <w:hyperlink r:id="rId30">
        <w:r>
          <w:rPr>
            <w:rStyle w:val="Style"/>
            <w:b w:val="false"/>
            <w:i w:val="false"/>
            <w:color w:val="B8860B"/>
            <w:sz w:val="16"/>
          </w:rPr>
          <w:t>Reverse Crusades Comparison</w:t>
        </w:r>
      </w:hyperlink>
    </w:p>
    <w:p>
      <w:pPr>
        <w:pStyle w:val="Heading2"/>
        <w:rPr/>
      </w:pPr>
      <w:r>
        <w:rPr>
          <w:b/>
        </w:rPr>
        <w:t>Chapter 4: 1898–2023 CE — Historical Antibodies: Independent Agents Against Erasure</w:t>
      </w:r>
    </w:p>
    <w:p>
      <w:pPr>
        <w:pStyle w:val="Normal"/>
        <w:rPr/>
      </w:pPr>
      <w:r>
        <w:rPr>
          <w:b w:val="false"/>
          <w:i w:val="false"/>
        </w:rPr>
        <w:t xml:space="preserve">An </w:t>
      </w:r>
      <w:r>
        <w:rPr>
          <w:b/>
          <w:i w:val="false"/>
        </w:rPr>
        <w:t>antibody</w:t>
      </w:r>
      <w:r>
        <w:rPr>
          <w:b w:val="false"/>
          <w:i w:val="false"/>
        </w:rPr>
        <w:t xml:space="preserve"> is an independent agent who preserved suppressed knowledge or exposed covert operations through personal courage — not </w:t>
      </w:r>
      <w:hyperlink r:id="rId31">
        <w:r>
          <w:rPr>
            <w:rStyle w:val="Style"/>
            <w:b w:val="false"/>
            <w:i w:val="false"/>
            <w:color w:val="B8860B"/>
          </w:rPr>
          <w:t>controlled opposition</w:t>
        </w:r>
      </w:hyperlink>
      <w:r>
        <w:rPr>
          <w:b w:val="false"/>
          <w:i w:val="false"/>
        </w:rPr>
        <w:t xml:space="preserve">. The defining characteristic is </w:t>
      </w:r>
      <w:r>
        <w:rPr>
          <w:b/>
          <w:i w:val="false"/>
        </w:rPr>
        <w:t>asymmetry</w:t>
      </w:r>
      <w:r>
        <w:rPr>
          <w:b w:val="false"/>
          <w:i w:val="false"/>
        </w:rPr>
        <w:t xml:space="preserve">: a single person, acting alone, permanently alters the information landscape in ways that billion-dollar institutions cannot reverse. The controlled-opposition apparatus (see </w:t>
      </w:r>
      <w:hyperlink r:id="rId32">
        <w:r>
          <w:rPr>
            <w:rStyle w:val="Style"/>
            <w:b w:val="false"/>
            <w:i w:val="false"/>
            <w:color w:val="B8860B"/>
          </w:rPr>
          <w:t>Managed Disclosure</w:t>
        </w:r>
      </w:hyperlink>
      <w:r>
        <w:rPr>
          <w:b w:val="false"/>
          <w:i w:val="false"/>
        </w:rPr>
        <w:t>) exists precisely because antibodies keep appearing and cannot be predicted.</w:t>
      </w:r>
    </w:p>
    <w:p>
      <w:pPr>
        <w:pStyle w:val="Normal"/>
        <w:rPr/>
      </w:pPr>
      <w:r>
        <w:rPr>
          <w:b w:val="false"/>
          <w:i w:val="false"/>
        </w:rPr>
        <w:t>There may be millions of such people across history. Priority number one for the Deep State has always been to ensure that nobody finds out when such behaviour occurs, because resistance is contagious. If one person stands and others see it, the behaviour spreads. So we don't know who most of them are. Their names were never recorded, or the records were destroyed, or the stories were rewritten to make them villains. The few profiled here are simply the ones whose shields held long enough for the evidence to survive.</w:t>
      </w:r>
    </w:p>
    <w:p>
      <w:pPr>
        <w:pStyle w:val="Normal"/>
        <w:pBdr>
          <w:bottom w:val="single" w:sz="6" w:space="1" w:color="CCCCCC"/>
        </w:pBdr>
        <w:rPr/>
      </w:pPr>
      <w:r>
        <w:rPr/>
      </w:r>
    </w:p>
    <w:p>
      <w:pPr>
        <w:pStyle w:val="Heading2"/>
        <w:rPr/>
      </w:pPr>
      <w:r>
        <w:rPr/>
        <w:t>Key Antibodies</w:t>
      </w:r>
    </w:p>
    <w:p>
      <w:pPr>
        <w:pStyle w:val="Normal"/>
        <w:rPr/>
      </w:pPr>
      <w:r>
        <w:rPr>
          <w:b/>
          <w:i w:val="false"/>
        </w:rPr>
        <w:t>C.S. Lewis (1898–1963)</w:t>
      </w:r>
      <w:r>
        <w:rPr>
          <w:b w:val="false"/>
          <w:i w:val="false"/>
        </w:rPr>
        <w:t xml:space="preserve"> — Christian apologist who encoded the pre-Copernican planetary cosmology in fiction. </w:t>
      </w:r>
      <w:r>
        <w:rPr>
          <w:b w:val="false"/>
          <w:i/>
        </w:rPr>
        <w:t>The Discarded Image</w:t>
      </w:r>
      <w:r>
        <w:rPr>
          <w:b w:val="false"/>
          <w:i w:val="false"/>
        </w:rPr>
        <w:t xml:space="preserve"> (1964) described the medieval model: each planet governed by an Intelligence (the pagan gods renamed as angels). The </w:t>
      </w:r>
      <w:r>
        <w:rPr>
          <w:b w:val="false"/>
          <w:i/>
        </w:rPr>
        <w:t>Space Trilogy</w:t>
      </w:r>
      <w:r>
        <w:rPr>
          <w:b w:val="false"/>
          <w:i w:val="false"/>
        </w:rPr>
        <w:t xml:space="preserve"> (1938–45) rebuilt it as narrative. Each </w:t>
      </w:r>
      <w:r>
        <w:rPr>
          <w:b w:val="false"/>
          <w:i/>
        </w:rPr>
        <w:t>Narnia</w:t>
      </w:r>
      <w:r>
        <w:rPr>
          <w:b w:val="false"/>
          <w:i w:val="false"/>
        </w:rPr>
        <w:t xml:space="preserve"> book is keyed to a planetary atmosphere (Ward, </w:t>
      </w:r>
      <w:r>
        <w:rPr>
          <w:b w:val="false"/>
          <w:i/>
        </w:rPr>
        <w:t>Planet Narnia</w:t>
      </w:r>
      <w:r>
        <w:rPr>
          <w:b w:val="false"/>
          <w:i w:val="false"/>
        </w:rPr>
        <w:t xml:space="preserve">, 2008) — Jupiter, Mars, Sol, Luna, Mercury, Venus, Saturn — without Lewis ever revealing the structure. Millions absorbed polytheistic cosmology disguised as children's literature. </w:t>
      </w:r>
      <w:r>
        <w:rPr>
          <w:b/>
          <w:i w:val="false"/>
        </w:rPr>
        <w:t>Shield:</w:t>
      </w:r>
      <w:r>
        <w:rPr>
          <w:b w:val="false"/>
          <w:i w:val="false"/>
        </w:rPr>
        <w:t xml:space="preserve"> beloved children's author. You cannot ban the Narnia books.</w:t>
      </w:r>
    </w:p>
    <w:p>
      <w:pPr>
        <w:pStyle w:val="Normal"/>
        <w:rPr/>
      </w:pPr>
      <w:r>
        <w:rPr>
          <w:b/>
          <w:i w:val="false"/>
        </w:rPr>
        <w:t>Daniel Ellsberg (1931–2023)</w:t>
      </w:r>
      <w:r>
        <w:rPr>
          <w:b w:val="false"/>
          <w:i w:val="false"/>
        </w:rPr>
        <w:t xml:space="preserve"> — Pentagon/RAND analyst who was on duty the night of the Gulf of Tonkin non-event (August 4, 1964). Knew the second attack never happened. Leaked the 7,000-page Pentagon Papers (1971), documenting systematic deception across four administrations. Supreme Court ruled 6–3 for publication. Espionage charges dismissed after Nixon's Plumbers burgled his psychiatrist's office. Spent 52 years exposing government lies. Called Snowden's NSA revelations "the most important leak in American history." </w:t>
      </w:r>
      <w:r>
        <w:rPr>
          <w:b/>
          <w:i w:val="false"/>
        </w:rPr>
        <w:t>Shield:</w:t>
      </w:r>
      <w:r>
        <w:rPr>
          <w:b w:val="false"/>
          <w:i w:val="false"/>
        </w:rPr>
        <w:t xml:space="preserve"> First Amendment.</w:t>
      </w:r>
    </w:p>
    <w:p>
      <w:pPr>
        <w:pStyle w:val="Normal"/>
        <w:rPr/>
      </w:pPr>
      <w:r>
        <w:rPr>
          <w:b/>
          <w:i w:val="false"/>
        </w:rPr>
        <w:t>Giordano Bruno (1548–1600)</w:t>
      </w:r>
      <w:r>
        <w:rPr>
          <w:b w:val="false"/>
          <w:i w:val="false"/>
        </w:rPr>
        <w:t xml:space="preserve"> — Proposed infinite inhabited worlds and stars as distant suns. Burned at the stake in Rome for refusing to recant. </w:t>
      </w:r>
      <w:r>
        <w:rPr>
          <w:b/>
          <w:i w:val="false"/>
        </w:rPr>
        <w:t>Shield:</w:t>
      </w:r>
      <w:r>
        <w:rPr>
          <w:b w:val="false"/>
          <w:i w:val="false"/>
        </w:rPr>
        <w:t xml:space="preserve"> none.</w:t>
      </w:r>
    </w:p>
    <w:p>
      <w:pPr>
        <w:pStyle w:val="Normal"/>
        <w:rPr/>
      </w:pPr>
      <w:r>
        <w:rPr>
          <w:b/>
          <w:i w:val="false"/>
        </w:rPr>
        <w:t>Smedley Butler (1881–1940)</w:t>
      </w:r>
      <w:r>
        <w:rPr>
          <w:b w:val="false"/>
          <w:i w:val="false"/>
        </w:rPr>
        <w:t xml:space="preserve"> — Most decorated Marine of his era. Testified to the Business Plot — a Wall Street coup against FDR — and published </w:t>
      </w:r>
      <w:r>
        <w:rPr>
          <w:b w:val="false"/>
          <w:i/>
        </w:rPr>
        <w:t>War Is a Racket</w:t>
      </w:r>
      <w:r>
        <w:rPr>
          <w:b w:val="false"/>
          <w:i w:val="false"/>
        </w:rPr>
        <w:t xml:space="preserve"> (1935): </w:t>
      </w:r>
      <w:r>
        <w:rPr>
          <w:b w:val="false"/>
          <w:i/>
        </w:rPr>
        <w:t>"War is a racket. It always has been."</w:t>
      </w:r>
      <w:r>
        <w:rPr>
          <w:b w:val="false"/>
          <w:i w:val="false"/>
        </w:rPr>
        <w:t xml:space="preserve"> </w:t>
      </w:r>
      <w:r>
        <w:rPr>
          <w:b/>
          <w:i w:val="false"/>
        </w:rPr>
        <w:t>Shield:</w:t>
      </w:r>
      <w:r>
        <w:rPr>
          <w:b w:val="false"/>
          <w:i w:val="false"/>
        </w:rPr>
        <w:t xml:space="preserve"> service record.</w:t>
      </w:r>
    </w:p>
    <w:p>
      <w:pPr>
        <w:pStyle w:val="Normal"/>
        <w:rPr/>
      </w:pPr>
      <w:r>
        <w:rPr>
          <w:b/>
          <w:i w:val="false"/>
        </w:rPr>
        <w:t>Nikola Tesla (1856–1943)</w:t>
      </w:r>
      <w:r>
        <w:rPr>
          <w:b w:val="false"/>
          <w:i w:val="false"/>
        </w:rPr>
        <w:t xml:space="preserve"> — Wardenclyffe Tower for free wireless power; J.P. Morgan withdrew funding (</w:t>
      </w:r>
      <w:r>
        <w:rPr>
          <w:b w:val="false"/>
          <w:i/>
        </w:rPr>
        <w:t>"Where do we put the meter?"</w:t>
      </w:r>
      <w:r>
        <w:rPr>
          <w:b w:val="false"/>
          <w:i w:val="false"/>
        </w:rPr>
        <w:t xml:space="preserve">). Papers seized at death by the Office of Alien Property. </w:t>
      </w:r>
      <w:r>
        <w:rPr>
          <w:b/>
          <w:i w:val="false"/>
        </w:rPr>
        <w:t>Shield:</w:t>
      </w:r>
      <w:r>
        <w:rPr>
          <w:b w:val="false"/>
          <w:i w:val="false"/>
        </w:rPr>
        <w:t xml:space="preserve"> patents.</w:t>
      </w:r>
    </w:p>
    <w:p>
      <w:pPr>
        <w:pStyle w:val="Normal"/>
        <w:rPr/>
      </w:pPr>
      <w:r>
        <w:rPr>
          <w:b/>
          <w:i w:val="false"/>
        </w:rPr>
        <w:t>Immanuel Velikovsky (1895–1979)</w:t>
      </w:r>
      <w:r>
        <w:rPr>
          <w:b w:val="false"/>
          <w:i w:val="false"/>
        </w:rPr>
        <w:t xml:space="preserve"> — </w:t>
      </w:r>
      <w:r>
        <w:rPr>
          <w:b w:val="false"/>
          <w:i/>
        </w:rPr>
        <w:t>Worlds in Collision</w:t>
      </w:r>
      <w:r>
        <w:rPr>
          <w:b w:val="false"/>
          <w:i w:val="false"/>
        </w:rPr>
        <w:t xml:space="preserve"> (1950) proposed recent planetary catastrophes. Harvard organised a publisher boycott; commercial success outran suppression. </w:t>
      </w:r>
      <w:r>
        <w:rPr>
          <w:b/>
          <w:i w:val="false"/>
        </w:rPr>
        <w:t>Shield:</w:t>
      </w:r>
      <w:r>
        <w:rPr>
          <w:b w:val="false"/>
          <w:i w:val="false"/>
        </w:rPr>
        <w:t xml:space="preserve"> bestseller.</w:t>
      </w:r>
    </w:p>
    <w:p>
      <w:pPr>
        <w:pStyle w:val="Normal"/>
        <w:rPr/>
      </w:pPr>
      <w:r>
        <w:rPr>
          <w:b/>
          <w:i w:val="false"/>
        </w:rPr>
        <w:t>Mordechai Vanunu (1954–)</w:t>
      </w:r>
      <w:r>
        <w:rPr>
          <w:b w:val="false"/>
          <w:i w:val="false"/>
        </w:rPr>
        <w:t xml:space="preserve"> — Exposed Israel's secret nuclear weapons programme (1986). Kidnapped by Mossad, 18 years in prison, 11 in solitary. </w:t>
      </w:r>
      <w:r>
        <w:rPr>
          <w:b/>
          <w:i w:val="false"/>
        </w:rPr>
        <w:t>Shield:</w:t>
      </w:r>
      <w:r>
        <w:rPr>
          <w:b w:val="false"/>
          <w:i w:val="false"/>
        </w:rPr>
        <w:t xml:space="preserve"> none.</w:t>
      </w:r>
    </w:p>
    <w:p>
      <w:pPr>
        <w:pStyle w:val="Normal"/>
        <w:rPr/>
      </w:pPr>
      <w:r>
        <w:rPr>
          <w:b/>
          <w:i w:val="false"/>
        </w:rPr>
        <w:t>Gary Webb (1955–2004)</w:t>
      </w:r>
      <w:r>
        <w:rPr>
          <w:b w:val="false"/>
          <w:i w:val="false"/>
        </w:rPr>
        <w:t xml:space="preserve"> — "Dark Alliance" (1996) on the CIA–Contra–cocaine pipeline. Career systematically destroyed. Found dead with two gunshots to the head, ruled suicide. </w:t>
      </w:r>
      <w:r>
        <w:rPr>
          <w:b/>
          <w:i w:val="false"/>
        </w:rPr>
        <w:t>Shield:</w:t>
      </w:r>
      <w:r>
        <w:rPr>
          <w:b w:val="false"/>
          <w:i w:val="false"/>
        </w:rPr>
        <w:t xml:space="preserve"> press credentials.</w:t>
      </w:r>
    </w:p>
    <w:p>
      <w:pPr>
        <w:pStyle w:val="Normal"/>
        <w:rPr/>
      </w:pPr>
      <w:r>
        <w:rPr>
          <w:b/>
          <w:i w:val="false"/>
        </w:rPr>
        <w:t>Galen Windsor (1926–2008)</w:t>
      </w:r>
      <w:r>
        <w:rPr>
          <w:b w:val="false"/>
          <w:i w:val="false"/>
        </w:rPr>
        <w:t xml:space="preserve"> — Hanford nuclear fuel handler who ate radioactive material on camera to demonstrate the manufactured nuclear waste crisis. Lived to 82. </w:t>
      </w:r>
      <w:r>
        <w:rPr>
          <w:b/>
          <w:i w:val="false"/>
        </w:rPr>
        <w:t>Shield:</w:t>
      </w:r>
      <w:r>
        <w:rPr>
          <w:b w:val="false"/>
          <w:i w:val="false"/>
        </w:rPr>
        <w:t xml:space="preserve"> fuel-handler licence.</w:t>
      </w:r>
    </w:p>
    <w:p>
      <w:pPr>
        <w:pStyle w:val="Normal"/>
        <w:rPr/>
      </w:pPr>
      <w:r>
        <w:rPr>
          <w:b/>
          <w:i w:val="false"/>
        </w:rPr>
        <w:t>William Cooper (1943–2001)</w:t>
      </w:r>
      <w:r>
        <w:rPr>
          <w:b w:val="false"/>
          <w:i w:val="false"/>
        </w:rPr>
        <w:t xml:space="preserve"> — Naval Intelligence. Predicted 9/11 and Bin Laden blame in June 2001. Shot dead by sheriff's deputies in November 2001. </w:t>
      </w:r>
      <w:r>
        <w:rPr>
          <w:b/>
          <w:i w:val="false"/>
        </w:rPr>
        <w:t>Shield:</w:t>
      </w:r>
      <w:r>
        <w:rPr>
          <w:b w:val="false"/>
          <w:i w:val="false"/>
        </w:rPr>
        <w:t xml:space="preserve"> military credentials.</w:t>
      </w:r>
    </w:p>
    <w:p>
      <w:pPr>
        <w:pStyle w:val="Normal"/>
        <w:pBdr>
          <w:bottom w:val="single" w:sz="6" w:space="1" w:color="CCCCCC"/>
        </w:pBdr>
        <w:rPr/>
      </w:pPr>
      <w:r>
        <w:rPr/>
      </w:r>
    </w:p>
    <w:p>
      <w:pPr>
        <w:pStyle w:val="Heading2"/>
        <w:rPr/>
      </w:pPr>
      <w:r>
        <w:rPr/>
        <w:t>The Pattern</w:t>
      </w:r>
    </w:p>
    <w:p>
      <w:pPr>
        <w:pStyle w:val="Normal"/>
        <w:rPr/>
      </w:pPr>
      <w:r>
        <w:rPr>
          <w:b w:val="false"/>
          <w:i w:val="false"/>
        </w:rPr>
        <w:t>The more direct the exposure, the more severe the response:</w:t>
      </w:r>
    </w:p>
    <w:tbl>
      <w:tblPr>
        <w:tblStyle w:val="TableGrid"/>
        <w:tblW w:w="6372" w:type="dxa"/>
        <w:jc w:val="start"/>
        <w:tblInd w:w="0" w:type="dxa"/>
        <w:tblLayout w:type="fixed"/>
        <w:tblCellMar>
          <w:top w:w="30" w:type="dxa"/>
          <w:start w:w="60" w:type="dxa"/>
          <w:bottom w:w="30" w:type="dxa"/>
          <w:end w:w="60" w:type="dxa"/>
        </w:tblCellMar>
        <w:tblLook w:val="04a0" w:noHBand="0" w:noVBand="1" w:firstColumn="1" w:lastRow="0" w:lastColumn="0" w:firstRow="1"/>
      </w:tblPr>
      <w:tblGrid>
        <w:gridCol w:w="841"/>
        <w:gridCol w:w="2673"/>
        <w:gridCol w:w="2858"/>
      </w:tblGrid>
      <w:tr>
        <w:trPr/>
        <w:tc>
          <w:tcPr>
            <w:tcW w:w="841" w:type="dxa"/>
            <w:tcBorders/>
            <w:shd w:color="auto" w:fill="F0F0F0" w:val="clear"/>
          </w:tcPr>
          <w:p>
            <w:pPr>
              <w:pStyle w:val="Normal"/>
              <w:widowControl/>
              <w:spacing w:lineRule="auto" w:line="240" w:before="20" w:after="20"/>
              <w:jc w:val="center"/>
              <w:rPr>
                <w:kern w:val="0"/>
                <w:szCs w:val="22"/>
              </w:rPr>
            </w:pPr>
            <w:r>
              <w:rPr>
                <w:rFonts w:ascii="Libre Franklin" w:hAnsi="Libre Franklin"/>
                <w:b/>
                <w:kern w:val="0"/>
                <w:sz w:val="18"/>
                <w:szCs w:val="22"/>
              </w:rPr>
              <w:t>Antibody</w:t>
            </w:r>
          </w:p>
        </w:tc>
        <w:tc>
          <w:tcPr>
            <w:tcW w:w="2673" w:type="dxa"/>
            <w:tcBorders/>
            <w:shd w:color="auto" w:fill="F0F0F0" w:val="clear"/>
          </w:tcPr>
          <w:p>
            <w:pPr>
              <w:pStyle w:val="Normal"/>
              <w:widowControl/>
              <w:spacing w:lineRule="auto" w:line="240" w:before="20" w:after="20"/>
              <w:jc w:val="center"/>
              <w:rPr>
                <w:kern w:val="0"/>
                <w:szCs w:val="22"/>
              </w:rPr>
            </w:pPr>
            <w:r>
              <w:rPr>
                <w:rFonts w:ascii="Libre Franklin" w:hAnsi="Libre Franklin"/>
                <w:b/>
                <w:kern w:val="0"/>
                <w:sz w:val="18"/>
                <w:szCs w:val="22"/>
              </w:rPr>
              <w:t>Method</w:t>
            </w:r>
          </w:p>
        </w:tc>
        <w:tc>
          <w:tcPr>
            <w:tcW w:w="2858" w:type="dxa"/>
            <w:tcBorders/>
            <w:shd w:color="auto" w:fill="F0F0F0" w:val="clear"/>
          </w:tcPr>
          <w:p>
            <w:pPr>
              <w:pStyle w:val="Normal"/>
              <w:widowControl/>
              <w:spacing w:lineRule="auto" w:line="240" w:before="20" w:after="20"/>
              <w:jc w:val="center"/>
              <w:rPr>
                <w:kern w:val="0"/>
                <w:szCs w:val="22"/>
              </w:rPr>
            </w:pPr>
            <w:r>
              <w:rPr>
                <w:rFonts w:ascii="Libre Franklin" w:hAnsi="Libre Franklin"/>
                <w:b/>
                <w:kern w:val="0"/>
                <w:sz w:val="18"/>
                <w:szCs w:val="22"/>
              </w:rPr>
              <w:t>Outcome</w:t>
            </w:r>
          </w:p>
        </w:tc>
      </w:tr>
      <w:tr>
        <w:trPr/>
        <w:tc>
          <w:tcPr>
            <w:tcW w:w="841" w:type="dxa"/>
            <w:tcBorders/>
          </w:tcPr>
          <w:p>
            <w:pPr>
              <w:pStyle w:val="Normal"/>
              <w:widowControl/>
              <w:spacing w:lineRule="auto" w:line="240" w:before="20" w:after="20"/>
              <w:rPr>
                <w:kern w:val="0"/>
                <w:szCs w:val="22"/>
              </w:rPr>
            </w:pPr>
            <w:r>
              <w:rPr>
                <w:b w:val="false"/>
                <w:i w:val="false"/>
                <w:kern w:val="0"/>
                <w:sz w:val="18"/>
                <w:szCs w:val="22"/>
              </w:rPr>
              <w:t>Lewis</w:t>
            </w:r>
          </w:p>
        </w:tc>
        <w:tc>
          <w:tcPr>
            <w:tcW w:w="2673" w:type="dxa"/>
            <w:tcBorders/>
          </w:tcPr>
          <w:p>
            <w:pPr>
              <w:pStyle w:val="Normal"/>
              <w:widowControl/>
              <w:spacing w:lineRule="auto" w:line="240" w:before="20" w:after="20"/>
              <w:rPr>
                <w:kern w:val="0"/>
                <w:szCs w:val="22"/>
              </w:rPr>
            </w:pPr>
            <w:r>
              <w:rPr>
                <w:b w:val="false"/>
                <w:i w:val="false"/>
                <w:kern w:val="0"/>
                <w:sz w:val="18"/>
                <w:szCs w:val="22"/>
              </w:rPr>
              <w:t>Invisible encoding in beloved fiction</w:t>
            </w:r>
          </w:p>
        </w:tc>
        <w:tc>
          <w:tcPr>
            <w:tcW w:w="2858" w:type="dxa"/>
            <w:tcBorders/>
          </w:tcPr>
          <w:p>
            <w:pPr>
              <w:pStyle w:val="Normal"/>
              <w:widowControl/>
              <w:spacing w:lineRule="auto" w:line="240" w:before="20" w:after="20"/>
              <w:rPr>
                <w:kern w:val="0"/>
                <w:szCs w:val="22"/>
              </w:rPr>
            </w:pPr>
            <w:r>
              <w:rPr>
                <w:b w:val="false"/>
                <w:i w:val="false"/>
                <w:kern w:val="0"/>
                <w:sz w:val="18"/>
                <w:szCs w:val="22"/>
              </w:rPr>
              <w:t>Died natural causes; encoding survives</w:t>
            </w:r>
          </w:p>
        </w:tc>
      </w:tr>
      <w:tr>
        <w:trPr/>
        <w:tc>
          <w:tcPr>
            <w:tcW w:w="841" w:type="dxa"/>
            <w:tcBorders/>
          </w:tcPr>
          <w:p>
            <w:pPr>
              <w:pStyle w:val="Normal"/>
              <w:widowControl/>
              <w:spacing w:lineRule="auto" w:line="240" w:before="20" w:after="20"/>
              <w:rPr>
                <w:kern w:val="0"/>
                <w:szCs w:val="22"/>
              </w:rPr>
            </w:pPr>
            <w:r>
              <w:rPr>
                <w:b w:val="false"/>
                <w:i w:val="false"/>
                <w:kern w:val="0"/>
                <w:sz w:val="18"/>
                <w:szCs w:val="22"/>
              </w:rPr>
              <w:t>Ellsberg</w:t>
            </w:r>
          </w:p>
        </w:tc>
        <w:tc>
          <w:tcPr>
            <w:tcW w:w="2673" w:type="dxa"/>
            <w:tcBorders/>
          </w:tcPr>
          <w:p>
            <w:pPr>
              <w:pStyle w:val="Normal"/>
              <w:widowControl/>
              <w:spacing w:lineRule="auto" w:line="240" w:before="20" w:after="20"/>
              <w:rPr>
                <w:kern w:val="0"/>
                <w:szCs w:val="22"/>
              </w:rPr>
            </w:pPr>
            <w:r>
              <w:rPr>
                <w:b w:val="false"/>
                <w:i w:val="false"/>
                <w:kern w:val="0"/>
                <w:sz w:val="18"/>
                <w:szCs w:val="22"/>
              </w:rPr>
              <w:t>Legal leak via press</w:t>
            </w:r>
          </w:p>
        </w:tc>
        <w:tc>
          <w:tcPr>
            <w:tcW w:w="2858" w:type="dxa"/>
            <w:tcBorders/>
          </w:tcPr>
          <w:p>
            <w:pPr>
              <w:pStyle w:val="Normal"/>
              <w:widowControl/>
              <w:spacing w:lineRule="auto" w:line="240" w:before="20" w:after="20"/>
              <w:rPr>
                <w:kern w:val="0"/>
                <w:szCs w:val="22"/>
              </w:rPr>
            </w:pPr>
            <w:r>
              <w:rPr>
                <w:b w:val="false"/>
                <w:i w:val="false"/>
                <w:kern w:val="0"/>
                <w:sz w:val="18"/>
                <w:szCs w:val="22"/>
              </w:rPr>
              <w:t>Charges dismissed; 52-year career</w:t>
            </w:r>
          </w:p>
        </w:tc>
      </w:tr>
      <w:tr>
        <w:trPr/>
        <w:tc>
          <w:tcPr>
            <w:tcW w:w="841" w:type="dxa"/>
            <w:tcBorders/>
          </w:tcPr>
          <w:p>
            <w:pPr>
              <w:pStyle w:val="Normal"/>
              <w:widowControl/>
              <w:spacing w:lineRule="auto" w:line="240" w:before="20" w:after="20"/>
              <w:rPr>
                <w:kern w:val="0"/>
                <w:szCs w:val="22"/>
              </w:rPr>
            </w:pPr>
            <w:r>
              <w:rPr>
                <w:b w:val="false"/>
                <w:i w:val="false"/>
                <w:kern w:val="0"/>
                <w:sz w:val="18"/>
                <w:szCs w:val="22"/>
              </w:rPr>
              <w:t>Butler</w:t>
            </w:r>
          </w:p>
        </w:tc>
        <w:tc>
          <w:tcPr>
            <w:tcW w:w="2673" w:type="dxa"/>
            <w:tcBorders/>
          </w:tcPr>
          <w:p>
            <w:pPr>
              <w:pStyle w:val="Normal"/>
              <w:widowControl/>
              <w:spacing w:lineRule="auto" w:line="240" w:before="20" w:after="20"/>
              <w:rPr>
                <w:kern w:val="0"/>
                <w:szCs w:val="22"/>
              </w:rPr>
            </w:pPr>
            <w:r>
              <w:rPr>
                <w:b w:val="false"/>
                <w:i w:val="false"/>
                <w:kern w:val="0"/>
                <w:sz w:val="18"/>
                <w:szCs w:val="22"/>
              </w:rPr>
              <w:t>Congressional testimony + book</w:t>
            </w:r>
          </w:p>
        </w:tc>
        <w:tc>
          <w:tcPr>
            <w:tcW w:w="2858" w:type="dxa"/>
            <w:tcBorders/>
          </w:tcPr>
          <w:p>
            <w:pPr>
              <w:pStyle w:val="Normal"/>
              <w:widowControl/>
              <w:spacing w:lineRule="auto" w:line="240" w:before="20" w:after="20"/>
              <w:rPr>
                <w:kern w:val="0"/>
                <w:szCs w:val="22"/>
              </w:rPr>
            </w:pPr>
            <w:r>
              <w:rPr>
                <w:b w:val="false"/>
                <w:i w:val="false"/>
                <w:kern w:val="0"/>
                <w:sz w:val="18"/>
                <w:szCs w:val="22"/>
              </w:rPr>
              <w:t>Survived; Business Plot buried by media</w:t>
            </w:r>
          </w:p>
        </w:tc>
      </w:tr>
      <w:tr>
        <w:trPr/>
        <w:tc>
          <w:tcPr>
            <w:tcW w:w="841" w:type="dxa"/>
            <w:tcBorders/>
          </w:tcPr>
          <w:p>
            <w:pPr>
              <w:pStyle w:val="Normal"/>
              <w:widowControl/>
              <w:spacing w:lineRule="auto" w:line="240" w:before="20" w:after="20"/>
              <w:rPr>
                <w:kern w:val="0"/>
                <w:szCs w:val="22"/>
              </w:rPr>
            </w:pPr>
            <w:r>
              <w:rPr>
                <w:b w:val="false"/>
                <w:i w:val="false"/>
                <w:kern w:val="0"/>
                <w:sz w:val="18"/>
                <w:szCs w:val="22"/>
              </w:rPr>
              <w:t>Velikovsky</w:t>
            </w:r>
          </w:p>
        </w:tc>
        <w:tc>
          <w:tcPr>
            <w:tcW w:w="2673" w:type="dxa"/>
            <w:tcBorders/>
          </w:tcPr>
          <w:p>
            <w:pPr>
              <w:pStyle w:val="Normal"/>
              <w:widowControl/>
              <w:spacing w:lineRule="auto" w:line="240" w:before="20" w:after="20"/>
              <w:rPr>
                <w:kern w:val="0"/>
                <w:szCs w:val="22"/>
              </w:rPr>
            </w:pPr>
            <w:r>
              <w:rPr>
                <w:b w:val="false"/>
                <w:i w:val="false"/>
                <w:kern w:val="0"/>
                <w:sz w:val="18"/>
                <w:szCs w:val="22"/>
              </w:rPr>
              <w:t>Published through commercial press</w:t>
            </w:r>
          </w:p>
        </w:tc>
        <w:tc>
          <w:tcPr>
            <w:tcW w:w="2858" w:type="dxa"/>
            <w:tcBorders/>
          </w:tcPr>
          <w:p>
            <w:pPr>
              <w:pStyle w:val="Normal"/>
              <w:widowControl/>
              <w:spacing w:lineRule="auto" w:line="240" w:before="20" w:after="20"/>
              <w:rPr>
                <w:kern w:val="0"/>
                <w:szCs w:val="22"/>
              </w:rPr>
            </w:pPr>
            <w:r>
              <w:rPr>
                <w:b w:val="false"/>
                <w:i w:val="false"/>
                <w:kern w:val="0"/>
                <w:sz w:val="18"/>
                <w:szCs w:val="22"/>
              </w:rPr>
              <w:t>Career attacked; books survived</w:t>
            </w:r>
          </w:p>
        </w:tc>
      </w:tr>
      <w:tr>
        <w:trPr/>
        <w:tc>
          <w:tcPr>
            <w:tcW w:w="841" w:type="dxa"/>
            <w:tcBorders/>
          </w:tcPr>
          <w:p>
            <w:pPr>
              <w:pStyle w:val="Normal"/>
              <w:widowControl/>
              <w:spacing w:lineRule="auto" w:line="240" w:before="20" w:after="20"/>
              <w:rPr>
                <w:kern w:val="0"/>
                <w:szCs w:val="22"/>
              </w:rPr>
            </w:pPr>
            <w:r>
              <w:rPr>
                <w:b w:val="false"/>
                <w:i w:val="false"/>
                <w:kern w:val="0"/>
                <w:sz w:val="18"/>
                <w:szCs w:val="22"/>
              </w:rPr>
              <w:t>Tesla</w:t>
            </w:r>
          </w:p>
        </w:tc>
        <w:tc>
          <w:tcPr>
            <w:tcW w:w="2673" w:type="dxa"/>
            <w:tcBorders/>
          </w:tcPr>
          <w:p>
            <w:pPr>
              <w:pStyle w:val="Normal"/>
              <w:widowControl/>
              <w:spacing w:lineRule="auto" w:line="240" w:before="20" w:after="20"/>
              <w:rPr>
                <w:kern w:val="0"/>
                <w:szCs w:val="22"/>
              </w:rPr>
            </w:pPr>
            <w:r>
              <w:rPr>
                <w:b w:val="false"/>
                <w:i w:val="false"/>
                <w:kern w:val="0"/>
                <w:sz w:val="18"/>
                <w:szCs w:val="22"/>
              </w:rPr>
              <w:t>Built the technology</w:t>
            </w:r>
          </w:p>
        </w:tc>
        <w:tc>
          <w:tcPr>
            <w:tcW w:w="2858" w:type="dxa"/>
            <w:tcBorders/>
          </w:tcPr>
          <w:p>
            <w:pPr>
              <w:pStyle w:val="Normal"/>
              <w:widowControl/>
              <w:spacing w:lineRule="auto" w:line="240" w:before="20" w:after="20"/>
              <w:rPr>
                <w:kern w:val="0"/>
                <w:szCs w:val="22"/>
              </w:rPr>
            </w:pPr>
            <w:r>
              <w:rPr>
                <w:b w:val="false"/>
                <w:i w:val="false"/>
                <w:kern w:val="0"/>
                <w:sz w:val="18"/>
                <w:szCs w:val="22"/>
              </w:rPr>
              <w:t>Funding pulled; papers seized at death</w:t>
            </w:r>
          </w:p>
        </w:tc>
      </w:tr>
      <w:tr>
        <w:trPr/>
        <w:tc>
          <w:tcPr>
            <w:tcW w:w="841" w:type="dxa"/>
            <w:tcBorders/>
          </w:tcPr>
          <w:p>
            <w:pPr>
              <w:pStyle w:val="Normal"/>
              <w:widowControl/>
              <w:spacing w:lineRule="auto" w:line="240" w:before="20" w:after="20"/>
              <w:rPr>
                <w:kern w:val="0"/>
                <w:szCs w:val="22"/>
              </w:rPr>
            </w:pPr>
            <w:r>
              <w:rPr>
                <w:b w:val="false"/>
                <w:i w:val="false"/>
                <w:kern w:val="0"/>
                <w:sz w:val="18"/>
                <w:szCs w:val="22"/>
              </w:rPr>
              <w:t>Vanunu</w:t>
            </w:r>
          </w:p>
        </w:tc>
        <w:tc>
          <w:tcPr>
            <w:tcW w:w="2673" w:type="dxa"/>
            <w:tcBorders/>
          </w:tcPr>
          <w:p>
            <w:pPr>
              <w:pStyle w:val="Normal"/>
              <w:widowControl/>
              <w:spacing w:lineRule="auto" w:line="240" w:before="20" w:after="20"/>
              <w:rPr>
                <w:kern w:val="0"/>
                <w:szCs w:val="22"/>
              </w:rPr>
            </w:pPr>
            <w:r>
              <w:rPr>
                <w:b w:val="false"/>
                <w:i w:val="false"/>
                <w:kern w:val="0"/>
                <w:sz w:val="18"/>
                <w:szCs w:val="22"/>
              </w:rPr>
              <w:t>Disclosed to journalists</w:t>
            </w:r>
          </w:p>
        </w:tc>
        <w:tc>
          <w:tcPr>
            <w:tcW w:w="2858" w:type="dxa"/>
            <w:tcBorders/>
          </w:tcPr>
          <w:p>
            <w:pPr>
              <w:pStyle w:val="Normal"/>
              <w:widowControl/>
              <w:spacing w:lineRule="auto" w:line="240" w:before="20" w:after="20"/>
              <w:rPr>
                <w:kern w:val="0"/>
                <w:szCs w:val="22"/>
              </w:rPr>
            </w:pPr>
            <w:r>
              <w:rPr>
                <w:b w:val="false"/>
                <w:i w:val="false"/>
                <w:kern w:val="0"/>
                <w:sz w:val="18"/>
                <w:szCs w:val="22"/>
              </w:rPr>
              <w:t>18 years prison</w:t>
            </w:r>
          </w:p>
        </w:tc>
      </w:tr>
      <w:tr>
        <w:trPr/>
        <w:tc>
          <w:tcPr>
            <w:tcW w:w="841" w:type="dxa"/>
            <w:tcBorders/>
          </w:tcPr>
          <w:p>
            <w:pPr>
              <w:pStyle w:val="Normal"/>
              <w:widowControl/>
              <w:spacing w:lineRule="auto" w:line="240" w:before="20" w:after="20"/>
              <w:rPr>
                <w:kern w:val="0"/>
                <w:szCs w:val="22"/>
              </w:rPr>
            </w:pPr>
            <w:r>
              <w:rPr>
                <w:b w:val="false"/>
                <w:i w:val="false"/>
                <w:kern w:val="0"/>
                <w:sz w:val="18"/>
                <w:szCs w:val="22"/>
              </w:rPr>
              <w:t>Webb</w:t>
            </w:r>
          </w:p>
        </w:tc>
        <w:tc>
          <w:tcPr>
            <w:tcW w:w="2673" w:type="dxa"/>
            <w:tcBorders/>
          </w:tcPr>
          <w:p>
            <w:pPr>
              <w:pStyle w:val="Normal"/>
              <w:widowControl/>
              <w:spacing w:lineRule="auto" w:line="240" w:before="20" w:after="20"/>
              <w:rPr>
                <w:kern w:val="0"/>
                <w:szCs w:val="22"/>
              </w:rPr>
            </w:pPr>
            <w:r>
              <w:rPr>
                <w:b w:val="false"/>
                <w:i w:val="false"/>
                <w:kern w:val="0"/>
                <w:sz w:val="18"/>
                <w:szCs w:val="22"/>
              </w:rPr>
              <w:t>Published through newspaper</w:t>
            </w:r>
          </w:p>
        </w:tc>
        <w:tc>
          <w:tcPr>
            <w:tcW w:w="2858" w:type="dxa"/>
            <w:tcBorders/>
          </w:tcPr>
          <w:p>
            <w:pPr>
              <w:pStyle w:val="Normal"/>
              <w:widowControl/>
              <w:spacing w:lineRule="auto" w:line="240" w:before="20" w:after="20"/>
              <w:rPr>
                <w:kern w:val="0"/>
                <w:szCs w:val="22"/>
              </w:rPr>
            </w:pPr>
            <w:r>
              <w:rPr>
                <w:b w:val="false"/>
                <w:i w:val="false"/>
                <w:kern w:val="0"/>
                <w:sz w:val="18"/>
                <w:szCs w:val="22"/>
              </w:rPr>
              <w:t>Career destroyed; found dead</w:t>
            </w:r>
          </w:p>
        </w:tc>
      </w:tr>
      <w:tr>
        <w:trPr/>
        <w:tc>
          <w:tcPr>
            <w:tcW w:w="841" w:type="dxa"/>
            <w:tcBorders/>
          </w:tcPr>
          <w:p>
            <w:pPr>
              <w:pStyle w:val="Normal"/>
              <w:widowControl/>
              <w:spacing w:lineRule="auto" w:line="240" w:before="20" w:after="20"/>
              <w:rPr>
                <w:kern w:val="0"/>
                <w:szCs w:val="22"/>
              </w:rPr>
            </w:pPr>
            <w:r>
              <w:rPr>
                <w:b w:val="false"/>
                <w:i w:val="false"/>
                <w:kern w:val="0"/>
                <w:sz w:val="18"/>
                <w:szCs w:val="22"/>
              </w:rPr>
              <w:t>Cooper</w:t>
            </w:r>
          </w:p>
        </w:tc>
        <w:tc>
          <w:tcPr>
            <w:tcW w:w="2673" w:type="dxa"/>
            <w:tcBorders/>
          </w:tcPr>
          <w:p>
            <w:pPr>
              <w:pStyle w:val="Normal"/>
              <w:widowControl/>
              <w:spacing w:lineRule="auto" w:line="240" w:before="20" w:after="20"/>
              <w:rPr>
                <w:kern w:val="0"/>
                <w:szCs w:val="22"/>
              </w:rPr>
            </w:pPr>
            <w:r>
              <w:rPr>
                <w:b w:val="false"/>
                <w:i w:val="false"/>
                <w:kern w:val="0"/>
                <w:sz w:val="18"/>
                <w:szCs w:val="22"/>
              </w:rPr>
              <w:t>Spoke plainly on radio</w:t>
            </w:r>
          </w:p>
        </w:tc>
        <w:tc>
          <w:tcPr>
            <w:tcW w:w="2858" w:type="dxa"/>
            <w:tcBorders/>
          </w:tcPr>
          <w:p>
            <w:pPr>
              <w:pStyle w:val="Normal"/>
              <w:widowControl/>
              <w:spacing w:lineRule="auto" w:line="240" w:before="20" w:after="20"/>
              <w:rPr>
                <w:kern w:val="0"/>
                <w:szCs w:val="22"/>
              </w:rPr>
            </w:pPr>
            <w:r>
              <w:rPr>
                <w:b w:val="false"/>
                <w:i w:val="false"/>
                <w:kern w:val="0"/>
                <w:sz w:val="18"/>
                <w:szCs w:val="22"/>
              </w:rPr>
              <w:t>Shot dead within months</w:t>
            </w:r>
          </w:p>
        </w:tc>
      </w:tr>
      <w:tr>
        <w:trPr/>
        <w:tc>
          <w:tcPr>
            <w:tcW w:w="841" w:type="dxa"/>
            <w:tcBorders/>
          </w:tcPr>
          <w:p>
            <w:pPr>
              <w:pStyle w:val="Normal"/>
              <w:widowControl/>
              <w:spacing w:lineRule="auto" w:line="240" w:before="20" w:after="20"/>
              <w:rPr>
                <w:kern w:val="0"/>
                <w:szCs w:val="22"/>
              </w:rPr>
            </w:pPr>
            <w:r>
              <w:rPr>
                <w:b w:val="false"/>
                <w:i w:val="false"/>
                <w:kern w:val="0"/>
                <w:sz w:val="18"/>
                <w:szCs w:val="22"/>
              </w:rPr>
              <w:t>Bruno</w:t>
            </w:r>
          </w:p>
        </w:tc>
        <w:tc>
          <w:tcPr>
            <w:tcW w:w="2673" w:type="dxa"/>
            <w:tcBorders/>
          </w:tcPr>
          <w:p>
            <w:pPr>
              <w:pStyle w:val="Normal"/>
              <w:widowControl/>
              <w:spacing w:lineRule="auto" w:line="240" w:before="20" w:after="20"/>
              <w:rPr>
                <w:kern w:val="0"/>
                <w:szCs w:val="22"/>
              </w:rPr>
            </w:pPr>
            <w:r>
              <w:rPr>
                <w:b w:val="false"/>
                <w:i w:val="false"/>
                <w:kern w:val="0"/>
                <w:sz w:val="18"/>
                <w:szCs w:val="22"/>
              </w:rPr>
              <w:t>Spoke plainly to the Church</w:t>
            </w:r>
          </w:p>
        </w:tc>
        <w:tc>
          <w:tcPr>
            <w:tcW w:w="2858" w:type="dxa"/>
            <w:tcBorders/>
          </w:tcPr>
          <w:p>
            <w:pPr>
              <w:pStyle w:val="Normal"/>
              <w:widowControl/>
              <w:spacing w:lineRule="auto" w:line="240" w:before="20" w:after="20"/>
              <w:rPr>
                <w:kern w:val="0"/>
                <w:szCs w:val="22"/>
              </w:rPr>
            </w:pPr>
            <w:r>
              <w:rPr>
                <w:b w:val="false"/>
                <w:i w:val="false"/>
                <w:kern w:val="0"/>
                <w:sz w:val="18"/>
                <w:szCs w:val="22"/>
              </w:rPr>
              <w:t>Burned alive</w:t>
            </w:r>
          </w:p>
        </w:tc>
      </w:tr>
    </w:tbl>
    <w:p>
      <w:pPr>
        <w:pStyle w:val="Normal"/>
        <w:rPr/>
      </w:pPr>
      <w:r>
        <w:rPr/>
      </w:r>
    </w:p>
    <w:p>
      <w:pPr>
        <w:pStyle w:val="Normal"/>
        <w:rPr/>
      </w:pPr>
      <w:r>
        <w:rPr>
          <w:b w:val="false"/>
          <w:i w:val="false"/>
        </w:rPr>
        <w:t>The Pyramidal Empire can manage controlled opposition; it cannot predict when someone inside will decide the truth matters more than career, freedom, or life.</w:t>
      </w:r>
    </w:p>
    <w:p>
      <w:pPr>
        <w:pStyle w:val="Normal"/>
        <w:rPr/>
      </w:pPr>
      <w:r>
        <w:rPr>
          <w:b/>
          <w:i w:val="false"/>
        </w:rPr>
        <w:t>9/11 as antibody operation:</w:t>
      </w:r>
      <w:r>
        <w:rPr>
          <w:b w:val="false"/>
          <w:i w:val="false"/>
        </w:rPr>
        <w:t xml:space="preserve"> If the good-actor thesis is correct, 9/11 itself may be the largest antibody action in modern history — not an individual but an operation. See </w:t>
      </w:r>
      <w:hyperlink r:id="rId33">
        <w:r>
          <w:rPr>
            <w:rStyle w:val="Style"/>
            <w:b w:val="false"/>
            <w:i w:val="false"/>
            <w:color w:val="B8860B"/>
          </w:rPr>
          <w:t>False Flags: Architecture of Manufactured War</w:t>
        </w:r>
      </w:hyperlink>
      <w:r>
        <w:rPr>
          <w:b w:val="false"/>
          <w:i w:val="false"/>
        </w:rPr>
        <w:t xml:space="preserve"> for the full thesis.</w:t>
      </w:r>
    </w:p>
    <w:p>
      <w:pPr>
        <w:pStyle w:val="Normal"/>
        <w:rPr/>
      </w:pPr>
      <w:r>
        <w:rPr>
          <w:b/>
          <w:i w:val="false"/>
        </w:rPr>
        <w:t>Tolkien note.</w:t>
      </w:r>
      <w:r>
        <w:rPr>
          <w:b w:val="false"/>
          <w:i w:val="false"/>
        </w:rPr>
        <w:t xml:space="preserve"> Lewis's close friend J.R.R. Tolkien is often placed in the same category; this timeline covers him in </w:t>
      </w:r>
      <w:hyperlink r:id="rId34">
        <w:r>
          <w:rPr>
            <w:rStyle w:val="Style"/>
            <w:b w:val="false"/>
            <w:i w:val="false"/>
            <w:color w:val="B8860B"/>
          </w:rPr>
          <w:t>Predictive Programming: Literature</w:t>
        </w:r>
      </w:hyperlink>
      <w:r>
        <w:rPr>
          <w:b w:val="false"/>
          <w:i w:val="false"/>
        </w:rPr>
        <w:t>. Tolkien may have been controlled opposition — the scale of the Elvish languages strains belief as one man's work; Fomenko argues the same for Shakespeare. Until evidence emerges, Tolkien remains in the predictive-programming article.</w:t>
      </w:r>
    </w:p>
    <w:p>
      <w:pPr>
        <w:pStyle w:val="Normal"/>
        <w:rPr/>
      </w:pPr>
      <w:r>
        <w:rPr>
          <w:b w:val="false"/>
          <w:i w:val="false"/>
        </w:rPr>
        <w:t xml:space="preserve">For full evidentiary records — Lewis encoding analysis, Ellsberg Gulf of Tonkin chronology, primary-source quotations — see </w:t>
      </w:r>
      <w:hyperlink r:id="rId35">
        <w:r>
          <w:rPr>
            <w:rStyle w:val="Style"/>
            <w:b w:val="false"/>
            <w:i w:val="false"/>
            <w:color w:val="B8860B"/>
          </w:rPr>
          <w:t>Historical Antibodies: Detailed Profiles</w:t>
        </w:r>
      </w:hyperlink>
      <w:r>
        <w:rPr>
          <w:b w:val="false"/>
          <w:i w:val="false"/>
        </w:rPr>
        <w:t xml:space="preserve"> and </w:t>
      </w:r>
      <w:hyperlink r:id="rId36">
        <w:r>
          <w:rPr>
            <w:rStyle w:val="Style"/>
            <w:b w:val="false"/>
            <w:i w:val="false"/>
            <w:color w:val="B8860B"/>
          </w:rPr>
          <w:t>Pattern Analysis (Extended)</w:t>
        </w:r>
      </w:hyperlink>
      <w:r>
        <w:rPr>
          <w:b w:val="false"/>
          <w:i w:val="false"/>
        </w:rPr>
        <w:t xml:space="preserve"> in the Appendix.</w:t>
      </w:r>
    </w:p>
    <w:p>
      <w:pPr>
        <w:pStyle w:val="Heading2"/>
        <w:rPr/>
      </w:pPr>
      <w:r>
        <w:rPr/>
        <w:t>References</w:t>
      </w:r>
    </w:p>
    <w:p>
      <w:pPr>
        <w:pStyle w:val="ListBullet"/>
        <w:numPr>
          <w:ilvl w:val="0"/>
          <w:numId w:val="1"/>
        </w:numPr>
        <w:spacing w:before="20" w:after="20"/>
        <w:contextualSpacing/>
        <w:rPr/>
      </w:pPr>
      <w:r>
        <w:rPr>
          <w:b w:val="false"/>
          <w:i w:val="false"/>
          <w:sz w:val="16"/>
        </w:rPr>
        <w:t xml:space="preserve">Michael Ward, </w:t>
      </w:r>
      <w:r>
        <w:rPr>
          <w:b w:val="false"/>
          <w:i/>
          <w:sz w:val="16"/>
        </w:rPr>
        <w:t>Planet Narnia</w:t>
      </w:r>
      <w:r>
        <w:rPr>
          <w:b w:val="false"/>
          <w:i w:val="false"/>
          <w:sz w:val="16"/>
        </w:rPr>
        <w:t xml:space="preserve"> (Oxford, 2008)</w:t>
      </w:r>
    </w:p>
    <w:p>
      <w:pPr>
        <w:pStyle w:val="ListBullet"/>
        <w:numPr>
          <w:ilvl w:val="0"/>
          <w:numId w:val="1"/>
        </w:numPr>
        <w:spacing w:before="20" w:after="20"/>
        <w:contextualSpacing/>
        <w:rPr/>
      </w:pPr>
      <w:r>
        <w:rPr>
          <w:b w:val="false"/>
          <w:i w:val="false"/>
          <w:sz w:val="16"/>
        </w:rPr>
        <w:t xml:space="preserve">C.S. Lewis, </w:t>
      </w:r>
      <w:r>
        <w:rPr>
          <w:b w:val="false"/>
          <w:i/>
          <w:sz w:val="16"/>
        </w:rPr>
        <w:t>The Discarded Image</w:t>
      </w:r>
      <w:r>
        <w:rPr>
          <w:b w:val="false"/>
          <w:i w:val="false"/>
          <w:sz w:val="16"/>
        </w:rPr>
        <w:t xml:space="preserve"> (Cambridge, 1964)</w:t>
      </w:r>
    </w:p>
    <w:p>
      <w:pPr>
        <w:pStyle w:val="ListBullet"/>
        <w:numPr>
          <w:ilvl w:val="0"/>
          <w:numId w:val="1"/>
        </w:numPr>
        <w:spacing w:before="20" w:after="20"/>
        <w:contextualSpacing/>
        <w:rPr/>
      </w:pPr>
      <w:r>
        <w:rPr>
          <w:b w:val="false"/>
          <w:i w:val="false"/>
          <w:sz w:val="16"/>
        </w:rPr>
        <w:t xml:space="preserve">Daniel Ellsberg, </w:t>
      </w:r>
      <w:r>
        <w:rPr>
          <w:b w:val="false"/>
          <w:i/>
          <w:sz w:val="16"/>
        </w:rPr>
        <w:t>Secrets: A Memoir of Vietnam and the Pentagon Papers</w:t>
      </w:r>
      <w:r>
        <w:rPr>
          <w:b w:val="false"/>
          <w:i w:val="false"/>
          <w:sz w:val="16"/>
        </w:rPr>
        <w:t xml:space="preserve"> (Viking, 2002)</w:t>
      </w:r>
    </w:p>
    <w:p>
      <w:pPr>
        <w:pStyle w:val="ListBullet"/>
        <w:numPr>
          <w:ilvl w:val="0"/>
          <w:numId w:val="1"/>
        </w:numPr>
        <w:spacing w:before="20" w:after="20"/>
        <w:contextualSpacing/>
        <w:rPr/>
      </w:pPr>
      <w:r>
        <w:rPr>
          <w:b w:val="false"/>
          <w:i w:val="false"/>
          <w:sz w:val="16"/>
        </w:rPr>
        <w:t xml:space="preserve">Robert Hanyok, "Skunks, Bogies, Silent Hounds, and the Flying Fish," </w:t>
      </w:r>
      <w:r>
        <w:rPr>
          <w:b w:val="false"/>
          <w:i/>
          <w:sz w:val="16"/>
        </w:rPr>
        <w:t>Cryptologic Quarterly</w:t>
      </w:r>
      <w:r>
        <w:rPr>
          <w:b w:val="false"/>
          <w:i w:val="false"/>
          <w:sz w:val="16"/>
        </w:rPr>
        <w:t xml:space="preserve"> (NSA, 2001; declassified 2005)</w:t>
      </w:r>
    </w:p>
    <w:p>
      <w:pPr>
        <w:pStyle w:val="ListBullet"/>
        <w:numPr>
          <w:ilvl w:val="0"/>
          <w:numId w:val="1"/>
        </w:numPr>
        <w:spacing w:before="20" w:after="20"/>
        <w:contextualSpacing/>
        <w:rPr/>
      </w:pPr>
      <w:r>
        <w:rPr>
          <w:b w:val="false"/>
          <w:i w:val="false"/>
          <w:sz w:val="16"/>
        </w:rPr>
        <w:t xml:space="preserve">Smedley Butler, </w:t>
      </w:r>
      <w:r>
        <w:rPr>
          <w:b w:val="false"/>
          <w:i/>
          <w:sz w:val="16"/>
        </w:rPr>
        <w:t>War Is a Racket</w:t>
      </w:r>
      <w:r>
        <w:rPr>
          <w:b w:val="false"/>
          <w:i w:val="false"/>
          <w:sz w:val="16"/>
        </w:rPr>
        <w:t xml:space="preserve"> (1935)</w:t>
      </w:r>
    </w:p>
    <w:p>
      <w:pPr>
        <w:pStyle w:val="Normal"/>
        <w:rPr/>
      </w:pPr>
      <w:r>
        <w:rPr/>
      </w:r>
    </w:p>
    <w:p>
      <w:pPr>
        <w:pStyle w:val="Normal"/>
        <w:jc w:val="center"/>
        <w:rPr/>
      </w:pPr>
      <w:r>
        <w:rPr>
          <w:color w:val="B8860B"/>
          <w:sz w:val="24"/>
        </w:rPr>
        <w:t>— ✦ —</w:t>
      </w:r>
    </w:p>
    <w:p>
      <w:pPr>
        <w:pStyle w:val="Normal"/>
        <w:rPr/>
      </w:pPr>
      <w:r>
        <w:rPr>
          <w:b w:val="false"/>
          <w:i w:val="false"/>
        </w:rPr>
        <w:t>The Trump phenomenon was not caused by one person or one group. It was caused by the systematic reduction of humanity's potential future timelines — by a Deep State apparatus that, over the course of the 20th century, narrowed the set of possible outcomes for civilisation down to a small, controllable menu of dystopian futures. The MAGA revolution was the predictable immune response.</w:t>
      </w:r>
    </w:p>
    <w:p>
      <w:pPr>
        <w:pStyle w:val="Normal"/>
        <w:pBdr>
          <w:bottom w:val="single" w:sz="6" w:space="1" w:color="CCCCCC"/>
        </w:pBdr>
        <w:rPr/>
      </w:pPr>
      <w:r>
        <w:rPr/>
      </w:r>
    </w:p>
    <w:p>
      <w:pPr>
        <w:pStyle w:val="Heading3"/>
        <w:rPr/>
      </w:pPr>
      <w:r>
        <w:rPr/>
        <w:t>The Crucifixion Lesson</w:t>
      </w:r>
    </w:p>
    <w:p>
      <w:pPr>
        <w:pStyle w:val="Normal"/>
        <w:rPr/>
      </w:pPr>
      <w:r>
        <w:rPr>
          <w:b w:val="false"/>
          <w:i w:val="false"/>
        </w:rPr>
        <w:t xml:space="preserve">Every civilisation that has preserved the crucifixion story — in whatever form — encodes the same lesson: </w:t>
      </w:r>
      <w:r>
        <w:rPr>
          <w:b/>
          <w:i w:val="false"/>
        </w:rPr>
        <w:t>if you can survive being publicly destroyed, you become more powerful than the forces that tried to destroy you.</w:t>
      </w:r>
      <w:r>
        <w:rPr>
          <w:b w:val="false"/>
          <w:i w:val="false"/>
        </w:rPr>
        <w:t xml:space="preserve"> The mechanism is simple. The crowd watches someone absorb maximum punishment from the ruling power. If that person endures, every witness draws the same conclusion: the power structure is not as strong as it claims to be.</w:t>
      </w:r>
    </w:p>
    <w:p>
      <w:pPr>
        <w:pStyle w:val="Normal"/>
        <w:rPr/>
      </w:pPr>
      <w:r>
        <w:rPr>
          <w:b w:val="false"/>
          <w:i w:val="false"/>
        </w:rPr>
        <w:t>Christ accomplished this through sacrifice — his brother's life, then his own. Trump accomplished it without direct sacrifice. Two impeachments, four indictments, 91 felony charges, a conviction in Manhattan, an assassination attempt, and a media apparatus that ran hostile coverage for a decade — and he won the presidency twice. The structural effect was the same: hundreds of millions of people watched the most powerful institutions on Earth try to destroy one man and fail. The institutions lost credibility. The man gained it.</w:t>
      </w:r>
    </w:p>
    <w:p>
      <w:pPr>
        <w:pStyle w:val="Normal"/>
        <w:rPr/>
      </w:pPr>
      <w:r>
        <w:rPr>
          <w:b w:val="false"/>
          <w:i w:val="false"/>
        </w:rPr>
        <w:t>From this timeline's perspective, this outcome was not accidental. It was the evolved product of millennia of historical pattern. The antibodies of history — people embedded in power structures who understood what was coming — recognized the pattern and supported it.</w:t>
      </w:r>
    </w:p>
    <w:p>
      <w:pPr>
        <w:pStyle w:val="Normal"/>
        <w:pBdr>
          <w:bottom w:val="single" w:sz="6" w:space="1" w:color="CCCCCC"/>
        </w:pBdr>
        <w:rPr/>
      </w:pPr>
      <w:r>
        <w:rPr/>
      </w:r>
    </w:p>
    <w:p>
      <w:pPr>
        <w:pStyle w:val="Heading3"/>
        <w:rPr/>
      </w:pPr>
      <w:r>
        <w:rPr/>
        <w:t>Why Trump Was Predictable</w:t>
      </w:r>
    </w:p>
    <w:p>
      <w:pPr>
        <w:pStyle w:val="Normal"/>
        <w:rPr/>
      </w:pPr>
      <w:r>
        <w:rPr>
          <w:b w:val="false"/>
          <w:i w:val="false"/>
        </w:rPr>
        <w:t>The Deep State's 20th-century project required control over all possible futures. Every powerful family had to be co-opted, compromised, or destroyed. Every political movement had to be steered. Every media channel, intelligence agency, and financial institution had to be integrated into a single script. By the late 20th century, the set of permitted outcomes for human civilisation had been narrowed to a handful of managed trajectories — all of them dystopian, all of them controllable.</w:t>
      </w:r>
    </w:p>
    <w:p>
      <w:pPr>
        <w:pStyle w:val="Normal"/>
        <w:rPr/>
      </w:pPr>
      <w:r>
        <w:rPr>
          <w:b w:val="false"/>
          <w:i w:val="false"/>
        </w:rPr>
        <w:t xml:space="preserve">The antibody response was equally predictable. When the script narrows the future to a small set of outcomes, the only counter-strategy is to </w:t>
      </w:r>
      <w:r>
        <w:rPr>
          <w:b/>
          <w:i w:val="false"/>
        </w:rPr>
        <w:t>hijack one of those timelines</w:t>
      </w:r>
      <w:r>
        <w:rPr>
          <w:b w:val="false"/>
          <w:i w:val="false"/>
        </w:rPr>
        <w:t xml:space="preserve"> — to enter the script, run through the Deep State's own plans, and execute them with minimum damage while retaining sovereignty. This is not sabotage from outside. It is subversion from within: using the enemy's own infrastructure against itself.</w:t>
      </w:r>
    </w:p>
    <w:p>
      <w:pPr>
        <w:pStyle w:val="Normal"/>
        <w:rPr/>
      </w:pPr>
      <w:r>
        <w:rPr>
          <w:b w:val="false"/>
          <w:i w:val="false"/>
        </w:rPr>
        <w:t xml:space="preserve">This realisation was not confined to one person. Millions of people across history understood the logic. But the willingness to act on it — to absorb the full weight of public crucifixion in exchange for the chance to steer the outcome — would come down to a handful of individuals from a handful of families. The selection criteria were narrow: the family had to be wealthy enough to matter, visible enough to be credible, and </w:t>
      </w:r>
      <w:r>
        <w:rPr>
          <w:b/>
          <w:i w:val="false"/>
        </w:rPr>
        <w:t>uncompromised</w:t>
      </w:r>
      <w:r>
        <w:rPr>
          <w:b w:val="false"/>
          <w:i w:val="false"/>
        </w:rPr>
        <w:t xml:space="preserve"> — never integrated into the post-WW2 networks of control that bound most dynasties to the Deep State.</w:t>
      </w:r>
    </w:p>
    <w:p>
      <w:pPr>
        <w:pStyle w:val="Normal"/>
        <w:pBdr>
          <w:bottom w:val="single" w:sz="6" w:space="1" w:color="CCCCCC"/>
        </w:pBdr>
        <w:rPr/>
      </w:pPr>
      <w:r>
        <w:rPr/>
      </w:r>
    </w:p>
    <w:p>
      <w:pPr>
        <w:pStyle w:val="Heading3"/>
        <w:rPr/>
      </w:pPr>
      <w:r>
        <w:rPr/>
        <w:t>The Patton Connection</w:t>
      </w:r>
    </w:p>
    <w:p>
      <w:pPr>
        <w:pStyle w:val="Normal"/>
        <w:rPr/>
      </w:pPr>
      <w:r>
        <w:rPr>
          <w:b w:val="false"/>
          <w:i w:val="false"/>
        </w:rPr>
        <w:t>Trump's significance in his own lifetime is inseparable from his relationship with General George S. Patton — who himself represents a major plot hole in the Western WW2 narrative.</w:t>
      </w:r>
    </w:p>
    <w:p>
      <w:pPr>
        <w:pStyle w:val="Normal"/>
        <w:rPr/>
      </w:pPr>
      <w:r>
        <w:rPr>
          <w:b w:val="false"/>
          <w:i w:val="false"/>
        </w:rPr>
        <w:t>Patton opposed the destruction of Germany. He called denazification unnecessary, compared ex-Nazis to "Democrats and Republicans," and argued that the real enemy was the Soviet Union, not the German state. He proposed rearming Germany against the Soviets. For this, Eisenhower removed him from command. Twelve days after a car accident in Mannheim, he was dead.</w:t>
      </w:r>
    </w:p>
    <w:p>
      <w:pPr>
        <w:pStyle w:val="Normal"/>
        <w:rPr/>
      </w:pPr>
      <w:r>
        <w:rPr>
          <w:b w:val="false"/>
          <w:i w:val="false"/>
        </w:rPr>
        <w:t xml:space="preserve">Patton was the highest-profile figure of the war to openly question the script — and the script removed him. His dissent is documented in the </w:t>
      </w:r>
      <w:hyperlink r:id="rId37">
        <w:r>
          <w:rPr>
            <w:rStyle w:val="Style"/>
            <w:b w:val="false"/>
            <w:i w:val="false"/>
            <w:color w:val="B8860B"/>
          </w:rPr>
          <w:t>Patton Papers</w:t>
        </w:r>
      </w:hyperlink>
      <w:r>
        <w:rPr>
          <w:b w:val="false"/>
          <w:i w:val="false"/>
        </w:rPr>
        <w:t xml:space="preserve"> at the Library of Congress and in his September 1945 press statements. He warned: </w:t>
      </w:r>
      <w:r>
        <w:rPr>
          <w:b w:val="false"/>
          <w:i/>
        </w:rPr>
        <w:t>"We have had a victory over the Germans and disarmed them, but we have failed in the liberation of Europe; we have lost the war!"</w:t>
      </w:r>
    </w:p>
    <w:p>
      <w:pPr>
        <w:pStyle w:val="Normal"/>
        <w:rPr/>
      </w:pPr>
      <w:r>
        <w:rPr>
          <w:b w:val="false"/>
          <w:i w:val="false"/>
        </w:rPr>
        <w:t xml:space="preserve">The Patton-Trump connection exists on multiple levels. At minimum, Trump has publicly expressed deep admiration for Patton, and commentators have noted striking temperamental and rhetorical parallels between the two. A </w:t>
      </w:r>
      <w:hyperlink r:id="rId38">
        <w:r>
          <w:rPr>
            <w:rStyle w:val="Style"/>
            <w:b w:val="false"/>
            <w:i w:val="false"/>
            <w:color w:val="B8860B"/>
          </w:rPr>
          <w:t>persistent rumour</w:t>
        </w:r>
      </w:hyperlink>
      <w:r>
        <w:rPr>
          <w:b w:val="false"/>
          <w:i w:val="false"/>
        </w:rPr>
        <w:t xml:space="preserve"> — promoted by QAnon circles and aggressively debunked by mainstream fact-checkers — claims biological paternity. This timeline documents the claim and the debunk wave without asserting either side (see </w:t>
      </w:r>
      <w:hyperlink r:id="rId39">
        <w:r>
          <w:rPr>
            <w:rStyle w:val="Style"/>
            <w:b w:val="false"/>
            <w:i w:val="false"/>
            <w:color w:val="B8860B"/>
          </w:rPr>
          <w:t>Trump Investigation</w:t>
        </w:r>
      </w:hyperlink>
      <w:r>
        <w:rPr>
          <w:b w:val="false"/>
          <w:i w:val="false"/>
        </w:rPr>
        <w:t xml:space="preserve"> for the full citation inventory). What matters structurally is that Patton identified the post-war script in real time and was eliminated for it. Trump — whether connected to Patton by blood, by temperament, or simply by pattern — inherited the same structural position: a figure inside the power structure who could not be controlled.</w:t>
      </w:r>
    </w:p>
    <w:p>
      <w:pPr>
        <w:pStyle w:val="Normal"/>
        <w:pBdr>
          <w:bottom w:val="single" w:sz="6" w:space="1" w:color="CCCCCC"/>
        </w:pBdr>
        <w:rPr/>
      </w:pPr>
      <w:r>
        <w:rPr/>
      </w:r>
    </w:p>
    <w:p>
      <w:pPr>
        <w:pStyle w:val="Heading3"/>
        <w:rPr/>
      </w:pPr>
      <w:r>
        <w:rPr/>
        <w:t>The Uncompromised Dynasty</w:t>
      </w:r>
    </w:p>
    <w:p>
      <w:pPr>
        <w:pStyle w:val="Normal"/>
        <w:rPr/>
      </w:pPr>
      <w:r>
        <w:rPr>
          <w:b w:val="false"/>
          <w:i w:val="false"/>
        </w:rPr>
        <w:t xml:space="preserve">Trump was not special because of who he was or how he was raised. He was special because of what his family </w:t>
      </w:r>
      <w:r>
        <w:rPr>
          <w:b w:val="false"/>
          <w:i/>
        </w:rPr>
        <w:t>was not</w:t>
      </w:r>
      <w:r>
        <w:rPr>
          <w:b w:val="false"/>
          <w:i w:val="false"/>
        </w:rPr>
        <w:t>.</w:t>
      </w:r>
    </w:p>
    <w:p>
      <w:pPr>
        <w:pStyle w:val="Normal"/>
        <w:rPr/>
      </w:pPr>
      <w:r>
        <w:rPr>
          <w:b w:val="false"/>
          <w:i w:val="false"/>
        </w:rPr>
        <w:t>The Trump dynasty emerged from WW2 with a distinct profile. Fred Trump built housing for war workers. The family was never implicated in Operation Paperclip, intelligence recruitment, or the compromise networks that bound the Kennedys, Rockefellers, Bushes, and other dynasties to the Deep State apparatus. Unlike families whose members were co-opted, killed, blackmailed, or simply replaced, the Trumps remained outside the inner circle: wealthy, visible, but not on the inside of the script.</w:t>
      </w:r>
    </w:p>
    <w:p>
      <w:pPr>
        <w:pStyle w:val="Normal"/>
        <w:rPr/>
      </w:pPr>
      <w:r>
        <w:rPr>
          <w:b w:val="false"/>
          <w:i w:val="false"/>
        </w:rPr>
        <w:t>The Deep State's plan required control over all powerful families. Any uncompromised family represented a structural vulnerability — a wild card that could, at any moment, decide to turn. As more people in positions of power recognised the narrowing of future timelines, they scanned for families that had resisted 20th-century Deep State influence. The Trumps were on a very short list.</w:t>
      </w:r>
    </w:p>
    <w:p>
      <w:pPr>
        <w:pStyle w:val="Normal"/>
        <w:rPr/>
      </w:pPr>
      <w:r>
        <w:rPr>
          <w:b w:val="false"/>
          <w:i w:val="false"/>
        </w:rPr>
        <w:t xml:space="preserve">This is why Trump appeared in </w:t>
      </w:r>
      <w:hyperlink r:id="rId40">
        <w:r>
          <w:rPr>
            <w:rStyle w:val="Style"/>
            <w:b w:val="false"/>
            <w:i w:val="false"/>
            <w:color w:val="B8860B"/>
          </w:rPr>
          <w:t>predictive programming</w:t>
        </w:r>
      </w:hyperlink>
      <w:r>
        <w:rPr>
          <w:b w:val="false"/>
          <w:i w:val="false"/>
        </w:rPr>
        <w:t xml:space="preserve"> years before his political career. The script could not guarantee his compliance. He was brash, media-savvy, from a family that owed nothing to the intelligence community. The Deep State's own models flagged him as a risk — and so his image was pre-loaded into the cultural record, the way all uncontrollable variables are processed: acknowledged, framed, and prepared for.</w:t>
      </w:r>
    </w:p>
    <w:p>
      <w:pPr>
        <w:pStyle w:val="Normal"/>
        <w:pBdr>
          <w:bottom w:val="single" w:sz="6" w:space="1" w:color="CCCCCC"/>
        </w:pBdr>
        <w:rPr/>
      </w:pPr>
      <w:r>
        <w:rPr/>
      </w:r>
    </w:p>
    <w:p>
      <w:pPr>
        <w:pStyle w:val="Heading3"/>
        <w:rPr/>
      </w:pPr>
      <w:r>
        <w:rPr/>
        <w:t>The Epstein Test: Proof of Non-Compromise</w:t>
      </w:r>
    </w:p>
    <w:p>
      <w:pPr>
        <w:pStyle w:val="Normal"/>
        <w:rPr/>
      </w:pPr>
      <w:r>
        <w:rPr>
          <w:b w:val="false"/>
          <w:i w:val="false"/>
        </w:rPr>
        <w:t xml:space="preserve">Claiming to be uncompromised is cheap. Proving it requires action — specifically, action against the Deep State's own control infrastructure. The Jeffrey Epstein network was that infrastructure: a blackmail operation designed to compromise every powerful person it touched. </w:t>
      </w:r>
      <w:r>
        <w:rPr>
          <w:b/>
          <w:i w:val="false"/>
        </w:rPr>
        <w:t>Nobody could tell whether Trump was genuinely uncompromised until he went after Epstein.</w:t>
      </w:r>
    </w:p>
    <w:p>
      <w:pPr>
        <w:pStyle w:val="Normal"/>
        <w:rPr/>
      </w:pPr>
      <w:r>
        <w:rPr>
          <w:b w:val="false"/>
          <w:i w:val="false"/>
        </w:rPr>
        <w:t>This timeline assumes a high likelihood that the following documented claims are true:</w:t>
      </w:r>
    </w:p>
    <w:p>
      <w:pPr>
        <w:pStyle w:val="Normal"/>
        <w:rPr/>
      </w:pPr>
      <w:r>
        <w:rPr>
          <w:b/>
          <w:i w:val="false"/>
        </w:rPr>
        <w:t>2006 — The Call.</w:t>
      </w:r>
      <w:r>
        <w:rPr>
          <w:b w:val="false"/>
          <w:i w:val="false"/>
        </w:rPr>
        <w:t xml:space="preserve"> According to an FBI document released in February 2026, which detailed a 2019 interview with former Palm Beach Police Chief Michael Reiter, Donald Trump contacted local police in 2006 after they launched an investigation into Epstein. Reiter alleged that Trump told him: </w:t>
      </w:r>
      <w:r>
        <w:rPr>
          <w:b w:val="false"/>
          <w:i/>
        </w:rPr>
        <w:t>"Thank goodness you're stopping him, everyone has known he's been doing this."</w:t>
      </w:r>
      <w:r>
        <w:rPr>
          <w:b w:val="false"/>
          <w:i w:val="false"/>
        </w:rPr>
        <w:t xml:space="preserve"> Trump reportedly added that he had thrown Epstein out of Mar-a-Lago and suggested police focus on Ghislaine Maxwell, calling her "evil."</w:t>
      </w:r>
    </w:p>
    <w:p>
      <w:pPr>
        <w:pStyle w:val="Normal"/>
        <w:rPr/>
      </w:pPr>
      <w:r>
        <w:rPr>
          <w:b/>
          <w:i w:val="false"/>
        </w:rPr>
        <w:t>2009 — Assistance to Victims' Counsel.</w:t>
      </w:r>
      <w:r>
        <w:rPr>
          <w:b w:val="false"/>
          <w:i w:val="false"/>
        </w:rPr>
        <w:t xml:space="preserve"> Brad Edwards, a lawyer representing several of Epstein's victims, stated that Trump helped his legal team with their investigation in 2009, providing information after Trump had already distanced himself from Epstein. Edwards later testified that Trump was the </w:t>
      </w:r>
      <w:r>
        <w:rPr>
          <w:b w:val="false"/>
          <w:i/>
        </w:rPr>
        <w:t>only</w:t>
      </w:r>
      <w:r>
        <w:rPr>
          <w:b w:val="false"/>
          <w:i w:val="false"/>
        </w:rPr>
        <w:t xml:space="preserve"> person of prominence who voluntarily cooperated with the victims' legal effort.</w:t>
      </w:r>
    </w:p>
    <w:p>
      <w:pPr>
        <w:pStyle w:val="Normal"/>
        <w:rPr/>
      </w:pPr>
      <w:r>
        <w:rPr>
          <w:b/>
          <w:i w:val="false"/>
        </w:rPr>
        <w:t>Why the timing matters.</w:t>
      </w:r>
      <w:r>
        <w:rPr>
          <w:b w:val="false"/>
          <w:i w:val="false"/>
        </w:rPr>
        <w:t xml:space="preserve"> Trump's actions against Epstein occurred in 2006 and 2009 — years before his 2015 presidential campaign. This gave the antibodies of history — people inside power structures scanning for an uncompromised candidate — </w:t>
      </w:r>
      <w:r>
        <w:rPr>
          <w:b/>
          <w:i w:val="false"/>
        </w:rPr>
        <w:t>time to verify</w:t>
      </w:r>
      <w:r>
        <w:rPr>
          <w:b w:val="false"/>
          <w:i w:val="false"/>
        </w:rPr>
        <w:t>. The FBI's own files documented Trump's cooperation. Anyone with access to law enforcement or intelligence records could confirm that Trump had moved against the Deep State's blackmail network voluntarily, without political motivation, at a time when doing so offered no public benefit and considerable private risk.</w:t>
      </w:r>
    </w:p>
    <w:p>
      <w:pPr>
        <w:pStyle w:val="Normal"/>
        <w:rPr/>
      </w:pPr>
      <w:r>
        <w:rPr>
          <w:b w:val="false"/>
          <w:i w:val="false"/>
        </w:rPr>
        <w:t xml:space="preserve">By 2015, when Trump descended the escalator, the people who mattered already knew. The Epstein test was not the only evidence, but it was the clearest: a wealthy, powerful man who encountered the Deep State's compromise apparatus and </w:t>
      </w:r>
      <w:r>
        <w:rPr>
          <w:b/>
          <w:i w:val="false"/>
        </w:rPr>
        <w:t>reported it to police</w:t>
      </w:r>
      <w:r>
        <w:rPr>
          <w:b w:val="false"/>
          <w:i w:val="false"/>
        </w:rPr>
        <w:t xml:space="preserve"> instead of participating. In an ecosystem where virtually every figure of comparable wealth and visibility had been touched, leveraged, or silenced by the Epstein network, Trump's 2006 call to Palm Beach PD was a signal that could not be faked.</w:t>
      </w:r>
    </w:p>
    <w:p>
      <w:pPr>
        <w:pStyle w:val="Normal"/>
        <w:rPr/>
      </w:pPr>
      <w:r>
        <w:rPr>
          <w:b w:val="false"/>
          <w:i w:val="false"/>
        </w:rPr>
        <w:t xml:space="preserve">The Deep State understood this too. The media's relentless attempt to </w:t>
      </w:r>
      <w:r>
        <w:rPr>
          <w:b w:val="false"/>
          <w:i/>
        </w:rPr>
        <w:t>associate</w:t>
      </w:r>
      <w:r>
        <w:rPr>
          <w:b w:val="false"/>
          <w:i w:val="false"/>
        </w:rPr>
        <w:t xml:space="preserve"> Trump with Epstein — recycling photographs, emphasising a pre-2004 social acquaintance, ignoring the 2006 and 2009 cooperation — was the standard inversion: accuse the whistleblower of the crime he reported. The FBI's own documents contradict the narrative, but the documents were not released until February 2026 — after Trump had already survived two elections, four indictments, and an assassination attempt. The timing of the release is itself informative: the evidence was always there; it was withheld until withholding it no longer served the script.</w:t>
      </w:r>
    </w:p>
    <w:p>
      <w:pPr>
        <w:pStyle w:val="Normal"/>
        <w:pBdr>
          <w:bottom w:val="single" w:sz="6" w:space="1" w:color="CCCCCC"/>
        </w:pBdr>
        <w:rPr/>
      </w:pPr>
      <w:r>
        <w:rPr/>
      </w:r>
    </w:p>
    <w:p>
      <w:pPr>
        <w:pStyle w:val="Heading3"/>
        <w:rPr/>
      </w:pPr>
      <w:r>
        <w:rPr/>
        <w:t>The German Heritage and the Cover Story</w:t>
      </w:r>
    </w:p>
    <w:p>
      <w:pPr>
        <w:pStyle w:val="Normal"/>
        <w:rPr/>
      </w:pPr>
      <w:r>
        <w:rPr>
          <w:b w:val="false"/>
          <w:i w:val="false"/>
        </w:rPr>
        <w:t xml:space="preserve">The Trump family's German roots were deliberately suppressed. In </w:t>
      </w:r>
      <w:r>
        <w:rPr>
          <w:b w:val="false"/>
          <w:i/>
        </w:rPr>
        <w:t>The Art of the Deal</w:t>
      </w:r>
      <w:r>
        <w:rPr>
          <w:b w:val="false"/>
          <w:i w:val="false"/>
        </w:rPr>
        <w:t xml:space="preserve"> (1987), Trump claimed his grandfather "came here from Sweden." This was false. Friedrich Trump (originally Trumpf) was born in Kallstadt, Rhineland-Palatinate, in 1869. Family historian John Walter confirmed that Fred Trump obscured the German ancestry post-WW2 to avoid anti-German sentiment among Jewish friends and clients.</w:t>
      </w:r>
    </w:p>
    <w:p>
      <w:pPr>
        <w:pStyle w:val="Normal"/>
        <w:rPr/>
      </w:pPr>
      <w:r>
        <w:rPr>
          <w:b w:val="false"/>
          <w:i w:val="false"/>
        </w:rPr>
        <w:t xml:space="preserve">Trump himself has repeatedly surfaced the German connection — stating on multiple occasions that his father was "born in a very wonderful place in Germany." The media corrects him every time (Fred Trump was born in the Bronx), and each correction buries the deeper truth: the family's German heritage was hidden, the hiding was deliberate, and the question of </w:t>
      </w:r>
      <w:r>
        <w:rPr>
          <w:b w:val="false"/>
          <w:i/>
        </w:rPr>
        <w:t>why</w:t>
      </w:r>
      <w:r>
        <w:rPr>
          <w:b w:val="false"/>
          <w:i w:val="false"/>
        </w:rPr>
        <w:t xml:space="preserve"> it mattered has never been answered. See </w:t>
      </w:r>
      <w:hyperlink r:id="rId41">
        <w:r>
          <w:rPr>
            <w:rStyle w:val="Style"/>
            <w:b w:val="false"/>
            <w:i w:val="false"/>
            <w:color w:val="B8860B"/>
          </w:rPr>
          <w:t>Trump investigation</w:t>
        </w:r>
      </w:hyperlink>
      <w:r>
        <w:rPr>
          <w:b w:val="false"/>
          <w:i w:val="false"/>
        </w:rPr>
        <w:t xml:space="preserve"> for the full debunk-wave documentation.</w:t>
      </w:r>
    </w:p>
    <w:p>
      <w:pPr>
        <w:pStyle w:val="Normal"/>
        <w:pBdr>
          <w:bottom w:val="single" w:sz="6" w:space="1" w:color="CCCCCC"/>
        </w:pBdr>
        <w:rPr/>
      </w:pPr>
      <w:r>
        <w:rPr/>
      </w:r>
    </w:p>
    <w:p>
      <w:pPr>
        <w:pStyle w:val="Heading3"/>
        <w:rPr/>
      </w:pPr>
      <w:r>
        <w:rPr/>
        <w:t>The Logic of the Antibody</w:t>
      </w:r>
    </w:p>
    <w:p>
      <w:pPr>
        <w:pStyle w:val="Normal"/>
        <w:rPr/>
      </w:pPr>
      <w:r>
        <w:rPr>
          <w:b w:val="false"/>
          <w:i w:val="false"/>
        </w:rPr>
        <w:t>From this timeline's perspective, commentators who find Trump's actions erratic or incoherent are missing the structural logic. The MAGA revolution was not a reaction to one election, one scandal, or one political programme. It was the culmination of a centuries-long immune response — the moment when the antibodies of history identified a viable host, hijacked one of the Deep State's own managed timelines, and began running through the script with the objective of minimising damage and preserving sovereignty.</w:t>
      </w:r>
    </w:p>
    <w:p>
      <w:pPr>
        <w:pStyle w:val="Normal"/>
        <w:rPr/>
      </w:pPr>
      <w:r>
        <w:rPr>
          <w:b w:val="false"/>
          <w:i w:val="false"/>
        </w:rPr>
        <w:t xml:space="preserve">The horrible outcomes planned by the Deep State — wars, pandemics, financial collapses, surveillance states — would still occur. The antibody strategy was never to prevent them. It was to </w:t>
      </w:r>
      <w:r>
        <w:rPr>
          <w:b/>
          <w:i w:val="false"/>
        </w:rPr>
        <w:t>pass through them</w:t>
      </w:r>
      <w:r>
        <w:rPr>
          <w:b w:val="false"/>
          <w:i w:val="false"/>
        </w:rPr>
        <w:t xml:space="preserve"> with the minimum possible destruction, the way a controlled burn prevents a wildfire. Trump's role was not to stop the fire. It was to ensure that something survived it.</w:t>
      </w:r>
    </w:p>
    <w:p>
      <w:pPr>
        <w:pStyle w:val="Normal"/>
        <w:rPr/>
      </w:pPr>
      <w:r>
        <w:rPr>
          <w:b w:val="false"/>
          <w:i w:val="false"/>
        </w:rPr>
        <w:t xml:space="preserve">This is the Obi-Wan Kenobi principle applied to geopolitics: </w:t>
      </w:r>
      <w:r>
        <w:rPr>
          <w:b/>
          <w:i w:val="false"/>
        </w:rPr>
        <w:t>absorb the strike, survive the crucifixion, and emerge on the other side with more power than the attacker can comprehend.</w:t>
      </w:r>
      <w:r>
        <w:rPr>
          <w:b w:val="false"/>
          <w:i w:val="false"/>
        </w:rPr>
        <w:t xml:space="preserve"> The Deep State's own playbook — public destruction of enemies to deter resistance — became the mechanism of its undoing. Every indictment, every impeachment, every media campaign that attempted to destroy Trump made him stronger and the institutions weaker. The antibody had learned the lesson of two thousand years of history and applied it without flinching.</w:t>
      </w:r>
    </w:p>
    <w:p>
      <w:pPr>
        <w:pStyle w:val="Normal"/>
        <w:pBdr>
          <w:bottom w:val="single" w:sz="6" w:space="1" w:color="CCCCCC"/>
        </w:pBdr>
        <w:rPr/>
      </w:pPr>
      <w:r>
        <w:rPr/>
      </w:r>
    </w:p>
    <w:p>
      <w:pPr>
        <w:pStyle w:val="Heading3"/>
        <w:rPr/>
      </w:pPr>
      <w:r>
        <w:rPr/>
        <w:t>References</w:t>
      </w:r>
    </w:p>
    <w:p>
      <w:pPr>
        <w:pStyle w:val="ListBullet"/>
        <w:numPr>
          <w:ilvl w:val="0"/>
          <w:numId w:val="1"/>
        </w:numPr>
        <w:spacing w:before="20" w:after="20"/>
        <w:contextualSpacing/>
        <w:rPr/>
      </w:pPr>
      <w:r>
        <w:rPr>
          <w:b w:val="false"/>
          <w:i w:val="false"/>
          <w:sz w:val="16"/>
        </w:rPr>
        <w:t xml:space="preserve">Library of Congress, </w:t>
      </w:r>
      <w:hyperlink r:id="rId42">
        <w:r>
          <w:rPr>
            <w:rStyle w:val="Style"/>
            <w:b w:val="false"/>
            <w:i w:val="false"/>
            <w:color w:val="B8860B"/>
            <w:sz w:val="16"/>
          </w:rPr>
          <w:t>George S. Patton Papers: Diaries, 1910–1945</w:t>
        </w:r>
      </w:hyperlink>
    </w:p>
    <w:p>
      <w:pPr>
        <w:pStyle w:val="ListBullet"/>
        <w:numPr>
          <w:ilvl w:val="0"/>
          <w:numId w:val="1"/>
        </w:numPr>
        <w:spacing w:before="20" w:after="20"/>
        <w:contextualSpacing/>
        <w:rPr/>
      </w:pPr>
      <w:r>
        <w:rPr>
          <w:b w:val="false"/>
          <w:i w:val="false"/>
          <w:sz w:val="16"/>
        </w:rPr>
        <w:t xml:space="preserve">Donald Trump, Tony Schwartz, </w:t>
      </w:r>
      <w:r>
        <w:rPr>
          <w:b w:val="false"/>
          <w:i/>
          <w:sz w:val="16"/>
        </w:rPr>
        <w:t>The Art of the Deal</w:t>
      </w:r>
      <w:r>
        <w:rPr>
          <w:b w:val="false"/>
          <w:i w:val="false"/>
          <w:sz w:val="16"/>
        </w:rPr>
        <w:t xml:space="preserve"> (Random House, 1987)</w:t>
      </w:r>
    </w:p>
    <w:p>
      <w:pPr>
        <w:pStyle w:val="ListBullet"/>
        <w:numPr>
          <w:ilvl w:val="0"/>
          <w:numId w:val="1"/>
        </w:numPr>
        <w:spacing w:before="20" w:after="20"/>
        <w:contextualSpacing/>
        <w:rPr/>
      </w:pPr>
      <w:r>
        <w:rPr>
          <w:b w:val="false"/>
          <w:i w:val="false"/>
          <w:sz w:val="16"/>
        </w:rPr>
        <w:t>John Walter, family historian, on Fred Trump and German ancestry (History.com, CNN)</w:t>
      </w:r>
    </w:p>
    <w:p>
      <w:pPr>
        <w:pStyle w:val="ListBullet"/>
        <w:numPr>
          <w:ilvl w:val="0"/>
          <w:numId w:val="1"/>
        </w:numPr>
        <w:spacing w:before="20" w:after="20"/>
        <w:contextualSpacing/>
        <w:rPr/>
      </w:pPr>
      <w:r>
        <w:rPr>
          <w:b w:val="false"/>
          <w:i w:val="false"/>
          <w:sz w:val="16"/>
        </w:rPr>
        <w:t>FBI Document: Interview with Michael Reiter, former Palm Beach Police Chief (released February 2026); Trump's 2006 call regarding Epstein</w:t>
      </w:r>
    </w:p>
    <w:p>
      <w:pPr>
        <w:pStyle w:val="ListBullet"/>
        <w:numPr>
          <w:ilvl w:val="0"/>
          <w:numId w:val="1"/>
        </w:numPr>
        <w:spacing w:before="20" w:after="20"/>
        <w:contextualSpacing/>
        <w:rPr/>
      </w:pPr>
      <w:r>
        <w:rPr>
          <w:b w:val="false"/>
          <w:i w:val="false"/>
          <w:sz w:val="16"/>
        </w:rPr>
        <w:t>Brad Edwards, attorney for Epstein victims, on Trump's voluntary 2009 cooperation (deposition testimony; BBC reporting)</w:t>
      </w:r>
    </w:p>
    <w:p>
      <w:pPr>
        <w:pStyle w:val="ListBullet"/>
        <w:numPr>
          <w:ilvl w:val="0"/>
          <w:numId w:val="1"/>
        </w:numPr>
        <w:spacing w:before="20" w:after="20"/>
        <w:contextualSpacing/>
        <w:rPr/>
      </w:pPr>
      <w:hyperlink r:id="rId43">
        <w:r>
          <w:rPr>
            <w:rStyle w:val="Style"/>
            <w:b w:val="false"/>
            <w:i w:val="false"/>
            <w:color w:val="B8860B"/>
            <w:sz w:val="16"/>
          </w:rPr>
          <w:t>Trump Investigation: Full Citation Inventory</w:t>
        </w:r>
      </w:hyperlink>
    </w:p>
    <w:p>
      <w:pPr>
        <w:pStyle w:val="ListBullet"/>
        <w:numPr>
          <w:ilvl w:val="0"/>
          <w:numId w:val="1"/>
        </w:numPr>
        <w:spacing w:before="20" w:after="20"/>
        <w:contextualSpacing/>
        <w:rPr/>
      </w:pPr>
      <w:hyperlink r:id="rId44">
        <w:r>
          <w:rPr>
            <w:rStyle w:val="Style"/>
            <w:b w:val="false"/>
            <w:i w:val="false"/>
            <w:color w:val="B8860B"/>
            <w:sz w:val="16"/>
          </w:rPr>
          <w:t>General Patton Profile</w:t>
        </w:r>
      </w:hyperlink>
    </w:p>
    <w:p>
      <w:pPr>
        <w:pStyle w:val="Normal"/>
        <w:spacing w:before="0" w:after="80"/>
        <w:rPr/>
      </w:pPr>
      <w:r>
        <w:rPr/>
      </w:r>
    </w:p>
    <w:sectPr>
      <w:headerReference w:type="even" r:id="rId45"/>
      <w:headerReference w:type="default" r:id="rId46"/>
      <w:headerReference w:type="first" r:id="rId47"/>
      <w:footerReference w:type="even" r:id="rId48"/>
      <w:footerReference w:type="default" r:id="rId49"/>
      <w:footerReference w:type="first" r:id="rId50"/>
      <w:type w:val="nextPage"/>
      <w:pgSz w:w="12240" w:h="15840"/>
      <w:pgMar w:left="850" w:right="850" w:gutter="0" w:header="720" w:top="777" w:footer="720" w:bottom="77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EB Garamond">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Libre Frankli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color w:val="888888"/>
        <w:sz w:val="17"/>
      </w:rPr>
      <w:fldChar w:fldCharType="begin"/>
    </w:r>
    <w:r>
      <w:rPr>
        <w:color w:val="888888"/>
        <w:sz w:val="17"/>
      </w:rPr>
      <w:instrText xml:space="preserve"> PAGE </w:instrText>
    </w:r>
    <w:r>
      <w:rPr>
        <w:color w:val="888888"/>
        <w:sz w:val="17"/>
      </w:rPr>
      <w:fldChar w:fldCharType="separate"/>
    </w:r>
    <w:r>
      <w:rPr>
        <w:color w:val="888888"/>
        <w:sz w:val="17"/>
      </w:rPr>
      <w:t>8</w:t>
    </w:r>
    <w:r>
      <w:rPr>
        <w:color w:val="888888"/>
        <w:sz w:val="17"/>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color w:val="888888"/>
        <w:sz w:val="17"/>
      </w:rPr>
      <w:fldChar w:fldCharType="begin"/>
    </w:r>
    <w:r>
      <w:rPr>
        <w:color w:val="888888"/>
        <w:sz w:val="17"/>
      </w:rPr>
      <w:instrText xml:space="preserve"> PAGE </w:instrText>
    </w:r>
    <w:r>
      <w:rPr>
        <w:color w:val="888888"/>
        <w:sz w:val="17"/>
      </w:rPr>
      <w:fldChar w:fldCharType="separate"/>
    </w:r>
    <w:r>
      <w:rPr>
        <w:color w:val="888888"/>
        <w:sz w:val="17"/>
      </w:rPr>
      <w:t>8</w:t>
    </w:r>
    <w:r>
      <w:rPr>
        <w:color w:val="888888"/>
        <w:sz w:val="17"/>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color w:val="888888"/>
        <w:sz w:val="17"/>
      </w:rPr>
      <w:fldChar w:fldCharType="begin"/>
    </w:r>
    <w:r>
      <w:rPr>
        <w:color w:val="888888"/>
        <w:sz w:val="17"/>
      </w:rPr>
      <w:instrText xml:space="preserve"> PAGE </w:instrText>
    </w:r>
    <w:r>
      <w:rPr>
        <w:color w:val="888888"/>
        <w:sz w:val="17"/>
      </w:rPr>
      <w:fldChar w:fldCharType="separate"/>
    </w:r>
    <w:r>
      <w:rPr>
        <w:color w:val="888888"/>
        <w:sz w:val="17"/>
      </w:rPr>
      <w:t>11</w:t>
    </w:r>
    <w:r>
      <w:rPr>
        <w:color w:val="888888"/>
        <w:sz w:val="17"/>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6372" w:leader="none"/>
        <w:tab w:val="right" w:pos="9360" w:leader="none"/>
      </w:tabs>
      <w:spacing w:before="0" w:after="0"/>
      <w:rPr/>
    </w:pPr>
    <w:r>
      <w:rPr>
        <w:color w:val="888888"/>
        <w:sz w:val="17"/>
      </w:rPr>
      <w:fldChar w:fldCharType="begin"/>
    </w:r>
    <w:r>
      <w:rPr>
        <w:color w:val="888888"/>
        <w:sz w:val="17"/>
      </w:rPr>
      <w:instrText xml:space="preserve"> PAGE </w:instrText>
    </w:r>
    <w:r>
      <w:rPr>
        <w:color w:val="888888"/>
        <w:sz w:val="17"/>
      </w:rPr>
      <w:fldChar w:fldCharType="separate"/>
    </w:r>
    <w:r>
      <w:rPr>
        <w:color w:val="888888"/>
        <w:sz w:val="17"/>
      </w:rPr>
      <w:t>8</w:t>
    </w:r>
    <w:r>
      <w:rPr>
        <w:color w:val="888888"/>
        <w:sz w:val="17"/>
      </w:rPr>
      <w:fldChar w:fldCharType="end"/>
    </w:r>
    <w:r>
      <w:rPr>
        <w:color w:val="888888"/>
        <w:sz w:val="17"/>
      </w:rPr>
      <w:tab/>
      <w:t>INTRODUCTION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6372" w:leader="none"/>
        <w:tab w:val="right" w:pos="9360" w:leader="none"/>
      </w:tabs>
      <w:spacing w:before="0" w:after="0"/>
      <w:rPr/>
    </w:pPr>
    <w:r>
      <w:rPr>
        <w:color w:val="888888"/>
        <w:sz w:val="17"/>
      </w:rPr>
      <w:fldChar w:fldCharType="begin"/>
    </w:r>
    <w:r>
      <w:rPr>
        <w:color w:val="888888"/>
        <w:sz w:val="17"/>
      </w:rPr>
      <w:instrText xml:space="preserve"> PAGE </w:instrText>
    </w:r>
    <w:r>
      <w:rPr>
        <w:color w:val="888888"/>
        <w:sz w:val="17"/>
      </w:rPr>
      <w:fldChar w:fldCharType="separate"/>
    </w:r>
    <w:r>
      <w:rPr>
        <w:color w:val="888888"/>
        <w:sz w:val="17"/>
      </w:rPr>
      <w:t>8</w:t>
    </w:r>
    <w:r>
      <w:rPr>
        <w:color w:val="888888"/>
        <w:sz w:val="17"/>
      </w:rPr>
      <w:fldChar w:fldCharType="end"/>
    </w:r>
    <w:r>
      <w:rPr>
        <w:color w:val="888888"/>
        <w:sz w:val="17"/>
      </w:rPr>
      <w:tab/>
      <w:t>1421 CE — METEORITE FALLS ON YAROSLAVL</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6372" w:leader="none"/>
        <w:tab w:val="right" w:pos="9360" w:leader="none"/>
      </w:tabs>
      <w:spacing w:before="0" w:after="0"/>
      <w:rPr/>
    </w:pPr>
    <w:r>
      <w:rPr>
        <w:color w:val="888888"/>
        <w:sz w:val="17"/>
      </w:rPr>
      <w:fldChar w:fldCharType="begin"/>
    </w:r>
    <w:r>
      <w:rPr>
        <w:color w:val="888888"/>
        <w:sz w:val="17"/>
      </w:rPr>
      <w:instrText xml:space="preserve"> PAGE </w:instrText>
    </w:r>
    <w:r>
      <w:rPr>
        <w:color w:val="888888"/>
        <w:sz w:val="17"/>
      </w:rPr>
      <w:fldChar w:fldCharType="separate"/>
    </w:r>
    <w:r>
      <w:rPr>
        <w:color w:val="888888"/>
        <w:sz w:val="17"/>
      </w:rPr>
      <w:t>11</w:t>
    </w:r>
    <w:r>
      <w:rPr>
        <w:color w:val="888888"/>
        <w:sz w:val="17"/>
      </w:rPr>
      <w:fldChar w:fldCharType="end"/>
    </w:r>
    <w:r>
      <w:rPr>
        <w:color w:val="888888"/>
        <w:sz w:val="17"/>
      </w:rPr>
      <w:tab/>
      <w:t>1914–1918 CE — WORLD WAR I: REVERSE CRUSADE II</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en-US"/>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false"/>
      <w:bidi w:val="0"/>
      <w:spacing w:lineRule="auto" w:line="276" w:before="0" w:after="80"/>
      <w:jc w:val="both"/>
    </w:pPr>
    <w:rPr>
      <w:rFonts w:ascii="EB Garamond" w:hAnsi="EB Garamond" w:eastAsia="EB Garamond" w:cs="EB Garamond"/>
      <w:color w:val="auto"/>
      <w:kern w:val="0"/>
      <w:sz w:val="18"/>
      <w:szCs w:val="22"/>
      <w:lang w:val="en-US" w:eastAsia="en-US" w:bidi="en-US"/>
    </w:rPr>
  </w:style>
  <w:style w:type="paragraph" w:styleId="Heading1">
    <w:name w:val="heading 1"/>
    <w:basedOn w:val="Normal"/>
    <w:next w:val="Normal"/>
    <w:link w:val="Heading1Char"/>
    <w:uiPriority w:val="9"/>
    <w:qFormat/>
    <w:rsid w:val="00fc693f"/>
    <w:pPr>
      <w:keepNext w:val="true"/>
      <w:keepLines/>
      <w:spacing w:before="160" w:after="40"/>
      <w:outlineLvl w:val="0"/>
    </w:pPr>
    <w:rPr>
      <w:rFonts w:ascii="Calibri" w:hAnsi="Calibri" w:eastAsia="ＭＳ ゴシック" w:cs="" w:asciiTheme="majorHAnsi" w:cstheme="majorBidi" w:eastAsiaTheme="majorEastAsia" w:hAnsiTheme="majorHAnsi"/>
      <w:b/>
      <w:bCs/>
      <w:color w:val="1A1A1A"/>
      <w:sz w:val="32"/>
      <w:szCs w:val="28"/>
    </w:rPr>
  </w:style>
  <w:style w:type="paragraph" w:styleId="Heading2">
    <w:name w:val="heading 2"/>
    <w:basedOn w:val="Normal"/>
    <w:next w:val="Normal"/>
    <w:link w:val="Heading2Char"/>
    <w:uiPriority w:val="9"/>
    <w:unhideWhenUsed/>
    <w:qFormat/>
    <w:rsid w:val="00fc693f"/>
    <w:pPr>
      <w:keepNext w:val="true"/>
      <w:keepLines/>
      <w:spacing w:before="120" w:after="40"/>
      <w:outlineLvl w:val="1"/>
    </w:pPr>
    <w:rPr>
      <w:rFonts w:ascii="Calibri" w:hAnsi="Calibri" w:eastAsia="ＭＳ ゴシック" w:cs="" w:asciiTheme="majorHAnsi" w:cstheme="majorBidi" w:eastAsiaTheme="majorEastAsia" w:hAnsiTheme="majorHAnsi"/>
      <w:b/>
      <w:bCs/>
      <w:color w:val="2C2C2C"/>
      <w:sz w:val="23"/>
      <w:szCs w:val="26"/>
    </w:rPr>
  </w:style>
  <w:style w:type="paragraph" w:styleId="Heading3">
    <w:name w:val="heading 3"/>
    <w:basedOn w:val="Normal"/>
    <w:next w:val="Normal"/>
    <w:link w:val="Heading3Char"/>
    <w:uiPriority w:val="9"/>
    <w:unhideWhenUsed/>
    <w:qFormat/>
    <w:rsid w:val="00fc693f"/>
    <w:pPr>
      <w:keepNext w:val="true"/>
      <w:keepLines/>
      <w:spacing w:before="120" w:after="40"/>
      <w:outlineLvl w:val="2"/>
    </w:pPr>
    <w:rPr>
      <w:rFonts w:ascii="Calibri" w:hAnsi="Calibri" w:eastAsia="ＭＳ ゴシック" w:cs="" w:asciiTheme="majorHAnsi" w:cstheme="majorBidi" w:eastAsiaTheme="majorEastAsia" w:hAnsiTheme="majorHAnsi"/>
      <w:b/>
      <w:bCs/>
      <w:color w:val="3A3A3A"/>
      <w:sz w:val="19"/>
    </w:rPr>
  </w:style>
  <w:style w:type="paragraph" w:styleId="Heading4">
    <w:name w:val="heading 4"/>
    <w:basedOn w:val="Normal"/>
    <w:next w:val="Normal"/>
    <w:link w:val="Heading4Char"/>
    <w:uiPriority w:val="9"/>
    <w:semiHidden/>
    <w:unhideWhenUsed/>
    <w:qFormat/>
    <w:rsid w:val="00fc693f"/>
    <w:pPr>
      <w:keepNext w:val="true"/>
      <w:keepLines/>
      <w:spacing w:before="120" w:after="40"/>
      <w:outlineLvl w:val="3"/>
    </w:pPr>
    <w:rPr>
      <w:rFonts w:ascii="Calibri" w:hAnsi="Calibri" w:eastAsia="ＭＳ ゴシック" w:cs="" w:asciiTheme="majorHAnsi" w:cstheme="majorBidi" w:eastAsiaTheme="majorEastAsia" w:hAnsiTheme="majorHAnsi"/>
      <w:b/>
      <w:bCs/>
      <w:i/>
      <w:iCs/>
      <w:color w:val="4E4E4E"/>
      <w:sz w:val="18"/>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before="40" w:after="160"/>
      <w:jc w:val="center"/>
    </w:pPr>
    <w:rPr>
      <w:rFonts w:ascii="Libre Franklin" w:hAnsi="Libre Franklin"/>
      <w:b/>
      <w:bCs/>
      <w:i/>
      <w:color w:val="666666"/>
      <w:sz w:val="15"/>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en-US"/>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rFonts w:ascii="EB Garamond" w:hAnsi="EB Garamond"/>
      <w:sz w:val="16"/>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0"/>
      <w:contextualSpacing/>
    </w:pPr>
    <w:rPr>
      <w:rFonts w:ascii="EB Garamond" w:hAnsi="EB Garamond"/>
      <w:sz w:val="16"/>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en-US"/>
    </w:rPr>
  </w:style>
  <w:style w:type="paragraph" w:styleId="Quote">
    <w:name w:val="Quote"/>
    <w:basedOn w:val="Normal"/>
    <w:next w:val="Normal"/>
    <w:link w:val="QuoteChar"/>
    <w:uiPriority w:val="29"/>
    <w:qFormat/>
    <w:rsid w:val="00fc693f"/>
    <w:pPr>
      <w:spacing w:before="40" w:after="40"/>
      <w:ind w:start="454"/>
    </w:pPr>
    <w:rPr>
      <w:rFonts w:ascii="EB Garamond" w:hAnsi="EB Garamond"/>
      <w:i/>
      <w:iCs/>
      <w:color w:val="333333"/>
      <w:sz w:val="16"/>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customStyle="1">
    <w:name w:val="toc 1"/>
    <w:basedOn w:val="Normal"/>
    <w:pPr>
      <w:spacing w:before="120" w:after="40"/>
      <w:ind w:start="0"/>
      <w:jc w:val="start"/>
    </w:pPr>
    <w:rPr>
      <w:rFonts w:ascii="Libre Franklin" w:hAnsi="Libre Franklin"/>
      <w:b/>
      <w:color w:val="1A1A1A"/>
      <w:sz w:val="21"/>
    </w:rPr>
  </w:style>
  <w:style w:type="paragraph" w:styleId="TOC2" w:customStyle="1">
    <w:name w:val="toc 2"/>
    <w:basedOn w:val="Normal"/>
    <w:pPr>
      <w:spacing w:before="20" w:after="20"/>
      <w:ind w:start="454"/>
      <w:jc w:val="start"/>
    </w:pPr>
    <w:rPr>
      <w:rFonts w:ascii="EB Garamond" w:hAnsi="EB Garamond"/>
      <w:b w:val="false"/>
      <w:color w:val="553A1A"/>
      <w:sz w:val="19"/>
    </w:rPr>
  </w:style>
  <w:style w:type="paragraph" w:styleId="TOC3" w:customStyle="1">
    <w:name w:val="toc 3"/>
    <w:basedOn w:val="Normal"/>
    <w:pPr>
      <w:spacing w:before="0" w:after="0"/>
      <w:ind w:start="794"/>
      <w:jc w:val="start"/>
    </w:pPr>
    <w:rPr>
      <w:rFonts w:ascii="EB Garamond" w:hAnsi="EB Garamond"/>
      <w:b w:val="false"/>
      <w:i/>
      <w:color w:val="666666"/>
      <w:sz w:val="17"/>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aradigmthreat.net/timeline" TargetMode="External"/><Relationship Id="rId3" Type="http://schemas.openxmlformats.org/officeDocument/2006/relationships/hyperlink" Target="https://en.wikipedia.org/wiki/Cronus" TargetMode="External"/><Relationship Id="rId4" Type="http://schemas.openxmlformats.org/officeDocument/2006/relationships/hyperlink" Target="../../../../../timeline/evt-year-length-calendar-evidence" TargetMode="External"/><Relationship Id="rId5" Type="http://schemas.openxmlformats.org/officeDocument/2006/relationships/hyperlink" Target="https://www.biblegateway.com/passage/?search=Genesis%209%3A8-17&amp;version=NIV" TargetMode="External"/><Relationship Id="rId6" Type="http://schemas.openxmlformats.org/officeDocument/2006/relationships/image" Target="media/image1.jpeg"/><Relationship Id="rId7" Type="http://schemas.openxmlformats.org/officeDocument/2006/relationships/hyperlink" Target="https://www.forthowardcc.com/blog/post/the-rainbow-covenant-" TargetMode="External"/><Relationship Id="rId8" Type="http://schemas.openxmlformats.org/officeDocument/2006/relationships/hyperlink" Target="https://chronologia.org/en/how_it_was/introduction.html" TargetMode="External"/><Relationship Id="rId9" Type="http://schemas.openxmlformats.org/officeDocument/2006/relationships/hyperlink" Target="../../../../../timeline/evt-atlantis-and-the-tree-of-knowledge" TargetMode="External"/><Relationship Id="rId10" Type="http://schemas.openxmlformats.org/officeDocument/2006/relationships/hyperlink" Target="../../../../../timeline/evt-the-sun-replaces-mars-as-the-new-saviour"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image" Target="media/image2.jpeg"/><Relationship Id="rId18" Type="http://schemas.openxmlformats.org/officeDocument/2006/relationships/hyperlink" Target="https://tmora.org/online-exhibitions/transcendent-art-icons-from-yaroslavl-russia/introduction-yaroslavl-city-of-the-bear/" TargetMode="External"/><Relationship Id="rId19" Type="http://schemas.openxmlformats.org/officeDocument/2006/relationships/hyperlink" Target="https://pegasus-leaders.com/bulat/" TargetMode="External"/><Relationship Id="rId20" Type="http://schemas.openxmlformats.org/officeDocument/2006/relationships/hyperlink" Target="https://conananimated.fandom.com/wiki/Star_Metal" TargetMode="External"/><Relationship Id="rId21" Type="http://schemas.openxmlformats.org/officeDocument/2006/relationships/image" Target="media/image3.jpeg"/><Relationship Id="rId22" Type="http://schemas.openxmlformats.org/officeDocument/2006/relationships/header" Target="header4.xml"/><Relationship Id="rId23" Type="http://schemas.openxmlformats.org/officeDocument/2006/relationships/header" Target="header5.xml"/><Relationship Id="rId24" Type="http://schemas.openxmlformats.org/officeDocument/2006/relationships/header" Target="header6.xml"/><Relationship Id="rId25" Type="http://schemas.openxmlformats.org/officeDocument/2006/relationships/footer" Target="footer4.xml"/><Relationship Id="rId26" Type="http://schemas.openxmlformats.org/officeDocument/2006/relationships/footer" Target="footer5.xml"/><Relationship Id="rId27" Type="http://schemas.openxmlformats.org/officeDocument/2006/relationships/footer" Target="footer6.xml"/><Relationship Id="rId28" Type="http://schemas.openxmlformats.org/officeDocument/2006/relationships/hyperlink" Target="../../../../../timeline/evt-bolshevik-revolution" TargetMode="External"/><Relationship Id="rId29" Type="http://schemas.openxmlformats.org/officeDocument/2006/relationships/hyperlink" Target="../../../../../timeline/evt-world-war-ii-reverse-crusade-iii" TargetMode="External"/><Relationship Id="rId30" Type="http://schemas.openxmlformats.org/officeDocument/2006/relationships/hyperlink" Target="https://paradigm-threat.net/timeline?view=browser&amp;path=investigations/war/reverse-crusades-comparison.md" TargetMode="External"/><Relationship Id="rId31" Type="http://schemas.openxmlformats.org/officeDocument/2006/relationships/hyperlink" Target="../../../../../timeline/evt-controlled-opposition" TargetMode="External"/><Relationship Id="rId32" Type="http://schemas.openxmlformats.org/officeDocument/2006/relationships/hyperlink" Target="../../../../../timeline/evt-controlled-opposition" TargetMode="External"/><Relationship Id="rId33" Type="http://schemas.openxmlformats.org/officeDocument/2006/relationships/hyperlink" Target="../../../../../timeline/evt-false-flags" TargetMode="External"/><Relationship Id="rId34" Type="http://schemas.openxmlformats.org/officeDocument/2006/relationships/hyperlink" Target="../../../../../timeline/evt-20th-century-predictive-programming-literature" TargetMode="External"/><Relationship Id="rId35" Type="http://schemas.openxmlformats.org/officeDocument/2006/relationships/hyperlink" Target="../../../../../timeline/evt-antibodies-appendix" TargetMode="External"/><Relationship Id="rId36" Type="http://schemas.openxmlformats.org/officeDocument/2006/relationships/hyperlink" Target="../../../../../timeline/evt-historical-antibodies-extended" TargetMode="External"/><Relationship Id="rId37" Type="http://schemas.openxmlformats.org/officeDocument/2006/relationships/hyperlink" Target="https://www.loc.gov/collections/george-s-patton-diaries/about-this-collection/" TargetMode="External"/><Relationship Id="rId38" Type="http://schemas.openxmlformats.org/officeDocument/2006/relationships/hyperlink" Target="https://www.didyouknow.news/general-george-patton-donald-trump-biological-father" TargetMode="External"/><Relationship Id="rId39" Type="http://schemas.openxmlformats.org/officeDocument/2006/relationships/hyperlink" Target="https://paradigm-threat.net/timeline?view=browser&amp;path=investigations/trump/index-trump-investigation.md" TargetMode="External"/><Relationship Id="rId40" Type="http://schemas.openxmlformats.org/officeDocument/2006/relationships/hyperlink" Target="../../../../../timeline/evt-20th-century-predictive-programming" TargetMode="External"/><Relationship Id="rId41" Type="http://schemas.openxmlformats.org/officeDocument/2006/relationships/hyperlink" Target="https://paradigm-threat.net/timeline?view=browser&amp;path=investigations/trump/index-trump-investigation.md" TargetMode="External"/><Relationship Id="rId42" Type="http://schemas.openxmlformats.org/officeDocument/2006/relationships/hyperlink" Target="https://www.loc.gov/collections/george-s-patton-diaries/about-this-collection/" TargetMode="External"/><Relationship Id="rId43" Type="http://schemas.openxmlformats.org/officeDocument/2006/relationships/hyperlink" Target="https://paradigm-threat.net/timeline?view=browser&amp;path=investigations/trump/index-trump-investigation.md" TargetMode="External"/><Relationship Id="rId44" Type="http://schemas.openxmlformats.org/officeDocument/2006/relationships/hyperlink" Target="https://paradigm-threat.net/timeline?view=browser&amp;path=investigations/trump/general-patton.md" TargetMode="External"/><Relationship Id="rId45" Type="http://schemas.openxmlformats.org/officeDocument/2006/relationships/header" Target="header7.xml"/><Relationship Id="rId46" Type="http://schemas.openxmlformats.org/officeDocument/2006/relationships/header" Target="header8.xml"/><Relationship Id="rId47" Type="http://schemas.openxmlformats.org/officeDocument/2006/relationships/header" Target="header9.xml"/><Relationship Id="rId48" Type="http://schemas.openxmlformats.org/officeDocument/2006/relationships/footer" Target="footer7.xml"/><Relationship Id="rId49" Type="http://schemas.openxmlformats.org/officeDocument/2006/relationships/footer" Target="footer8.xml"/><Relationship Id="rId50" Type="http://schemas.openxmlformats.org/officeDocument/2006/relationships/footer" Target="footer9.xml"/><Relationship Id="rId51" Type="http://schemas.openxmlformats.org/officeDocument/2006/relationships/numbering" Target="numbering.xml"/><Relationship Id="rId52" Type="http://schemas.openxmlformats.org/officeDocument/2006/relationships/fontTable" Target="fontTable.xml"/><Relationship Id="rId53" Type="http://schemas.openxmlformats.org/officeDocument/2006/relationships/settings" Target="settings.xml"/><Relationship Id="rId54" Type="http://schemas.openxmlformats.org/officeDocument/2006/relationships/theme" Target="theme/theme1.xml"/><Relationship Id="rId5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LibreOffice/25.8.5.2$Linux_X86_64 LibreOffice_project/252c20f6956e3db0b52e6e2f9dda67263513c8fc</Application>
  <AppVersion>15.0000</AppVersion>
  <Pages>16</Pages>
  <Words>7443</Words>
  <Characters>40911</Characters>
  <CharactersWithSpaces>48077</CharactersWithSpaces>
  <Paragraphs>432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2026-03-08T12:58:54Z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