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1.2.134</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w:t>
      </w:r>
    </w:p>
    <w:p>
      <w:pPr>
        <w:pStyle w:val="TOC2"/>
      </w:pPr>
      <w:r>
        <w:rPr>
          <w:rFonts w:ascii="EB Garamond" w:hAnsi="EB Garamond"/>
          <w:sz w:val="19"/>
        </w:rPr>
        <w:t>Chapter 1: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2"/>
      </w:pPr>
      <w:r>
        <w:rPr>
          <w:rFonts w:ascii="EB Garamond" w:hAnsi="EB Garamond"/>
          <w:sz w:val="19"/>
        </w:rPr>
        <w:t>Chapter 2: Other Challenges to Chronology</w:t>
      </w:r>
    </w:p>
    <w:p>
      <w:pPr>
        <w:pStyle w:val="TOC3"/>
      </w:pPr>
      <w:r>
        <w:rPr>
          <w:rFonts w:ascii="EB Garamond" w:hAnsi="EB Garamond"/>
          <w:i/>
          <w:color w:val="666666"/>
          <w:sz w:val="17"/>
        </w:rPr>
        <w:t>Building the New Chronology</w:t>
      </w:r>
    </w:p>
    <w:p>
      <w:pPr>
        <w:pStyle w:val="TOC2"/>
      </w:pPr>
      <w:r>
        <w:rPr>
          <w:rFonts w:ascii="EB Garamond" w:hAnsi="EB Garamond"/>
          <w:sz w:val="19"/>
        </w:rPr>
        <w:t>Chapter 3: Timeline Synchronization</w:t>
      </w:r>
    </w:p>
    <w:p>
      <w:pPr>
        <w:pStyle w:val="TOC3"/>
      </w:pPr>
      <w:r>
        <w:rPr>
          <w:rFonts w:ascii="EB Garamond" w:hAnsi="EB Garamond"/>
          <w:i/>
          <w:color w:val="666666"/>
          <w:sz w:val="17"/>
        </w:rPr>
        <w:t>Year-Length and Calendar Evidence</w:t>
      </w:r>
    </w:p>
    <w:p>
      <w:pPr>
        <w:pStyle w:val="TOC3"/>
      </w:pPr>
      <w:r>
        <w:rPr>
          <w:rFonts w:ascii="EB Garamond" w:hAnsi="EB Garamond"/>
          <w:i/>
          <w:color w:val="666666"/>
          <w:sz w:val="17"/>
        </w:rPr>
        <w:t>Known Contacts with Mars: A Chronological Dossier</w:t>
      </w:r>
    </w:p>
    <w:p>
      <w:pPr>
        <w:pStyle w:val="TOC2"/>
      </w:pPr>
      <w:r>
        <w:rPr>
          <w:rFonts w:ascii="EB Garamond" w:hAnsi="EB Garamond"/>
          <w:sz w:val="19"/>
        </w:rPr>
        <w:t>Chapter 4: Pyramids: Myths vs Reality</w:t>
      </w:r>
    </w:p>
    <w:p>
      <w:pPr>
        <w:pStyle w:val="TOC3"/>
      </w:pPr>
      <w:r>
        <w:rPr>
          <w:rFonts w:ascii="EB Garamond" w:hAnsi="EB Garamond"/>
          <w:i/>
          <w:color w:val="666666"/>
          <w:sz w:val="17"/>
        </w:rPr>
        <w:t>Fomenko and the Pyramid Question</w:t>
      </w:r>
    </w:p>
    <w:p>
      <w:pPr>
        <w:pStyle w:val="TOC2"/>
      </w:pPr>
      <w:r>
        <w:rPr>
          <w:rFonts w:ascii="EB Garamond" w:hAnsi="EB Garamond"/>
          <w:sz w:val="19"/>
        </w:rPr>
        <w:t>Chapter 5: Seven Days and other Creation Narratives</w:t>
      </w:r>
    </w:p>
    <w:p>
      <w:pPr>
        <w:pStyle w:val="TOC3"/>
      </w:pPr>
      <w:r>
        <w:rPr>
          <w:rFonts w:ascii="EB Garamond" w:hAnsi="EB Garamond"/>
          <w:i/>
          <w:color w:val="666666"/>
          <w:sz w:val="17"/>
        </w:rPr>
        <w:t>16.05.01-golden-age-documentary-sequence-appendix</w:t>
      </w:r>
    </w:p>
    <w:p>
      <w:pPr>
        <w:pStyle w:val="TOC2"/>
      </w:pPr>
      <w:r>
        <w:rPr>
          <w:rFonts w:ascii="EB Garamond" w:hAnsi="EB Garamond"/>
          <w:sz w:val="19"/>
        </w:rPr>
        <w:t>Chapter 6: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3"/>
      </w:pPr>
      <w:r>
        <w:rPr>
          <w:rFonts w:ascii="EB Garamond" w:hAnsi="EB Garamond"/>
          <w:i/>
          <w:color w:val="666666"/>
          <w:sz w:val="17"/>
        </w:rPr>
        <w:t>Asimov: Three Laws and Marx Encoding — Extended Evidence</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7: Controlled Opposition</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w:t>
      </w:r>
    </w:p>
    <w:p>
      <w:pPr>
        <w:pStyle w:val="TOC3"/>
      </w:pPr>
      <w:r>
        <w:rPr>
          <w:rFonts w:ascii="EB Garamond" w:hAnsi="EB Garamond"/>
          <w:i/>
          <w:color w:val="666666"/>
          <w:sz w:val="17"/>
        </w:rPr>
        <w:t>Controlled Opposition: Managed Disclosure and Gatekeeping</w:t>
      </w:r>
    </w:p>
    <w:p>
      <w:pPr>
        <w:pStyle w:val="TOC2"/>
      </w:pPr>
      <w:r>
        <w:rPr>
          <w:rFonts w:ascii="EB Garamond" w:hAnsi="EB Garamond"/>
          <w:sz w:val="19"/>
        </w:rPr>
        <w:t>Chapter 8: Censorship and Book Burning</w:t>
      </w:r>
    </w:p>
    <w:p>
      <w:pPr>
        <w:pStyle w:val="TOC3"/>
      </w:pPr>
      <w:r>
        <w:rPr>
          <w:rFonts w:ascii="EB Garamond" w:hAnsi="EB Garamond"/>
          <w:i/>
          <w:color w:val="666666"/>
          <w:sz w:val="17"/>
        </w:rPr>
        <w:t>Censorship and Book Burning: From Alexandria to the Internet</w:t>
      </w:r>
    </w:p>
    <w:p>
      <w:pPr>
        <w:pStyle w:val="TOC3"/>
      </w:pPr>
      <w:r>
        <w:rPr>
          <w:rFonts w:ascii="EB Garamond" w:hAnsi="EB Garamond"/>
          <w:i/>
          <w:color w:val="666666"/>
          <w:sz w:val="17"/>
        </w:rPr>
        <w:t>Censorship and Book Burning: The Historical Record</w:t>
      </w:r>
    </w:p>
    <w:p>
      <w:pPr>
        <w:pStyle w:val="TOC2"/>
      </w:pPr>
      <w:r>
        <w:rPr>
          <w:rFonts w:ascii="EB Garamond" w:hAnsi="EB Garamond"/>
          <w:sz w:val="19"/>
        </w:rPr>
        <w:t>Chapter 9: False Flags</w:t>
      </w:r>
    </w:p>
    <w:p>
      <w:pPr>
        <w:pStyle w:val="TOC3"/>
      </w:pPr>
      <w:r>
        <w:rPr>
          <w:rFonts w:ascii="EB Garamond" w:hAnsi="EB Garamond"/>
          <w:i/>
          <w:color w:val="666666"/>
          <w:sz w:val="17"/>
        </w:rPr>
        <w:t>False Flags: Architecture of Manufactured War</w:t>
      </w:r>
    </w:p>
    <w:p>
      <w:pPr>
        <w:pStyle w:val="TOC3"/>
      </w:pPr>
      <w:r>
        <w:rPr>
          <w:rFonts w:ascii="EB Garamond" w:hAnsi="EB Garamond"/>
          <w:i/>
          <w:color w:val="666666"/>
          <w:sz w:val="17"/>
        </w:rPr>
        <w:t>False Flags Investigation: Evidence Dossier</w:t>
      </w:r>
    </w:p>
    <w:p>
      <w:pPr>
        <w:pStyle w:val="TOC2"/>
      </w:pPr>
      <w:r>
        <w:rPr>
          <w:rFonts w:ascii="EB Garamond" w:hAnsi="EB Garamond"/>
          <w:sz w:val="19"/>
        </w:rPr>
        <w:t>Chapter 10: Deep State and Empire</w:t>
      </w:r>
    </w:p>
    <w:p>
      <w:pPr>
        <w:pStyle w:val="TOC3"/>
      </w:pPr>
      <w:r>
        <w:rPr>
          <w:rFonts w:ascii="EB Garamond" w:hAnsi="EB Garamond"/>
          <w:i/>
          <w:color w:val="666666"/>
          <w:sz w:val="17"/>
        </w:rPr>
        <w:t>Deep State breaks up the Hordian Empire</w:t>
      </w:r>
    </w:p>
    <w:p>
      <w:pPr>
        <w:pStyle w:val="TOC3"/>
      </w:pPr>
      <w:r>
        <w:rPr>
          <w:rFonts w:ascii="EB Garamond" w:hAnsi="EB Garamond"/>
          <w:i/>
          <w:color w:val="666666"/>
          <w:sz w:val="17"/>
        </w:rPr>
        <w:t>Slave Trades: Evidence and Horde-Fracture Thesis</w:t>
      </w:r>
    </w:p>
    <w:p>
      <w:pPr>
        <w:pStyle w:val="TOC3"/>
      </w:pPr>
      <w:r>
        <w:rPr>
          <w:rFonts w:ascii="EB Garamond" w:hAnsi="EB Garamond"/>
          <w:i/>
          <w:color w:val="666666"/>
          <w:sz w:val="17"/>
        </w:rPr>
        <w:t>British Empire as Deep State: Case Studies</w:t>
      </w:r>
    </w:p>
    <w:p>
      <w:pPr>
        <w:pStyle w:val="TOC3"/>
      </w:pPr>
      <w:r>
        <w:rPr>
          <w:rFonts w:ascii="EB Garamond" w:hAnsi="EB Garamond"/>
          <w:i/>
          <w:color w:val="666666"/>
          <w:sz w:val="17"/>
        </w:rPr>
        <w:t>Jesuit Operations: Conversion, Catholicism, and the New World</w:t>
      </w:r>
    </w:p>
    <w:p>
      <w:pPr>
        <w:pStyle w:val="TOC3"/>
      </w:pPr>
      <w:r>
        <w:rPr>
          <w:rFonts w:ascii="EB Garamond" w:hAnsi="EB Garamond"/>
          <w:i/>
          <w:color w:val="666666"/>
          <w:sz w:val="17"/>
        </w:rPr>
        <w:t>Napoleonic Wars and 1812 — Extended Evidence</w:t>
      </w:r>
    </w:p>
    <w:p>
      <w:pPr>
        <w:pStyle w:val="TOC2"/>
      </w:pPr>
      <w:r>
        <w:rPr>
          <w:rFonts w:ascii="EB Garamond" w:hAnsi="EB Garamond"/>
          <w:sz w:val="19"/>
        </w:rPr>
        <w:t>Chapter 11: Reverse Crusades and Modern Wars</w:t>
      </w:r>
    </w:p>
    <w:p>
      <w:pPr>
        <w:pStyle w:val="TOC3"/>
      </w:pPr>
      <w:r>
        <w:rPr>
          <w:rFonts w:ascii="EB Garamond" w:hAnsi="EB Garamond"/>
          <w:i/>
          <w:color w:val="666666"/>
          <w:sz w:val="17"/>
        </w:rPr>
        <w:t>The Four Reverse Crusades: A Structural Comparison</w:t>
      </w:r>
    </w:p>
    <w:p>
      <w:pPr>
        <w:pStyle w:val="TOC3"/>
      </w:pPr>
      <w:r>
        <w:rPr>
          <w:rFonts w:ascii="EB Garamond" w:hAnsi="EB Garamond"/>
          <w:i/>
          <w:color w:val="666666"/>
          <w:sz w:val="17"/>
        </w:rPr>
        <w:t>21st Century Geopolitics</w:t>
      </w:r>
    </w:p>
    <w:p>
      <w:pPr>
        <w:pStyle w:val="TOC3"/>
      </w:pPr>
      <w:r>
        <w:rPr>
          <w:rFonts w:ascii="EB Garamond" w:hAnsi="EB Garamond"/>
          <w:i/>
          <w:color w:val="666666"/>
          <w:sz w:val="17"/>
        </w:rPr>
        <w:t>World War II Aftermath</w:t>
      </w:r>
    </w:p>
    <w:p>
      <w:pPr>
        <w:pStyle w:val="TOC2"/>
      </w:pPr>
      <w:r>
        <w:rPr>
          <w:rFonts w:ascii="EB Garamond" w:hAnsi="EB Garamond"/>
          <w:sz w:val="19"/>
        </w:rPr>
        <w:t>Chapter 12: Suppressed Science and Technology</w:t>
      </w:r>
    </w:p>
    <w:p>
      <w:pPr>
        <w:pStyle w:val="TOC3"/>
      </w:pPr>
      <w:r>
        <w:rPr>
          <w:rFonts w:ascii="EB Garamond" w:hAnsi="EB Garamond"/>
          <w:i/>
          <w:color w:val="666666"/>
          <w:sz w:val="17"/>
        </w:rPr>
        <w:t>Soviet Historiography: Bogdanov and Suppressed Science</w:t>
      </w:r>
    </w:p>
    <w:p>
      <w:pPr>
        <w:pStyle w:val="TOC3"/>
      </w:pPr>
      <w:r>
        <w:rPr>
          <w:rFonts w:ascii="EB Garamond" w:hAnsi="EB Garamond"/>
          <w:i/>
          <w:color w:val="666666"/>
          <w:sz w:val="17"/>
        </w:rPr>
        <w:t>Suppressed Energy Technology: A Cross-Reference</w:t>
      </w:r>
    </w:p>
    <w:p>
      <w:pPr>
        <w:pStyle w:val="TOC3"/>
      </w:pPr>
      <w:r>
        <w:rPr>
          <w:rFonts w:ascii="EB Garamond" w:hAnsi="EB Garamond"/>
          <w:i/>
          <w:color w:val="666666"/>
          <w:sz w:val="17"/>
        </w:rPr>
        <w:t>16.51.03-einstein-1905-aether-and-theoretical-physics-appendix</w:t>
      </w:r>
    </w:p>
    <w:p>
      <w:pPr>
        <w:pStyle w:val="TOC2"/>
      </w:pPr>
      <w:r>
        <w:rPr>
          <w:rFonts w:ascii="EB Garamond" w:hAnsi="EB Garamond"/>
          <w:sz w:val="19"/>
        </w:rPr>
        <w:t>Chapter 13: Population Control and Displacement</w:t>
      </w:r>
    </w:p>
    <w:p>
      <w:pPr>
        <w:pStyle w:val="TOC3"/>
      </w:pPr>
      <w:r>
        <w:rPr>
          <w:rFonts w:ascii="EB Garamond" w:hAnsi="EB Garamond"/>
          <w:i/>
          <w:color w:val="666666"/>
          <w:sz w:val="17"/>
        </w:rPr>
        <w:t>Population Control: A Timeline (15th–21st Centuries)</w:t>
      </w:r>
    </w:p>
    <w:p>
      <w:pPr>
        <w:pStyle w:val="TOC2"/>
      </w:pPr>
      <w:r>
        <w:rPr>
          <w:rFonts w:ascii="EB Garamond" w:hAnsi="EB Garamond"/>
          <w:sz w:val="19"/>
        </w:rPr>
        <w:t>Chapter 14: The MudFlood and World Cataclysm</w:t>
      </w:r>
    </w:p>
    <w:p>
      <w:pPr>
        <w:pStyle w:val="TOC3"/>
      </w:pPr>
      <w:r>
        <w:rPr>
          <w:rFonts w:ascii="EB Garamond" w:hAnsi="EB Garamond"/>
          <w:i/>
          <w:color w:val="666666"/>
          <w:sz w:val="17"/>
        </w:rPr>
        <w:t>Orphan Trains, Trail of Tears, Siberian Exile</w:t>
      </w:r>
    </w:p>
    <w:p>
      <w:pPr>
        <w:pStyle w:val="TOC3"/>
      </w:pPr>
      <w:r>
        <w:rPr>
          <w:rFonts w:ascii="EB Garamond" w:hAnsi="EB Garamond"/>
          <w:i/>
          <w:color w:val="666666"/>
          <w:sz w:val="17"/>
        </w:rPr>
        <w:t>16.53.02-slow-ecological-collapse-mfee-donner-appendix</w:t>
      </w:r>
    </w:p>
    <w:p>
      <w:pPr>
        <w:pStyle w:val="TOC3"/>
      </w:pPr>
      <w:r>
        <w:rPr>
          <w:rFonts w:ascii="EB Garamond" w:hAnsi="EB Garamond"/>
          <w:i/>
          <w:color w:val="666666"/>
          <w:sz w:val="17"/>
        </w:rPr>
        <w:t>16.53.03-new-world-naming-mfee-colonization-memory-appendix</w:t>
      </w:r>
    </w:p>
    <w:p>
      <w:pPr>
        <w:pStyle w:val="TOC2"/>
      </w:pPr>
      <w:r>
        <w:rPr>
          <w:rFonts w:ascii="EB Garamond" w:hAnsi="EB Garamond"/>
          <w:sz w:val="19"/>
        </w:rPr>
        <w:t>Chapter 15: Historical Antibodies: Pattern Analysis</w:t>
      </w:r>
    </w:p>
    <w:p>
      <w:pPr>
        <w:pStyle w:val="TOC3"/>
      </w:pPr>
      <w:r>
        <w:rPr>
          <w:rFonts w:ascii="EB Garamond" w:hAnsi="EB Garamond"/>
          <w:i/>
          <w:color w:val="666666"/>
          <w:sz w:val="17"/>
        </w:rPr>
        <w:t>Historical Antibodies: Detailed Profiles</w:t>
      </w:r>
    </w:p>
    <w:p>
      <w:pPr>
        <w:pStyle w:val="TOC3"/>
      </w:pPr>
      <w:r>
        <w:rPr>
          <w:rFonts w:ascii="EB Garamond" w:hAnsi="EB Garamond"/>
          <w:i/>
          <w:color w:val="666666"/>
          <w:sz w:val="17"/>
        </w:rPr>
        <w:t>Trump and the MAGA Revolution</w:t>
      </w:r>
    </w:p>
    <w:p>
      <w:pPr>
        <w:pStyle w:val="TOC2"/>
      </w:pPr>
      <w:r>
        <w:rPr>
          <w:rFonts w:ascii="EB Garamond" w:hAnsi="EB Garamond"/>
          <w:sz w:val="19"/>
        </w:rPr>
        <w:t>Chapter 16: Giants, Infantry, Guerrilla, and the Children's Crusade — Etymology</w:t>
      </w:r>
    </w:p>
    <w:p>
      <w:pPr>
        <w:pStyle w:val="TOC1"/>
      </w:pPr>
      <w:r>
        <w:rPr>
          <w:rFonts w:ascii="Libre Franklin" w:hAnsi="Libre Franklin"/>
          <w:b/>
          <w:sz w:val="21"/>
        </w:rPr>
        <w:t>Part XVII: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keepNext/>
        <w:keepLines/>
      </w:pPr>
      <w:r>
        <w:t>Contents</w:t>
      </w:r>
    </w:p>
    <w:p>
      <w:pPr>
        <w:pStyle w:val="Heading3"/>
        <w:keepNext/>
        <w:keepLines/>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keepNext/>
        <w:keepLines/>
      </w:pPr>
      <w:r>
        <w:t>Mars</w:t>
      </w:r>
    </w:p>
    <w:p>
      <w:pPr>
        <w:pStyle w:val="ListBullet"/>
        <w:spacing w:before="20" w:after="20"/>
      </w:pPr>
      <w:hyperlink r:id="rId13">
        <w:r>
          <w:rPr>
            <w:b w:val="0"/>
            <w:i w:val="0"/>
            <w:color w:val="B8860B"/>
            <w:sz w:val="19"/>
          </w:rPr>
          <w:t>Mars Literature: Author Profiles and Evidence</w:t>
        </w:r>
      </w:hyperlink>
    </w:p>
    <w:p>
      <w:pPr>
        <w:pStyle w:val="Heading3"/>
        <w:keepNext/>
        <w:keepLines/>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w:t>
        </w:r>
      </w:hyperlink>
    </w:p>
    <w:p>
      <w:pPr>
        <w:pStyle w:val="Heading3"/>
        <w:keepNext/>
        <w:keepLines/>
      </w:pPr>
      <w:r>
        <w:t>Censorship</w:t>
      </w:r>
    </w:p>
    <w:p>
      <w:pPr>
        <w:pStyle w:val="ListBullet"/>
        <w:spacing w:before="20" w:after="20"/>
      </w:pPr>
      <w:hyperlink r:id="rId16">
        <w:r>
          <w:rPr>
            <w:b w:val="0"/>
            <w:i w:val="0"/>
            <w:color w:val="B8860B"/>
            <w:sz w:val="19"/>
          </w:rPr>
          <w:t>Censorship: Pattern — From Alexandria to the Internet</w:t>
        </w:r>
      </w:hyperlink>
    </w:p>
    <w:p>
      <w:pPr>
        <w:pStyle w:val="ListBullet"/>
        <w:spacing w:before="20" w:after="20"/>
      </w:pPr>
      <w:hyperlink r:id="rId17">
        <w:r>
          <w:rPr>
            <w:b w:val="0"/>
            <w:i w:val="0"/>
            <w:color w:val="B8860B"/>
            <w:sz w:val="19"/>
          </w:rPr>
          <w:t>Censorship: The Historical Record</w:t>
        </w:r>
      </w:hyperlink>
    </w:p>
    <w:p>
      <w:pPr>
        <w:pStyle w:val="Heading3"/>
        <w:keepNext/>
        <w:keepLines/>
      </w:pPr>
      <w:r>
        <w:t>Historical Antibodies</w:t>
      </w:r>
    </w:p>
    <w:p>
      <w:pPr>
        <w:pStyle w:val="ListBullet"/>
        <w:spacing w:before="20" w:after="20"/>
      </w:pPr>
      <w:hyperlink r:id="rId18">
        <w:r>
          <w:rPr>
            <w:b w:val="0"/>
            <w:i w:val="0"/>
            <w:color w:val="B8860B"/>
            <w:sz w:val="19"/>
          </w:rPr>
          <w:t>Historical Antibodies: Profiles</w:t>
        </w:r>
      </w:hyperlink>
    </w:p>
    <w:p>
      <w:pPr>
        <w:pStyle w:val="ListBullet"/>
        <w:spacing w:before="20" w:after="20"/>
      </w:pPr>
      <w:hyperlink r:id="rId19">
        <w:r>
          <w:rPr>
            <w:b w:val="0"/>
            <w:i w:val="0"/>
            <w:color w:val="B8860B"/>
            <w:sz w:val="19"/>
          </w:rPr>
          <w:t>Trump: Case Study</w:t>
        </w:r>
      </w:hyperlink>
    </w:p>
    <w:p>
      <w:pPr>
        <w:pStyle w:val="Heading3"/>
        <w:keepNext/>
        <w:keepLines/>
      </w:pPr>
      <w:r>
        <w:t>False Flags</w:t>
      </w:r>
    </w:p>
    <w:p>
      <w:pPr>
        <w:pStyle w:val="ListBullet"/>
        <w:spacing w:before="20" w:after="20"/>
      </w:pPr>
      <w:hyperlink r:id="rId20">
        <w:r>
          <w:rPr>
            <w:b w:val="0"/>
            <w:i w:val="0"/>
            <w:color w:val="B8860B"/>
            <w:sz w:val="19"/>
          </w:rPr>
          <w:t>False Flags: Architecture of Manufactured War</w:t>
        </w:r>
      </w:hyperlink>
    </w:p>
    <w:p>
      <w:pPr>
        <w:pStyle w:val="ListBullet"/>
        <w:spacing w:before="20" w:after="20"/>
      </w:pPr>
      <w:hyperlink r:id="rId21">
        <w:r>
          <w:rPr>
            <w:b w:val="0"/>
            <w:i w:val="0"/>
            <w:color w:val="B8860B"/>
            <w:sz w:val="19"/>
          </w:rPr>
          <w:t>False Flags Investigation: Evidence Dossier</w:t>
        </w:r>
      </w:hyperlink>
    </w:p>
    <w:p>
      <w:pPr>
        <w:pStyle w:val="Heading3"/>
        <w:keepNext/>
        <w:keepLines/>
      </w:pPr>
      <w:r>
        <w:t>Author Profiles</w:t>
      </w:r>
    </w:p>
    <w:p>
      <w:pPr>
        <w:pStyle w:val="ListBullet"/>
        <w:spacing w:before="20" w:after="20"/>
      </w:pPr>
      <w:hyperlink r:id="rId22">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keepNext/>
        <w:keepLines/>
      </w:pPr>
      <w:r>
        <w:t>Suppressed Science and Technology</w:t>
      </w:r>
    </w:p>
    <w:p>
      <w:pPr>
        <w:pStyle w:val="ListBullet"/>
        <w:spacing w:before="20" w:after="20"/>
      </w:pPr>
      <w:hyperlink r:id="rId23">
        <w:r>
          <w:rPr>
            <w:b w:val="0"/>
            <w:i w:val="0"/>
            <w:color w:val="B8860B"/>
            <w:sz w:val="19"/>
          </w:rPr>
          <w:t>Soviet Historiography: Bogdanov and Suppressed Science</w:t>
        </w:r>
      </w:hyperlink>
    </w:p>
    <w:p>
      <w:pPr>
        <w:pStyle w:val="ListBullet"/>
        <w:spacing w:before="20" w:after="20"/>
      </w:pPr>
      <w:hyperlink r:id="rId24">
        <w:r>
          <w:rPr>
            <w:b w:val="0"/>
            <w:i w:val="0"/>
            <w:color w:val="B8860B"/>
            <w:sz w:val="19"/>
          </w:rPr>
          <w:t>Suppressed Energy Technology: A Cross-Reference</w:t>
        </w:r>
      </w:hyperlink>
    </w:p>
    <w:p>
      <w:pPr>
        <w:pStyle w:val="Heading3"/>
        <w:keepNext/>
        <w:keepLines/>
      </w:pPr>
      <w:r>
        <w:t>Population Control and Displacement</w:t>
      </w:r>
    </w:p>
    <w:p>
      <w:pPr>
        <w:pStyle w:val="ListBullet"/>
        <w:spacing w:before="20" w:after="20"/>
      </w:pPr>
      <w:hyperlink r:id="rId25">
        <w:r>
          <w:rPr>
            <w:b w:val="0"/>
            <w:i w:val="0"/>
            <w:color w:val="B8860B"/>
            <w:sz w:val="19"/>
          </w:rPr>
          <w:t>Population Control: A Timeline (15th–21st Centuries)</w:t>
        </w:r>
      </w:hyperlink>
    </w:p>
    <w:p>
      <w:pPr>
        <w:pStyle w:val="ListBullet"/>
        <w:spacing w:before="20" w:after="20"/>
      </w:pPr>
      <w:hyperlink r:id="rId26">
        <w:r>
          <w:rPr>
            <w:b w:val="0"/>
            <w:i w:val="0"/>
            <w:color w:val="B8860B"/>
            <w:sz w:val="19"/>
          </w:rPr>
          <w:t>Orphan Trains, Trail of Tears, Siberian Exile — Extended Evidence</w:t>
        </w:r>
      </w:hyperlink>
    </w:p>
    <w:p>
      <w:pPr>
        <w:pStyle w:val="Heading3"/>
        <w:keepNext/>
        <w:keepLines/>
      </w:pPr>
      <w:r>
        <w:t>Napoleonic Wars</w:t>
      </w:r>
    </w:p>
    <w:p>
      <w:pPr>
        <w:pStyle w:val="ListBullet"/>
        <w:spacing w:before="20" w:after="20"/>
      </w:pPr>
      <w:hyperlink r:id="rId27">
        <w:r>
          <w:rPr>
            <w:b w:val="0"/>
            <w:i w:val="0"/>
            <w:color w:val="B8860B"/>
            <w:sz w:val="19"/>
          </w:rPr>
          <w:t>Napoleonic Wars and 1812 — Extended Evidence</w:t>
        </w:r>
      </w:hyperlink>
    </w:p>
    <w:p>
      <w:pPr>
        <w:pStyle w:val="Heading3"/>
        <w:keepNext/>
        <w:keepLines/>
      </w:pPr>
      <w:r>
        <w:t>Authors and Cataclysm</w:t>
      </w:r>
    </w:p>
    <w:p>
      <w:pPr>
        <w:pStyle w:val="ListBullet"/>
        <w:spacing w:before="20" w:after="20"/>
      </w:pPr>
      <w:hyperlink r:id="rId28">
        <w:r>
          <w:rPr>
            <w:b w:val="0"/>
            <w:i w:val="0"/>
            <w:color w:val="B8860B"/>
            <w:sz w:val="19"/>
          </w:rPr>
          <w:t>Asimov: Three Laws and Marx Encoding — Extended Evidence</w:t>
        </w:r>
      </w:hyperlink>
    </w:p>
    <w:p>
      <w:pPr>
        <w:pStyle w:val="Heading3"/>
        <w:keepNext/>
        <w:keepLines/>
      </w:pPr>
      <w:r>
        <w:t>Timeline Synchronization &amp; Methodology</w:t>
      </w:r>
    </w:p>
    <w:p>
      <w:pPr>
        <w:pStyle w:val="ListBullet"/>
        <w:spacing w:before="20" w:after="20"/>
      </w:pPr>
      <w:hyperlink r:id="rId29">
        <w:r>
          <w:rPr>
            <w:b w:val="0"/>
            <w:i w:val="0"/>
            <w:color w:val="B8860B"/>
            <w:sz w:val="19"/>
          </w:rPr>
          <w:t>Year-Length and Calendar Evidence</w:t>
        </w:r>
      </w:hyperlink>
    </w:p>
    <w:p>
      <w:pPr>
        <w:pStyle w:val="ListBullet"/>
        <w:spacing w:before="20" w:after="20"/>
      </w:pPr>
      <w:hyperlink r:id="rId30">
        <w:r>
          <w:rPr>
            <w:b w:val="0"/>
            <w:i w:val="0"/>
            <w:color w:val="B8860B"/>
            <w:sz w:val="19"/>
          </w:rPr>
          <w:t>Fomenko and the Pyramid Question</w:t>
        </w:r>
      </w:hyperlink>
    </w:p>
    <w:p>
      <w:pPr>
        <w:pStyle w:val="ListBullet"/>
        <w:spacing w:before="20" w:after="20"/>
      </w:pPr>
      <w:hyperlink r:id="rId31">
        <w:r>
          <w:rPr>
            <w:b w:val="0"/>
            <w:i w:val="0"/>
            <w:color w:val="B8860B"/>
            <w:sz w:val="19"/>
          </w:rPr>
          <w:t>Pyramids: Myths vs Reality — Evidence Table</w:t>
        </w:r>
      </w:hyperlink>
    </w:p>
    <w:p>
      <w:pPr>
        <w:pStyle w:val="Heading3"/>
        <w:keepNext/>
        <w:keepLines/>
      </w:pPr>
      <w:r>
        <w:t>Deep State and Empire</w:t>
      </w:r>
    </w:p>
    <w:p>
      <w:pPr>
        <w:pStyle w:val="ListBullet"/>
        <w:spacing w:before="20" w:after="20"/>
      </w:pPr>
      <w:hyperlink r:id="rId32">
        <w:r>
          <w:rPr>
            <w:b w:val="0"/>
            <w:i w:val="0"/>
            <w:color w:val="B8860B"/>
            <w:sz w:val="19"/>
          </w:rPr>
          <w:t>Deep State breaks up the Hordian Empire</w:t>
        </w:r>
      </w:hyperlink>
    </w:p>
    <w:p>
      <w:pPr>
        <w:pStyle w:val="ListBullet"/>
        <w:spacing w:before="20" w:after="20"/>
      </w:pPr>
      <w:hyperlink r:id="rId33">
        <w:r>
          <w:rPr>
            <w:b w:val="0"/>
            <w:i w:val="0"/>
            <w:color w:val="B8860B"/>
            <w:sz w:val="19"/>
          </w:rPr>
          <w:t>Slave Trades: Evidence and Horde-Fracture Thesis</w:t>
        </w:r>
      </w:hyperlink>
    </w:p>
    <w:p>
      <w:pPr>
        <w:pStyle w:val="ListBullet"/>
        <w:spacing w:before="20" w:after="20"/>
      </w:pPr>
      <w:hyperlink r:id="rId34">
        <w:r>
          <w:rPr>
            <w:b w:val="0"/>
            <w:i w:val="0"/>
            <w:color w:val="B8860B"/>
            <w:sz w:val="19"/>
          </w:rPr>
          <w:t>British Empire as Deep State: Case Studies</w:t>
        </w:r>
      </w:hyperlink>
    </w:p>
    <w:p>
      <w:pPr>
        <w:pStyle w:val="Heading3"/>
        <w:keepNext/>
        <w:keepLines/>
      </w:pPr>
      <w:r>
        <w:t>Cataclysm and Creation</w:t>
      </w:r>
    </w:p>
    <w:p>
      <w:pPr>
        <w:pStyle w:val="ListBullet"/>
        <w:spacing w:before="20" w:after="20"/>
      </w:pPr>
      <w:hyperlink r:id="rId35">
        <w:r>
          <w:rPr>
            <w:b w:val="0"/>
            <w:i w:val="0"/>
            <w:color w:val="B8860B"/>
            <w:sz w:val="19"/>
          </w:rPr>
          <w:t>The MudFlood and World Cataclysm</w:t>
        </w:r>
      </w:hyperlink>
    </w:p>
    <w:p>
      <w:pPr>
        <w:pStyle w:val="ListBullet"/>
        <w:spacing w:before="20" w:after="20"/>
      </w:pPr>
      <w:hyperlink r:id="rId26">
        <w:r>
          <w:rPr>
            <w:b w:val="0"/>
            <w:i w:val="0"/>
            <w:color w:val="B8860B"/>
            <w:sz w:val="19"/>
          </w:rPr>
          <w:t>Orphan Trains, Trail of Tears, Siberian Exile — Extended Evidence</w:t>
        </w:r>
      </w:hyperlink>
    </w:p>
    <w:p>
      <w:pPr>
        <w:pStyle w:val="ListBullet"/>
        <w:spacing w:before="20" w:after="20"/>
      </w:pPr>
      <w:hyperlink r:id="rId36">
        <w:r>
          <w:rPr>
            <w:b w:val="0"/>
            <w:i w:val="0"/>
            <w:color w:val="B8860B"/>
            <w:sz w:val="19"/>
          </w:rPr>
          <w:t>Slow ecological collapse — MFEE through Donner era</w:t>
        </w:r>
      </w:hyperlink>
    </w:p>
    <w:p>
      <w:pPr>
        <w:pStyle w:val="ListBullet"/>
        <w:spacing w:before="20" w:after="20"/>
      </w:pPr>
      <w:hyperlink r:id="rId37">
        <w:r>
          <w:rPr>
            <w:b w:val="0"/>
            <w:i w:val="0"/>
            <w:color w:val="B8860B"/>
            <w:sz w:val="19"/>
          </w:rPr>
          <w:t>“New World” naming, MFEE, and colonization memory</w:t>
        </w:r>
      </w:hyperlink>
    </w:p>
    <w:p>
      <w:pPr>
        <w:pStyle w:val="ListBullet"/>
        <w:spacing w:before="20" w:after="20"/>
      </w:pPr>
      <w:hyperlink r:id="rId38">
        <w:r>
          <w:rPr>
            <w:b w:val="0"/>
            <w:i w:val="0"/>
            <w:color w:val="B8860B"/>
            <w:sz w:val="19"/>
          </w:rPr>
          <w:t>Seven Days of Creation</w:t>
        </w:r>
      </w:hyperlink>
    </w:p>
    <w:p>
      <w:pPr>
        <w:pStyle w:val="ListBullet"/>
        <w:spacing w:before="20" w:after="20"/>
      </w:pPr>
      <w:hyperlink r:id="rId39">
        <w:r>
          <w:rPr>
            <w:b w:val="0"/>
            <w:i w:val="0"/>
            <w:color w:val="B8860B"/>
            <w:sz w:val="19"/>
          </w:rPr>
          <w:t>Golden Age: Talbott Documentary Sequence (Table)</w:t>
        </w:r>
      </w:hyperlink>
    </w:p>
    <w:p>
      <w:pPr>
        <w:pStyle w:val="Heading3"/>
        <w:keepNext/>
        <w:keepLines/>
      </w:pPr>
      <w:r>
        <w:t>Giants, Crusades, and Military Etymology</w:t>
      </w:r>
    </w:p>
    <w:p>
      <w:pPr>
        <w:pStyle w:val="ListBullet"/>
        <w:spacing w:before="20" w:after="20"/>
      </w:pPr>
      <w:hyperlink r:id="rId40">
        <w:r>
          <w:rPr>
            <w:b w:val="0"/>
            <w:i w:val="0"/>
            <w:color w:val="B8860B"/>
            <w:sz w:val="19"/>
          </w:rPr>
          <w:t>Giants, Infantry, Guerrilla, and the Children's Crusade — Etymology</w:t>
        </w:r>
      </w:hyperlink>
    </w:p>
    <w:p>
      <w:pPr>
        <w:pStyle w:val="ListBullet"/>
        <w:spacing w:before="20" w:after="20"/>
      </w:pPr>
      <w:r>
        <w:rPr>
          <w:b w:val="0"/>
          <w:i w:val="0"/>
          <w:sz w:val="19"/>
        </w:rPr>
      </w:r>
      <w:r>
        <w:rPr>
          <w:b/>
          <w:i w:val="0"/>
          <w:sz w:val="19"/>
        </w:rPr>
        <w:t>Files (lexical speculation):</w:t>
      </w:r>
      <w:r>
        <w:rPr>
          <w:b w:val="0"/>
          <w:i w:val="0"/>
          <w:sz w:val="19"/>
        </w:rPr>
        <w:t xml:space="preserve"> </w:t>
      </w:r>
      <w:hyperlink r:id="rId41">
        <w:r>
          <w:rPr>
            <w:b w:val="0"/>
            <w:i w:val="0"/>
            <w:color w:val="B8860B"/>
            <w:sz w:val="19"/>
          </w:rPr>
          <w:t>Rus-Horde echoes in English political and military lexicon</w:t>
        </w:r>
      </w:hyperlink>
      <w:r>
        <w:rPr>
          <w:b w:val="0"/>
          <w:i w:val="0"/>
          <w:sz w:val="19"/>
        </w:rPr>
        <w:t xml:space="preserve"> — open note on </w:t>
      </w:r>
      <w:r>
        <w:rPr>
          <w:b w:val="0"/>
          <w:i/>
          <w:sz w:val="19"/>
        </w:rPr>
        <w:t>rush</w:t>
      </w:r>
      <w:r>
        <w:rPr>
          <w:b w:val="0"/>
          <w:i w:val="0"/>
          <w:sz w:val="19"/>
        </w:rPr>
        <w:t xml:space="preserve">, </w:t>
      </w:r>
      <w:r>
        <w:rPr>
          <w:b w:val="0"/>
          <w:i/>
          <w:sz w:val="19"/>
        </w:rPr>
        <w:t>horde</w:t>
      </w:r>
      <w:r>
        <w:rPr>
          <w:b w:val="0"/>
          <w:i w:val="0"/>
          <w:sz w:val="19"/>
        </w:rPr>
        <w:t xml:space="preserve">, </w:t>
      </w:r>
      <w:r>
        <w:rPr>
          <w:b w:val="0"/>
          <w:i/>
          <w:sz w:val="19"/>
        </w:rPr>
        <w:t>pro/con</w:t>
      </w:r>
      <w:r>
        <w:rPr>
          <w:b w:val="0"/>
          <w:i w:val="0"/>
          <w:sz w:val="19"/>
        </w:rPr>
        <w:t xml:space="preserve">, Fomenko </w:t>
      </w:r>
      <w:r>
        <w:rPr>
          <w:b/>
          <w:i w:val="0"/>
          <w:sz w:val="19"/>
        </w:rPr>
        <w:t xml:space="preserve">Horde = </w:t>
      </w:r>
      <w:r>
        <w:rPr>
          <w:b/>
          <w:i/>
          <w:sz w:val="19"/>
        </w:rPr>
        <w:t>rat’</w:t>
      </w:r>
      <w:r>
        <w:rPr>
          <w:b w:val="0"/>
          <w:i w:val="0"/>
          <w:sz w:val="19"/>
        </w:rPr>
        <w:t xml:space="preserve">, </w:t>
      </w:r>
      <w:r>
        <w:rPr>
          <w:b w:val="0"/>
          <w:i/>
          <w:sz w:val="19"/>
        </w:rPr>
        <w:t>King Arthur</w:t>
      </w:r>
      <w:r>
        <w:rPr>
          <w:b w:val="0"/>
          <w:i w:val="0"/>
          <w:sz w:val="19"/>
        </w:rPr>
        <w:t xml:space="preserve"> (2004), etc.; no timeline event (dossier only).</w:t>
      </w:r>
    </w:p>
    <w:p>
      <w:pPr>
        <w:pStyle w:val="Heading3"/>
        <w:keepNext/>
        <w:keepLines/>
      </w:pPr>
      <w:r>
        <w:t>Reverse Crusades and Modern Wars</w:t>
      </w:r>
    </w:p>
    <w:p>
      <w:pPr>
        <w:pStyle w:val="ListBullet"/>
        <w:spacing w:before="20" w:after="20"/>
      </w:pPr>
      <w:hyperlink r:id="rId42">
        <w:r>
          <w:rPr>
            <w:b w:val="0"/>
            <w:i w:val="0"/>
            <w:color w:val="B8860B"/>
            <w:sz w:val="19"/>
          </w:rPr>
          <w:t>The Four Reverse Crusades: A Structural Comparison</w:t>
        </w:r>
      </w:hyperlink>
    </w:p>
    <w:p>
      <w:pPr>
        <w:pStyle w:val="ListBullet"/>
        <w:spacing w:before="20" w:after="20"/>
      </w:pPr>
      <w:hyperlink r:id="rId43">
        <w:r>
          <w:rPr>
            <w:b w:val="0"/>
            <w:i w:val="0"/>
            <w:color w:val="B8860B"/>
            <w:sz w:val="19"/>
          </w:rPr>
          <w:t>21st Century Geopolitics: Europe's War and America's Escalation Machine</w:t>
        </w:r>
      </w:hyperlink>
    </w:p>
    <w:p>
      <w:pPr>
        <w:pStyle w:val="ListBullet"/>
        <w:spacing w:before="20" w:after="20"/>
      </w:pPr>
      <w:hyperlink r:id="rId44">
        <w:r>
          <w:rPr>
            <w:b w:val="0"/>
            <w:i w:val="0"/>
            <w:color w:val="B8860B"/>
            <w:sz w:val="19"/>
          </w:rPr>
          <w:t>World War II Aftermath</w:t>
        </w:r>
      </w:hyperlink>
    </w:p>
    <w:p>
      <w:pPr>
        <w:pStyle w:val="Heading3"/>
        <w:keepNext/>
        <w:keepLines/>
      </w:pPr>
      <w:r>
        <w:t>Jesuit Operations</w:t>
      </w:r>
    </w:p>
    <w:p>
      <w:pPr>
        <w:pStyle w:val="ListBullet"/>
        <w:spacing w:before="20" w:after="20"/>
      </w:pPr>
      <w:hyperlink r:id="rId45">
        <w:r>
          <w:rPr>
            <w:b w:val="0"/>
            <w:i w:val="0"/>
            <w:color w:val="B8860B"/>
            <w:sz w:val="19"/>
          </w:rPr>
          <w:t>Jesuit Operations: Conversion, Catholicism, and the New World</w:t>
        </w:r>
      </w:hyperlink>
    </w:p>
    <w:p>
      <w:pPr>
        <w:pStyle w:val="Heading3"/>
        <w:keepNext/>
        <w:keepLines/>
      </w:pPr>
      <w:r>
        <w:t>Reader feedback and corrections</w:t>
      </w:r>
    </w:p>
    <w:p>
      <w:pPr>
        <w:pStyle w:val="ListBullet"/>
        <w:spacing w:before="20" w:after="20"/>
      </w:pPr>
      <w:r>
        <w:rPr>
          <w:b w:val="0"/>
          <w:i w:val="0"/>
          <w:sz w:val="19"/>
        </w:rPr>
      </w:r>
      <w:r>
        <w:rPr>
          <w:b/>
          <w:i w:val="0"/>
          <w:sz w:val="19"/>
        </w:rPr>
        <w:t>FB-001 — Anatoly Fomenko:</w:t>
      </w:r>
      <w:r>
        <w:rPr>
          <w:b w:val="0"/>
          <w:i w:val="0"/>
          <w:sz w:val="19"/>
        </w:rPr>
        <w:t xml:space="preserve"> A Russian-language reader objected to the phrase </w:t>
      </w:r>
      <w:r>
        <w:rPr>
          <w:b w:val="0"/>
          <w:i/>
          <w:sz w:val="19"/>
        </w:rPr>
        <w:t>state-sponsored historian</w:t>
      </w:r>
      <w:r>
        <w:rPr>
          <w:b w:val="0"/>
          <w:i w:val="0"/>
          <w:sz w:val="19"/>
        </w:rPr>
        <w:t xml:space="preserve"> applied to Fomenko. The English chronology overview has been corrected; summary and open follow-ups appear in the section below. Full anonymized post, investigation notes, and East/West citation policy: </w:t>
      </w:r>
      <w:hyperlink r:id="rId46">
        <w:r>
          <w:rPr>
            <w:b w:val="0"/>
            <w:i w:val="0"/>
            <w:color w:val="B8860B"/>
            <w:sz w:val="19"/>
          </w:rPr>
          <w:t>FEEDBACK.md</w:t>
        </w:r>
      </w:hyperlink>
      <w:r>
        <w:rPr>
          <w:b w:val="0"/>
          <w:i w:val="0"/>
          <w:sz w:val="19"/>
        </w:rPr>
        <w:t xml:space="preserve"> (repository dossier).</w:t>
      </w:r>
    </w:p>
    <w:p>
      <w:pPr>
        <w:pBdr>
          <w:bottom w:val="single" w:sz="6" w:space="1" w:color="CCCCCC"/>
        </w:pBdr>
      </w:pPr>
    </w:p>
    <w:p>
      <w:pPr>
        <w:pStyle w:val="Heading2"/>
        <w:keepNext/>
        <w:keepLines/>
      </w:pPr>
      <w:r>
        <w:t>Reader feedback and corrections (book-facing)</w:t>
      </w:r>
    </w:p>
    <w:p>
      <w:pPr>
        <w:pStyle w:val="Heading3"/>
        <w:keepNext/>
        <w:keepLines/>
      </w:pPr>
      <w:r>
        <w:t>FB-001 — Anatoly Fomenko: “state-sponsored historian” (retracted)</w:t>
      </w:r>
    </w:p>
    <w:p>
      <w:r>
        <w:rPr>
          <w:b w:val="0"/>
          <w:i w:val="0"/>
        </w:rPr>
        <w:t xml:space="preserve">A reader of the </w:t>
      </w:r>
      <w:r>
        <w:rPr>
          <w:b/>
          <w:i w:val="0"/>
        </w:rPr>
        <w:t>Russian translation</w:t>
      </w:r>
      <w:r>
        <w:rPr>
          <w:b w:val="0"/>
          <w:i w:val="0"/>
        </w:rPr>
        <w:t xml:space="preserve"> reported that calling Anatoly Fomenko a </w:t>
      </w:r>
      <w:r>
        <w:rPr>
          <w:b w:val="0"/>
          <w:i/>
        </w:rPr>
        <w:t>state-sponsored historian</w:t>
      </w:r>
      <w:r>
        <w:rPr>
          <w:b w:val="0"/>
          <w:i w:val="0"/>
        </w:rPr>
        <w:t xml:space="preserve"> is </w:t>
      </w:r>
      <w:r>
        <w:rPr>
          <w:b/>
          <w:i w:val="0"/>
        </w:rPr>
        <w:t>misleading</w:t>
      </w:r>
      <w:r>
        <w:rPr>
          <w:b w:val="0"/>
          <w:i w:val="0"/>
        </w:rPr>
        <w:t xml:space="preserve">: he is a </w:t>
      </w:r>
      <w:r>
        <w:rPr>
          <w:b/>
          <w:i w:val="0"/>
        </w:rPr>
        <w:t>recognized mathematician</w:t>
      </w:r>
      <w:r>
        <w:rPr>
          <w:b w:val="0"/>
          <w:i w:val="0"/>
        </w:rPr>
        <w:t xml:space="preserve">, elected </w:t>
      </w:r>
      <w:r>
        <w:rPr>
          <w:b/>
          <w:i w:val="0"/>
        </w:rPr>
        <w:t>full member of the Russian Academy of Sciences (1994)</w:t>
      </w:r>
      <w:r>
        <w:rPr>
          <w:b w:val="0"/>
          <w:i w:val="0"/>
        </w:rPr>
        <w:t xml:space="preserve"> for </w:t>
      </w:r>
      <w:r>
        <w:rPr>
          <w:b/>
          <w:i w:val="0"/>
        </w:rPr>
        <w:t>mathematics</w:t>
      </w:r>
      <w:r>
        <w:rPr>
          <w:b w:val="0"/>
          <w:i w:val="0"/>
        </w:rPr>
        <w:t xml:space="preserve">, while his and G.V. Nosovsky’s </w:t>
      </w:r>
      <w:r>
        <w:rPr>
          <w:b/>
          <w:i w:val="0"/>
        </w:rPr>
        <w:t>New Chronology</w:t>
      </w:r>
      <w:r>
        <w:rPr>
          <w:b w:val="0"/>
          <w:i w:val="0"/>
        </w:rPr>
        <w:t xml:space="preserve"> writings are </w:t>
      </w:r>
      <w:r>
        <w:rPr>
          <w:b/>
          <w:i w:val="0"/>
        </w:rPr>
        <w:t>rejected</w:t>
      </w:r>
      <w:r>
        <w:rPr>
          <w:b w:val="0"/>
          <w:i w:val="0"/>
        </w:rPr>
        <w:t xml:space="preserve"> by </w:t>
      </w:r>
      <w:r>
        <w:rPr>
          <w:b/>
          <w:i w:val="0"/>
        </w:rPr>
        <w:t>professional historians</w:t>
      </w:r>
      <w:r>
        <w:rPr>
          <w:b w:val="0"/>
          <w:i w:val="0"/>
        </w:rPr>
        <w:t xml:space="preserve"> in Russia and internationally—i.e. the “official” historical profession’s stance is </w:t>
      </w:r>
      <w:r>
        <w:rPr>
          <w:b/>
          <w:i w:val="0"/>
        </w:rPr>
        <w:t>hostile</w:t>
      </w:r>
      <w:r>
        <w:rPr>
          <w:b w:val="0"/>
          <w:i w:val="0"/>
        </w:rPr>
        <w:t xml:space="preserve">, not sponsoring. The reviewer added that </w:t>
      </w:r>
      <w:r>
        <w:rPr>
          <w:b/>
          <w:i w:val="0"/>
        </w:rPr>
        <w:t>New Chronology</w:t>
      </w:r>
      <w:r>
        <w:rPr>
          <w:b w:val="0"/>
          <w:i w:val="0"/>
        </w:rPr>
        <w:t xml:space="preserve"> was not treated as state-backed project work (no grants named; Soviet-era </w:t>
      </w:r>
      <w:r>
        <w:rPr>
          <w:b/>
          <w:i w:val="0"/>
        </w:rPr>
        <w:t>denunciations</w:t>
      </w:r>
      <w:r>
        <w:rPr>
          <w:b w:val="0"/>
          <w:i w:val="0"/>
        </w:rPr>
        <w:t xml:space="preserve"> alleged but </w:t>
      </w:r>
      <w:r>
        <w:rPr>
          <w:b/>
          <w:i w:val="0"/>
        </w:rPr>
        <w:t>no</w:t>
      </w:r>
      <w:r>
        <w:rPr>
          <w:b w:val="0"/>
          <w:i w:val="0"/>
        </w:rPr>
        <w:t xml:space="preserve"> systematic persecution described).</w:t>
      </w:r>
    </w:p>
    <w:p>
      <w:r>
        <w:rPr>
          <w:b w:val="0"/>
          <w:i w:val="0"/>
        </w:rPr>
      </w:r>
      <w:r>
        <w:rPr>
          <w:b/>
          <w:i w:val="0"/>
        </w:rPr>
        <w:t>Correction applied:</w:t>
      </w:r>
      <w:r>
        <w:rPr>
          <w:b w:val="0"/>
          <w:i w:val="0"/>
        </w:rPr>
        <w:t xml:space="preserve"> The same wording was removed from paradigm-threat-files </w:t>
      </w:r>
      <w:r>
        <w:rPr>
          <w:rFonts w:ascii="JetBrains Mono" w:hAnsi="JetBrains Mono"/>
          <w:sz w:val="20"/>
        </w:rPr>
        <w:t>history/chronology/page.md</w:t>
      </w:r>
      <w:hyperlink r:id="rId47">
        <w:r>
          <w:rPr>
            <w:b w:val="0"/>
            <w:i w:val="0"/>
            <w:color w:val="B8860B"/>
          </w:rPr>
        </w:r>
      </w:hyperlink>
      <w:r>
        <w:rPr>
          <w:b w:val="0"/>
          <w:i w:val="0"/>
        </w:rPr>
        <w:t xml:space="preserve"> and from the timeline overview </w:t>
      </w:r>
      <w:r>
        <w:rPr>
          <w:rFonts w:ascii="JetBrains Mono" w:hAnsi="JetBrains Mono"/>
          <w:sz w:val="20"/>
        </w:rPr>
        <w:t>content/00.overview/00.02.00-background.md</w:t>
      </w:r>
      <w:hyperlink r:id="rId48">
        <w:r>
          <w:rPr>
            <w:b w:val="0"/>
            <w:i w:val="0"/>
            <w:color w:val="B8860B"/>
          </w:rPr>
        </w:r>
      </w:hyperlink>
      <w:r>
        <w:rPr>
          <w:b w:val="0"/>
          <w:i w:val="0"/>
        </w:rPr>
        <w:t xml:space="preserve">; both now separate </w:t>
      </w:r>
      <w:r>
        <w:rPr>
          <w:b/>
          <w:i w:val="0"/>
        </w:rPr>
        <w:t>RAS membership (mathematics)</w:t>
      </w:r>
      <w:r>
        <w:rPr>
          <w:b w:val="0"/>
          <w:i w:val="0"/>
        </w:rPr>
        <w:t xml:space="preserve"> from </w:t>
      </w:r>
      <w:r>
        <w:rPr>
          <w:b/>
          <w:i w:val="0"/>
        </w:rPr>
        <w:t xml:space="preserve">mainstream rejection of </w:t>
      </w:r>
      <w:r>
        <w:rPr>
          <w:b/>
          <w:i/>
        </w:rPr>
        <w:t>New Chronology</w:t>
      </w:r>
      <w:r>
        <w:rPr>
          <w:b w:val="0"/>
          <w:i w:val="0"/>
        </w:rPr>
        <w:t xml:space="preserve">. Regenerate </w:t>
      </w:r>
      <w:r>
        <w:rPr>
          <w:b/>
          <w:i w:val="0"/>
        </w:rPr>
        <w:t>DOCX/PDF</w:t>
      </w:r>
      <w:r>
        <w:rPr>
          <w:b w:val="0"/>
          <w:i w:val="0"/>
        </w:rPr>
        <w:t xml:space="preserve"> (and any Russian export) so compiled books pick up the fix.</w:t>
      </w:r>
    </w:p>
    <w:p>
      <w:r>
        <w:rPr>
          <w:b w:val="0"/>
          <w:i w:val="0"/>
        </w:rPr>
      </w:r>
      <w:r>
        <w:rPr>
          <w:b/>
          <w:i w:val="0"/>
        </w:rPr>
        <w:t>Second thread (not “fixed,” recorded):</w:t>
      </w:r>
      <w:r>
        <w:rPr>
          <w:b w:val="0"/>
          <w:i w:val="0"/>
        </w:rPr>
        <w:t xml:space="preserve"> The same feedback bundled </w:t>
      </w:r>
      <w:r>
        <w:rPr>
          <w:b/>
          <w:i w:val="0"/>
        </w:rPr>
        <w:t>Saturnian / 4077 BCE / catastrophism</w:t>
      </w:r>
      <w:r>
        <w:rPr>
          <w:b w:val="0"/>
          <w:i w:val="0"/>
        </w:rPr>
        <w:t xml:space="preserve"> with </w:t>
      </w:r>
      <w:r>
        <w:rPr>
          <w:b/>
          <w:i w:val="0"/>
        </w:rPr>
        <w:t>New Chronology</w:t>
      </w:r>
      <w:r>
        <w:rPr>
          <w:b w:val="0"/>
          <w:i w:val="0"/>
        </w:rPr>
        <w:t xml:space="preserve"> and read the mix as </w:t>
      </w:r>
      <w:r>
        <w:rPr>
          <w:b/>
          <w:i w:val="0"/>
        </w:rPr>
        <w:t>fantasy or esotericism</w:t>
      </w:r>
      <w:r>
        <w:rPr>
          <w:b w:val="0"/>
          <w:i w:val="0"/>
        </w:rPr>
        <w:t xml:space="preserve"> rather than science—the “fly in the ointment” problem. This chronology </w:t>
      </w:r>
      <w:r>
        <w:rPr>
          <w:b/>
          <w:i w:val="0"/>
        </w:rPr>
        <w:t>already</w:t>
      </w:r>
      <w:r>
        <w:rPr>
          <w:b w:val="0"/>
          <w:i w:val="0"/>
        </w:rPr>
        <w:t xml:space="preserve"> treats </w:t>
      </w:r>
      <w:r>
        <w:rPr>
          <w:b/>
          <w:i w:val="0"/>
        </w:rPr>
        <w:t>Fomenko</w:t>
      </w:r>
      <w:r>
        <w:rPr>
          <w:b w:val="0"/>
          <w:i w:val="0"/>
        </w:rPr>
        <w:t xml:space="preserve"> and </w:t>
      </w:r>
      <w:r>
        <w:rPr>
          <w:b/>
          <w:i w:val="0"/>
        </w:rPr>
        <w:t>Saturnian</w:t>
      </w:r>
      <w:r>
        <w:rPr>
          <w:b w:val="0"/>
          <w:i w:val="0"/>
        </w:rPr>
        <w:t xml:space="preserve"> lines as </w:t>
      </w:r>
      <w:r>
        <w:rPr>
          <w:b/>
          <w:i w:val="0"/>
        </w:rPr>
        <w:t>different frameworks</w:t>
      </w:r>
      <w:r>
        <w:rPr>
          <w:b w:val="0"/>
          <w:i w:val="0"/>
        </w:rPr>
        <w:t xml:space="preserve"> in project rules; the actionable item is </w:t>
      </w:r>
      <w:r>
        <w:rPr>
          <w:b/>
          <w:i w:val="0"/>
        </w:rPr>
        <w:t>clearer chapter boundaries</w:t>
      </w:r>
      <w:r>
        <w:rPr>
          <w:b w:val="0"/>
          <w:i w:val="0"/>
        </w:rPr>
        <w:t xml:space="preserve"> in any </w:t>
      </w:r>
      <w:r>
        <w:rPr>
          <w:b/>
          <w:i w:val="0"/>
        </w:rPr>
        <w:t>compiled book</w:t>
      </w:r>
      <w:r>
        <w:rPr>
          <w:b w:val="0"/>
          <w:i w:val="0"/>
        </w:rPr>
        <w:t xml:space="preserve"> so readers who want </w:t>
      </w:r>
      <w:r>
        <w:rPr>
          <w:b/>
          <w:i w:val="0"/>
        </w:rPr>
        <w:t>only</w:t>
      </w:r>
      <w:r>
        <w:rPr>
          <w:b w:val="0"/>
          <w:i w:val="0"/>
        </w:rPr>
        <w:t xml:space="preserve"> statistical chronology are not forced through </w:t>
      </w:r>
      <w:r>
        <w:rPr>
          <w:b/>
          <w:i w:val="0"/>
        </w:rPr>
        <w:t>cosmology</w:t>
      </w:r>
      <w:r>
        <w:rPr>
          <w:b w:val="0"/>
          <w:i w:val="0"/>
        </w:rPr>
        <w:t xml:space="preserve"> in the same breath.</w:t>
      </w:r>
    </w:p>
    <w:p>
      <w:r>
        <w:rPr>
          <w:b w:val="0"/>
          <w:i w:val="0"/>
        </w:rPr>
      </w:r>
      <w:r>
        <w:rPr>
          <w:b/>
          <w:i w:val="0"/>
        </w:rPr>
        <w:t>Open:</w:t>
      </w:r>
      <w:r>
        <w:rPr>
          <w:b w:val="0"/>
          <w:i w:val="0"/>
        </w:rPr>
        <w:t xml:space="preserve"> Pass the same Fomenko wording correction through any </w:t>
      </w:r>
      <w:r>
        <w:rPr>
          <w:b/>
          <w:i w:val="0"/>
        </w:rPr>
        <w:t>standalone Russian book</w:t>
      </w:r>
      <w:r>
        <w:rPr>
          <w:b w:val="0"/>
          <w:i w:val="0"/>
        </w:rPr>
        <w:t xml:space="preserve"> source if it was not generated from </w:t>
      </w:r>
      <w:r>
        <w:rPr>
          <w:rFonts w:ascii="JetBrains Mono" w:hAnsi="JetBrains Mono"/>
          <w:sz w:val="20"/>
        </w:rPr>
        <w:t>page.md</w:t>
      </w:r>
      <w:r>
        <w:rPr>
          <w:b w:val="0"/>
          <w:i w:val="0"/>
        </w:rPr>
        <w:t xml:space="preserve">. Optional non-Western anchor for “academy vs. pseudohistory”: RAS digest </w:t>
      </w:r>
      <w:r>
        <w:rPr>
          <w:b w:val="0"/>
          <w:i/>
        </w:rPr>
        <w:t>В защиту науки</w:t>
      </w:r>
      <w:r>
        <w:rPr>
          <w:b w:val="0"/>
          <w:i w:val="0"/>
        </w:rPr>
        <w:t xml:space="preserve"> (“In defence of science”) bulletins on </w:t>
      </w:r>
      <w:hyperlink r:id="rId49">
        <w:r>
          <w:rPr>
            <w:b w:val="0"/>
            <w:i w:val="0"/>
            <w:color w:val="B8860B"/>
          </w:rPr>
          <w:t>ras.ru</w:t>
        </w:r>
      </w:hyperlink>
      <w:r>
        <w:rPr>
          <w:b w:val="0"/>
          <w:i w:val="0"/>
        </w:rPr>
        <w:t xml:space="preserve"> (see Wikipedia article on Fomenko for pointers).</w:t>
      </w:r>
    </w:p>
    <w:p>
      <w:r>
        <w:rPr>
          <w:b w:val="0"/>
          <w:i w:val="0"/>
        </w:rPr>
      </w:r>
      <w:r>
        <w:rPr>
          <w:b/>
          <w:i w:val="0"/>
        </w:rPr>
        <w:t>ID:</w:t>
      </w:r>
      <w:r>
        <w:rPr>
          <w:b w:val="0"/>
          <w:i w:val="0"/>
        </w:rPr>
        <w:t xml:space="preserve"> FB-001 — see </w:t>
      </w:r>
      <w:hyperlink r:id="rId46">
        <w:r>
          <w:rPr>
            <w:b w:val="0"/>
            <w:i w:val="0"/>
            <w:color w:val="B8860B"/>
          </w:rPr>
          <w:t>FEEDBACK.md</w:t>
        </w:r>
      </w:hyperlink>
      <w:r>
        <w:rPr>
          <w:b w:val="0"/>
          <w:i w:val="0"/>
        </w:rPr>
        <w:t xml:space="preserve"> for the full anonymized text and investigation table.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50">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51">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rPr>
                <w:rFonts w:ascii="Libre Franklin" w:hAnsi="Libre Franklin"/>
                <w:b/>
                <w:sz w:val="18"/>
              </w:rPr>
              <w:t>Author</w:t>
            </w:r>
          </w:p>
        </w:tc>
        <w:tc>
          <w:tcPr>
            <w:tcW w:type="dxa" w:w="1410"/>
            <w:shd w:val="clear" w:color="auto" w:fill="F0F0F0"/>
          </w:tcPr>
          <w:p>
            <w:pPr>
              <w:spacing w:before="20" w:after="20"/>
              <w:jc w:val="center"/>
            </w:pPr>
            <w:r>
              <w:rPr>
                <w:rFonts w:ascii="Libre Franklin" w:hAnsi="Libre Franklin"/>
                <w:b/>
                <w:sz w:val="18"/>
              </w:rPr>
              <w:t>Primary Field</w:t>
            </w:r>
          </w:p>
        </w:tc>
        <w:tc>
          <w:tcPr>
            <w:tcW w:type="dxa" w:w="3676"/>
            <w:shd w:val="clear" w:color="auto" w:fill="F0F0F0"/>
          </w:tcPr>
          <w:p>
            <w:pPr>
              <w:spacing w:before="20" w:after="20"/>
              <w:jc w:val="center"/>
            </w:pPr>
            <w:r>
              <w:rPr>
                <w:rFonts w:ascii="Libre Franklin" w:hAnsi="Libre Franklin"/>
                <w:b/>
                <w:sz w:val="18"/>
              </w:rPr>
              <w:t>Key Contribution</w:t>
            </w:r>
          </w:p>
        </w:tc>
      </w:tr>
      <w:tr>
        <w:tc>
          <w:tcPr>
            <w:tcW w:type="dxa" w:w="1286"/>
          </w:tcPr>
          <w:p>
            <w:pPr>
              <w:spacing w:before="20" w:after="20"/>
            </w:pPr>
            <w:hyperlink r:id="rId52">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rPr>
                <w:b w:val="0"/>
                <w:i w:val="0"/>
                <w:sz w:val="18"/>
              </w:rPr>
              <w:t>First mathematical challenge to Scaligerian chronology</w:t>
            </w:r>
          </w:p>
        </w:tc>
      </w:tr>
      <w:tr>
        <w:tc>
          <w:tcPr>
            <w:tcW w:type="dxa" w:w="1286"/>
          </w:tcPr>
          <w:p>
            <w:pPr>
              <w:spacing w:before="20" w:after="20"/>
            </w:pPr>
            <w:hyperlink r:id="rId53">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rPr>
                <w:b w:val="0"/>
                <w:i w:val="0"/>
                <w:sz w:val="18"/>
              </w:rPr>
              <w:t>Electric Universe theory; plasma cosmology</w:t>
            </w:r>
          </w:p>
        </w:tc>
      </w:tr>
      <w:tr>
        <w:tc>
          <w:tcPr>
            <w:tcW w:type="dxa" w:w="1286"/>
          </w:tcPr>
          <w:p>
            <w:pPr>
              <w:spacing w:before="20" w:after="20"/>
            </w:pPr>
            <w:hyperlink r:id="rId54">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Electric Sun hypothesis</w:t>
            </w:r>
          </w:p>
        </w:tc>
      </w:tr>
      <w:tr>
        <w:tc>
          <w:tcPr>
            <w:tcW w:type="dxa" w:w="1286"/>
          </w:tcPr>
          <w:p>
            <w:pPr>
              <w:spacing w:before="20" w:after="20"/>
            </w:pPr>
            <w:hyperlink r:id="rId55">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rPr>
                <w:b w:val="0"/>
                <w:i w:val="0"/>
                <w:sz w:val="18"/>
              </w:rPr>
              <w:t>Planetary catastrophism; Venus comet; Egyptian chronology</w:t>
            </w:r>
          </w:p>
        </w:tc>
      </w:tr>
      <w:tr>
        <w:tc>
          <w:tcPr>
            <w:tcW w:type="dxa" w:w="1286"/>
          </w:tcPr>
          <w:p>
            <w:pPr>
              <w:spacing w:before="20" w:after="20"/>
            </w:pPr>
            <w:hyperlink r:id="rId56">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rPr>
                <w:b w:val="0"/>
                <w:i w:val="0"/>
                <w:sz w:val="18"/>
              </w:rPr>
              <w:t>Statistical proof Scaligerian chronology is fabricated</w:t>
            </w:r>
          </w:p>
        </w:tc>
      </w:tr>
      <w:tr>
        <w:tc>
          <w:tcPr>
            <w:tcW w:type="dxa" w:w="1286"/>
          </w:tcPr>
          <w:p>
            <w:pPr>
              <w:spacing w:before="20" w:after="20"/>
            </w:pPr>
            <w:hyperlink r:id="rId57">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Saturn Myth; polar configuration mythology</w:t>
            </w:r>
          </w:p>
        </w:tc>
      </w:tr>
      <w:tr>
        <w:tc>
          <w:tcPr>
            <w:tcW w:type="dxa" w:w="1286"/>
          </w:tcPr>
          <w:p>
            <w:pPr>
              <w:spacing w:before="20" w:after="20"/>
            </w:pPr>
            <w:hyperlink r:id="rId58">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59">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60">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61">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62">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63">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64">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65">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66">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67">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68">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69">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70">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71">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72">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73">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74">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75">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76">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77">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78">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79">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80">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81">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82">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83">
        <w:r>
          <w:rPr>
            <w:b w:val="0"/>
            <w:i w:val="0"/>
            <w:color w:val="B8860B"/>
            <w:sz w:val="19"/>
          </w:rPr>
          <w:t>HathiTrust — Khristos volumes</w:t>
        </w:r>
      </w:hyperlink>
    </w:p>
    <w:p>
      <w:pPr>
        <w:pStyle w:val="ListBullet"/>
        <w:spacing w:before="20" w:after="20"/>
      </w:pPr>
      <w:hyperlink r:id="rId84">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85">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86">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87">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88">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85">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81">
        <w:r>
          <w:rPr>
            <w:b w:val="0"/>
            <w:i w:val="0"/>
            <w:color w:val="B8860B"/>
            <w:sz w:val="19"/>
          </w:rPr>
          <w:t>Wikipedia — Nikolai Morozov</w:t>
        </w:r>
      </w:hyperlink>
    </w:p>
    <w:p>
      <w:pPr>
        <w:pStyle w:val="ListBullet"/>
        <w:spacing w:before="20" w:after="20"/>
      </w:pPr>
      <w:hyperlink r:id="rId76">
        <w:r>
          <w:rPr>
            <w:b w:val="0"/>
            <w:i w:val="0"/>
            <w:color w:val="B8860B"/>
            <w:sz w:val="19"/>
          </w:rPr>
          <w:t>Wikipedia — New Chronology (Fomenko)</w:t>
        </w:r>
      </w:hyperlink>
    </w:p>
    <w:p>
      <w:pPr>
        <w:pStyle w:val="ListBullet"/>
        <w:spacing w:before="20" w:after="20"/>
      </w:pPr>
      <w:hyperlink r:id="rId83">
        <w:r>
          <w:rPr>
            <w:b w:val="0"/>
            <w:i w:val="0"/>
            <w:color w:val="B8860B"/>
            <w:sz w:val="19"/>
          </w:rPr>
          <w:t>HathiTrust Digital Library — Morozov works</w:t>
        </w:r>
      </w:hyperlink>
    </w:p>
    <w:p/>
    <w:p>
      <w:pPr>
        <w:jc w:val="center"/>
      </w:pPr>
      <w:r>
        <w:rPr>
          <w:color w:val="B8860B"/>
          <w:sz w:val="24"/>
        </w:rPr>
        <w:t>— ✦ —</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89">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90">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91">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92">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93">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94">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95">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96">
        <w:r>
          <w:rPr>
            <w:b w:val="0"/>
            <w:i w:val="0"/>
            <w:color w:val="B8860B"/>
          </w:rPr>
          <w:t>Dave Talbott</w:t>
        </w:r>
      </w:hyperlink>
      <w:r>
        <w:rPr>
          <w:b w:val="0"/>
          <w:i w:val="0"/>
        </w:rPr>
        <w:t xml:space="preserve"> and</w:t>
      </w:r>
      <w:r>
        <w:rPr>
          <w:b w:val="0"/>
          <w:i w:val="0"/>
        </w:rPr>
        <w:t xml:space="preserve"> </w:t>
      </w:r>
      <w:hyperlink r:id="rId97">
        <w:r>
          <w:rPr>
            <w:b w:val="0"/>
            <w:i w:val="0"/>
            <w:color w:val="B8860B"/>
          </w:rPr>
          <w:t>Dwardu Cardona</w:t>
        </w:r>
      </w:hyperlink>
      <w:r>
        <w:rPr>
          <w:b w:val="0"/>
          <w:i w:val="0"/>
        </w:rPr>
        <w:t xml:space="preserve"> — is the model of Saturn as a former</w:t>
      </w:r>
      <w:r>
        <w:rPr>
          <w:b w:val="0"/>
          <w:i w:val="0"/>
        </w:rPr>
        <w:t xml:space="preserve"> </w:t>
      </w:r>
      <w:hyperlink r:id="rId98">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99">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100">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101">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102">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103">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104">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105">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90">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99">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106">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107">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108">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90">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109">
        <w:r>
          <w:rPr>
            <w:b w:val="0"/>
            <w:i w:val="0"/>
            <w:color w:val="B8860B"/>
            <w:sz w:val="19"/>
          </w:rPr>
          <w:t>Wikipedia — Wal Thornhill</w:t>
        </w:r>
      </w:hyperlink>
    </w:p>
    <w:p>
      <w:pPr>
        <w:pStyle w:val="ListBullet"/>
        <w:spacing w:before="20" w:after="20"/>
      </w:pPr>
      <w:hyperlink r:id="rId110">
        <w:r>
          <w:rPr>
            <w:b w:val="0"/>
            <w:i w:val="0"/>
            <w:color w:val="B8860B"/>
            <w:sz w:val="19"/>
          </w:rPr>
          <w:t>HoloCosmos / Holoscience.com — Thornhill's papers</w:t>
        </w:r>
      </w:hyperlink>
    </w:p>
    <w:p>
      <w:pPr>
        <w:pStyle w:val="ListBullet"/>
        <w:spacing w:before="20" w:after="20"/>
      </w:pPr>
      <w:hyperlink r:id="rId90">
        <w:r>
          <w:rPr>
            <w:b w:val="0"/>
            <w:i w:val="0"/>
            <w:color w:val="B8860B"/>
            <w:sz w:val="19"/>
          </w:rPr>
          <w:t>Thunderbolts Project — Electric Universe</w:t>
        </w:r>
      </w:hyperlink>
    </w:p>
    <w:p>
      <w:pPr>
        <w:pStyle w:val="ListBullet"/>
        <w:spacing w:before="20" w:after="20"/>
      </w:pPr>
      <w:hyperlink r:id="rId111">
        <w:r>
          <w:rPr>
            <w:b w:val="0"/>
            <w:i w:val="0"/>
            <w:color w:val="B8860B"/>
            <w:sz w:val="19"/>
          </w:rPr>
          <w:t>Wikipedia — Electric Universe</w:t>
        </w:r>
      </w:hyperlink>
    </w:p>
    <w:p>
      <w:pPr>
        <w:pStyle w:val="ListBullet"/>
        <w:spacing w:before="20" w:after="20"/>
      </w:pPr>
      <w:hyperlink r:id="rId92">
        <w:r>
          <w:rPr>
            <w:b w:val="0"/>
            <w:i w:val="0"/>
            <w:color w:val="B8860B"/>
            <w:sz w:val="19"/>
          </w:rPr>
          <w:t>Wikipedia — Hannes Alfvén</w:t>
        </w:r>
      </w:hyperlink>
    </w:p>
    <w:p>
      <w:pPr>
        <w:pStyle w:val="ListBullet"/>
        <w:spacing w:before="20" w:after="20"/>
      </w:pPr>
      <w:hyperlink r:id="rId93">
        <w:r>
          <w:rPr>
            <w:b w:val="0"/>
            <w:i w:val="0"/>
            <w:color w:val="B8860B"/>
            <w:sz w:val="19"/>
          </w:rPr>
          <w:t>SAFIRE Project</w:t>
        </w:r>
      </w:hyperlink>
    </w:p>
    <w:p/>
    <w:p>
      <w:pPr>
        <w:jc w:val="center"/>
      </w:pPr>
      <w:r>
        <w:rPr>
          <w:color w:val="B8860B"/>
          <w:sz w:val="24"/>
        </w:rPr>
        <w:t>— ✦ —</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89">
        <w:r>
          <w:rPr>
            <w:b w:val="0"/>
            <w:i w:val="0"/>
            <w:color w:val="B8860B"/>
          </w:rPr>
          <w:t>Electric Universe</w:t>
        </w:r>
      </w:hyperlink>
      <w:r>
        <w:rPr>
          <w:b w:val="0"/>
          <w:i w:val="0"/>
        </w:rPr>
        <w:t xml:space="preserve"> </w:t>
      </w:r>
      <w:r>
        <w:rPr>
          <w:b w:val="0"/>
          <w:i w:val="0"/>
        </w:rPr>
        <w:t xml:space="preserve">model of </w:t>
      </w:r>
      <w:hyperlink r:id="rId53">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112">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113">
        <w:r>
          <w:rPr>
            <w:b w:val="0"/>
            <w:i w:val="0"/>
            <w:color w:val="B8860B"/>
          </w:rPr>
          <w:t>McGraw-Hill</w:t>
        </w:r>
      </w:hyperlink>
      <w:r>
        <w:rPr>
          <w:b w:val="0"/>
          <w:i w:val="0"/>
        </w:rPr>
        <w:t>, served as an Associate Editor of</w:t>
      </w:r>
      <w:r>
        <w:rPr>
          <w:b w:val="0"/>
          <w:i w:val="0"/>
        </w:rPr>
        <w:t xml:space="preserve"> </w:t>
      </w:r>
      <w:hyperlink r:id="rId114">
        <w:r>
          <w:rPr>
            <w:b w:val="0"/>
            <w:i w:val="0"/>
            <w:color w:val="B8860B"/>
          </w:rPr>
          <w:t>Pensée</w:t>
        </w:r>
      </w:hyperlink>
      <w:r>
        <w:rPr>
          <w:b w:val="0"/>
          <w:i w:val="0"/>
        </w:rPr>
        <w:t xml:space="preserve"> magazine, and became a Senior Editor of</w:t>
      </w:r>
      <w:r>
        <w:rPr>
          <w:b w:val="0"/>
          <w:i w:val="0"/>
        </w:rPr>
        <w:t xml:space="preserve"> </w:t>
      </w:r>
      <w:hyperlink r:id="rId115">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116">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117">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118">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119">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120">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121">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122">
        <w:r>
          <w:rPr>
            <w:b w:val="0"/>
            <w:i w:val="0"/>
            <w:color w:val="B8860B"/>
          </w:rPr>
          <w:t>Foundation for Studies of Modern Science (FOSMOS)</w:t>
        </w:r>
      </w:hyperlink>
      <w:r>
        <w:rPr>
          <w:b w:val="0"/>
          <w:i w:val="0"/>
        </w:rPr>
        <w:t xml:space="preserve"> </w:t>
      </w:r>
      <w:r>
        <w:rPr>
          <w:b w:val="0"/>
          <w:i w:val="0"/>
        </w:rPr>
        <w:t xml:space="preserve">with de Grazia, Stecchini, and </w:t>
      </w:r>
      <w:hyperlink r:id="rId123">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124">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125">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126">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53">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127">
        <w:r>
          <w:rPr>
            <w:b w:val="0"/>
            <w:i w:val="0"/>
            <w:color w:val="B8860B"/>
            <w:sz w:val="19"/>
          </w:rPr>
          <w:t>"Stellar Thermonuclear Energy: A False Trail?"</w:t>
        </w:r>
      </w:hyperlink>
    </w:p>
    <w:p>
      <w:pPr>
        <w:pStyle w:val="ListBullet"/>
        <w:spacing w:before="20" w:after="20"/>
      </w:pPr>
      <w:hyperlink r:id="rId128">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129">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117">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92">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104">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130">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105">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124">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127">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28">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31">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132">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133">
        <w:r>
          <w:rPr>
            <w:b w:val="0"/>
            <w:i w:val="0"/>
            <w:color w:val="B8860B"/>
            <w:sz w:val="19"/>
          </w:rPr>
          <w:t>Velikovsky Encyclopedia — Ralph Juergens</w:t>
        </w:r>
      </w:hyperlink>
    </w:p>
    <w:p>
      <w:pPr>
        <w:pStyle w:val="ListBullet"/>
        <w:spacing w:before="20" w:after="20"/>
      </w:pPr>
      <w:hyperlink r:id="rId117">
        <w:r>
          <w:rPr>
            <w:b w:val="0"/>
            <w:i w:val="0"/>
            <w:color w:val="B8860B"/>
            <w:sz w:val="19"/>
          </w:rPr>
          <w:t>Wikipedia AfD — Articles for Deletion: Ralph Juergens (2007)</w:t>
        </w:r>
      </w:hyperlink>
    </w:p>
    <w:p>
      <w:pPr>
        <w:pStyle w:val="ListBullet"/>
        <w:spacing w:before="20" w:after="20"/>
      </w:pPr>
      <w:hyperlink r:id="rId134">
        <w:r>
          <w:rPr>
            <w:b w:val="0"/>
            <w:i w:val="0"/>
            <w:color w:val="B8860B"/>
            <w:sz w:val="19"/>
          </w:rPr>
          <w:t>The Secular Heretic — Electric Universe Heresy</w:t>
        </w:r>
      </w:hyperlink>
    </w:p>
    <w:p>
      <w:pPr>
        <w:pStyle w:val="ListBullet"/>
        <w:spacing w:before="20" w:after="20"/>
      </w:pPr>
      <w:hyperlink r:id="rId135">
        <w:r>
          <w:rPr>
            <w:b w:val="0"/>
            <w:i w:val="0"/>
            <w:color w:val="B8860B"/>
            <w:sz w:val="19"/>
          </w:rPr>
          <w:t>Holoscience — Electric Gravity in an Electric Universe</w:t>
        </w:r>
      </w:hyperlink>
    </w:p>
    <w:p>
      <w:pPr>
        <w:pStyle w:val="ListBullet"/>
        <w:spacing w:before="20" w:after="20"/>
      </w:pPr>
      <w:hyperlink r:id="rId129">
        <w:r>
          <w:rPr>
            <w:b w:val="0"/>
            <w:i w:val="0"/>
            <w:color w:val="B8860B"/>
            <w:sz w:val="19"/>
          </w:rPr>
          <w:t>SSDI Death Record</w:t>
        </w:r>
      </w:hyperlink>
    </w:p>
    <w:p>
      <w:pPr>
        <w:pStyle w:val="ListBullet"/>
        <w:spacing w:before="20" w:after="20"/>
      </w:pPr>
      <w:hyperlink r:id="rId111">
        <w:r>
          <w:rPr>
            <w:b w:val="0"/>
            <w:i w:val="0"/>
            <w:color w:val="B8860B"/>
            <w:sz w:val="19"/>
          </w:rPr>
          <w:t>Wikipedia — Electric Universe Theory</w:t>
        </w:r>
      </w:hyperlink>
    </w:p>
    <w:p>
      <w:pPr>
        <w:pStyle w:val="ListBullet"/>
        <w:spacing w:before="20" w:after="20"/>
      </w:pPr>
      <w:hyperlink r:id="rId136">
        <w:r>
          <w:rPr>
            <w:b w:val="0"/>
            <w:i w:val="0"/>
            <w:color w:val="B8860B"/>
            <w:sz w:val="19"/>
          </w:rPr>
          <w:t>Wikipedia — Plasma Cosmology</w:t>
        </w:r>
      </w:hyperlink>
    </w:p>
    <w:p/>
    <w:p>
      <w:pPr>
        <w:jc w:val="center"/>
      </w:pPr>
      <w:r>
        <w:rPr>
          <w:color w:val="B8860B"/>
          <w:sz w:val="24"/>
        </w:rPr>
        <w:t>— ✦ —</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37">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51">
        <w:r>
          <w:rPr>
            <w:b w:val="0"/>
            <w:i w:val="0"/>
            <w:color w:val="B8860B"/>
            <w:sz w:val="19"/>
          </w:rPr>
          <w:t>Authors Who Read Ancient Sources as World Cataclysm</w:t>
        </w:r>
      </w:hyperlink>
    </w:p>
    <w:p>
      <w:pPr>
        <w:pStyle w:val="ListBullet"/>
        <w:spacing w:before="20" w:after="20"/>
      </w:pPr>
      <w:hyperlink r:id="rId72">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60">
        <w:r>
          <w:rPr>
            <w:b w:val="0"/>
            <w:i w:val="0"/>
            <w:color w:val="B8860B"/>
            <w:sz w:val="19"/>
          </w:rPr>
          <w:t>Alfred de Grazia</w:t>
        </w:r>
      </w:hyperlink>
      <w:r>
        <w:rPr>
          <w:b w:val="0"/>
          <w:i w:val="0"/>
          <w:sz w:val="19"/>
        </w:rPr>
        <w:t xml:space="preserve"> — documented the suppression</w:t>
      </w:r>
    </w:p>
    <w:p>
      <w:pPr>
        <w:pStyle w:val="ListBullet"/>
        <w:spacing w:before="20" w:after="20"/>
      </w:pPr>
      <w:hyperlink r:id="rId57">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38">
        <w:r>
          <w:rPr>
            <w:b w:val="0"/>
            <w:i w:val="0"/>
            <w:color w:val="B8860B"/>
            <w:sz w:val="19"/>
          </w:rPr>
          <w:t>Authors Challenging the Mainstream Timeline</w:t>
        </w:r>
      </w:hyperlink>
    </w:p>
    <w:p>
      <w:pPr>
        <w:pStyle w:val="ListBullet"/>
        <w:spacing w:before="20" w:after="20"/>
      </w:pPr>
      <w:r>
        <w:rPr>
          <w:b w:val="0"/>
          <w:i w:val="0"/>
          <w:sz w:val="19"/>
        </w:rPr>
        <w:t xml:space="preserve">→ See </w:t>
      </w:r>
      <w:hyperlink r:id="rId51">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39">
        <w:r>
          <w:rPr>
            <w:b w:val="0"/>
            <w:i w:val="0"/>
            <w:color w:val="B8860B"/>
          </w:rPr>
          <w:t>chronologia.org</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90">
        <w:r>
          <w:rPr>
            <w:b w:val="0"/>
            <w:i w:val="0"/>
            <w:color w:val="B8860B"/>
          </w:rPr>
          <w:t>Thunderbolts Project</w:t>
        </w:r>
      </w:hyperlink>
      <w:r>
        <w:rPr>
          <w:b w:val="0"/>
          <w:i w:val="0"/>
        </w:rPr>
        <w:t xml:space="preserve"> / </w:t>
      </w:r>
      <w:hyperlink r:id="rId140">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51">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Wal Thornhill</w:t>
        </w:r>
      </w:hyperlink>
      <w:r>
        <w:rPr>
          <w:b w:val="0"/>
          <w:i w:val="0"/>
          <w:sz w:val="19"/>
        </w:rPr>
        <w:t xml:space="preserve"> — physics partner</w:t>
      </w:r>
    </w:p>
    <w:p>
      <w:pPr>
        <w:pStyle w:val="ListBullet"/>
        <w:spacing w:before="20" w:after="20"/>
      </w:pPr>
      <w:hyperlink r:id="rId66">
        <w:r>
          <w:rPr>
            <w:b w:val="0"/>
            <w:i w:val="0"/>
            <w:color w:val="B8860B"/>
            <w:sz w:val="19"/>
          </w:rPr>
          <w:t>Dwardu Cardona</w:t>
        </w:r>
      </w:hyperlink>
      <w:r>
        <w:rPr>
          <w:b w:val="0"/>
          <w:i w:val="0"/>
          <w:sz w:val="19"/>
        </w:rPr>
        <w:t xml:space="preserve"> — extended the God Star sequence</w:t>
      </w:r>
    </w:p>
    <w:p>
      <w:pPr>
        <w:pStyle w:val="ListBullet"/>
        <w:spacing w:before="20" w:after="20"/>
      </w:pPr>
      <w:hyperlink r:id="rId59">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41">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51">
        <w:r>
          <w:rPr>
            <w:b w:val="0"/>
            <w:i w:val="0"/>
            <w:color w:val="B8860B"/>
            <w:sz w:val="19"/>
          </w:rPr>
          <w:t>Authors Who Read Ancient Sources as World Cataclysm</w:t>
        </w:r>
      </w:hyperlink>
    </w:p>
    <w:p>
      <w:pPr>
        <w:pStyle w:val="ListBullet"/>
        <w:spacing w:before="20" w:after="20"/>
      </w:pPr>
      <w:hyperlink r:id="rId71">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57">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42">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42">
        <w:r>
          <w:rPr>
            <w:b w:val="0"/>
            <w:i w:val="0"/>
            <w:color w:val="B8860B"/>
          </w:rPr>
          <w:t>saturniancosmology.org</w:t>
        </w:r>
      </w:hyperlink>
      <w:r>
        <w:br/>
      </w:r>
      <w:r>
        <w:rPr>
          <w:b w:val="0"/>
          <w:i w:val="0"/>
        </w:rPr>
      </w:r>
      <w:r>
        <w:rPr>
          <w:b/>
          <w:i w:val="0"/>
        </w:rPr>
        <w:t>Bibliography:</w:t>
      </w:r>
      <w:r>
        <w:rPr>
          <w:b w:val="0"/>
          <w:i w:val="0"/>
        </w:rPr>
        <w:t xml:space="preserve"> </w:t>
      </w:r>
      <w:hyperlink r:id="rId143">
        <w:r>
          <w:rPr>
            <w:b w:val="0"/>
            <w:i w:val="0"/>
            <w:color w:val="B8860B"/>
          </w:rPr>
          <w:t>saturniancosmology.org/books.php.html</w:t>
        </w:r>
      </w:hyperlink>
    </w:p>
    <w:p>
      <w:pPr>
        <w:pBdr>
          <w:bottom w:val="single" w:sz="6" w:space="1" w:color="CCCCCC"/>
        </w:pBdr>
      </w:pPr>
    </w:p>
    <w:p>
      <w:pPr>
        <w:pStyle w:val="Heading3"/>
        <w:keepNext/>
        <w:keepLines/>
      </w:pPr>
      <w:r>
        <w:t>Differences from This Timeline's View</w:t>
      </w:r>
    </w:p>
    <w:p>
      <w:r>
        <w:rPr>
          <w:b w:val="0"/>
          <w:i w:val="0"/>
        </w:rPr>
        <w:t xml:space="preserve">Aside from differences regarding the "before time" (creation epoch and pre–4077 BCE) that are noted elsewhere in this timeline, I disagree with Cook on a particular passage in his </w:t>
      </w:r>
      <w:hyperlink r:id="rId144">
        <w:r>
          <w:rPr>
            <w:b w:val="0"/>
            <w:i w:val="0"/>
            <w:color w:val="B8860B"/>
          </w:rPr>
          <w:t>Chapter 2: A Synopsis</w:t>
        </w:r>
      </w:hyperlink>
      <w:r>
        <w:rPr>
          <w:b w:val="0"/>
          <w:i w:val="0"/>
        </w:rPr>
        <w:t>. Cook writes of the 1492 BCE Venus contact:</w:t>
      </w:r>
    </w:p>
    <w:p>
      <w:pPr>
        <w:pStyle w:val="Quote"/>
      </w:pPr>
      <w:r>
        <w:rPr>
          <w:b w:val="0"/>
          <w:i w:val="0"/>
          <w:sz w:val="19"/>
        </w:rPr>
        <w:t xml:space="preserve">"Venus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w:t>
      </w:r>
      <w:r>
        <w:rPr>
          <w:b/>
          <w:i w:val="0"/>
          <w:sz w:val="19"/>
        </w:rPr>
        <w:t>leaving sea-water traces in lakes high up in the Andes</w:t>
      </w:r>
      <w:r>
        <w:rPr>
          <w:b w:val="0"/>
          <w:i w:val="0"/>
          <w:sz w:val="19"/>
        </w:rPr>
        <w:t>, and possibly causing a sudden rise in the coastal range of the Andes by thousands of feet. The blow was followed by an electric arc traveling through the Pacific, the Indian Ocean, and part of India…"</w:t>
      </w:r>
    </w:p>
    <w:p>
      <w:r>
        <w:rPr>
          <w:b w:val="0"/>
          <w:i w:val="0"/>
        </w:rPr>
        <w:t xml:space="preserve">Cook does not study alternate modern history (e.g. the </w:t>
      </w:r>
      <w:hyperlink r:id="rId35">
        <w:r>
          <w:rPr>
            <w:b w:val="0"/>
            <w:i w:val="0"/>
            <w:color w:val="B8860B"/>
          </w:rPr>
          <w:t>MudFlood / MFEE</w:t>
        </w:r>
      </w:hyperlink>
      <w:r>
        <w:rPr>
          <w:b w:val="0"/>
          <w:i w:val="0"/>
        </w:rPr>
        <w:t xml:space="preserve"> hypothesis or Fomenko-style compression of recent centuries). He therefore tries to explain how the Andes formed within a conventional deep-time geological and ancient-historical framework, which rules out the possibility that the Andes or their present elevation could have arisen much more recently. In that context he cites salt-water traces high in the Andes as evidence of the 1492 BCE inundation. I could not find the study he relies on (his Note 5 is empty in the mirrored copy), and in any case I do not see why a single repulsive blow and inundation as he describes it would leave lasting salt water in mountain lakes, since there were no further deluges to maintain or replenish such a signal. The claim remains an open question for this timeline.</w:t>
      </w:r>
    </w:p>
    <w:p>
      <w:pPr>
        <w:pBdr>
          <w:bottom w:val="single" w:sz="6" w:space="1" w:color="CCCCCC"/>
        </w:pBdr>
      </w:pPr>
    </w:p>
    <w:p>
      <w:pPr>
        <w:pStyle w:val="Heading3"/>
        <w:keepNext/>
        <w:keepLines/>
      </w:pPr>
      <w:r>
        <w:t>See Also</w:t>
      </w:r>
    </w:p>
    <w:p>
      <w:pPr>
        <w:pStyle w:val="ListBullet"/>
        <w:spacing w:before="20" w:after="20"/>
      </w:pPr>
      <w:hyperlink r:id="rId51">
        <w:r>
          <w:rPr>
            <w:b w:val="0"/>
            <w:i w:val="0"/>
            <w:color w:val="B8860B"/>
            <w:sz w:val="19"/>
          </w:rPr>
          <w:t>Authors Who Read Ancient Sources as World Cataclysm</w:t>
        </w:r>
      </w:hyperlink>
    </w:p>
    <w:p>
      <w:pPr>
        <w:pStyle w:val="ListBullet"/>
        <w:spacing w:before="20" w:after="20"/>
      </w:pPr>
      <w:hyperlink r:id="rId57">
        <w:r>
          <w:rPr>
            <w:b w:val="0"/>
            <w:i w:val="0"/>
            <w:color w:val="B8860B"/>
            <w:sz w:val="19"/>
          </w:rPr>
          <w:t>David Talbott</w:t>
        </w:r>
      </w:hyperlink>
    </w:p>
    <w:p>
      <w:pPr>
        <w:pStyle w:val="ListBullet"/>
        <w:spacing w:before="20" w:after="20"/>
      </w:pPr>
      <w:hyperlink r:id="rId53">
        <w:r>
          <w:rPr>
            <w:b w:val="0"/>
            <w:i w:val="0"/>
            <w:color w:val="B8860B"/>
            <w:sz w:val="19"/>
          </w:rPr>
          <w:t>Wal Thornhill</w:t>
        </w:r>
      </w:hyperlink>
    </w:p>
    <w:p>
      <w:pPr>
        <w:pStyle w:val="ListBullet"/>
        <w:spacing w:before="20" w:after="20"/>
      </w:pPr>
      <w:hyperlink r:id="rId69">
        <w:r>
          <w:rPr>
            <w:b w:val="0"/>
            <w:i w:val="0"/>
            <w:color w:val="B8860B"/>
            <w:sz w:val="19"/>
          </w:rPr>
          <w:t>Lynn Rose &amp; Raymond Vaughan</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See </w:t>
      </w:r>
      <w:hyperlink r:id="rId145">
        <w:r>
          <w:rPr>
            <w:b w:val="0"/>
            <w:i w:val="0"/>
            <w:color w:val="B8860B"/>
          </w:rPr>
          <w:t>de Grazia Author Index</w:t>
        </w:r>
      </w:hyperlink>
      <w:r>
        <w:rPr>
          <w:b w:val="0"/>
          <w:i w:val="0"/>
        </w:rPr>
        <w:t xml:space="preserve"> for the full Quantavolution archive.</w:t>
      </w:r>
    </w:p>
    <w:p>
      <w:pPr>
        <w:pBdr>
          <w:bottom w:val="single" w:sz="6" w:space="1" w:color="CCCCCC"/>
        </w:pBdr>
      </w:pPr>
    </w:p>
    <w:p>
      <w:pPr>
        <w:pStyle w:val="Heading3"/>
        <w:keepNext/>
        <w:keepLines/>
      </w:pPr>
      <w:r>
        <w:t>Key Works</w:t>
      </w:r>
    </w:p>
    <w:p>
      <w:r>
        <w:rPr>
          <w:b w:val="0"/>
          <w:i w:val="0"/>
        </w:rPr>
        <w:t xml:space="preserve">See </w:t>
      </w:r>
      <w:hyperlink r:id="rId145">
        <w:r>
          <w:rPr>
            <w:b w:val="0"/>
            <w:i w:val="0"/>
            <w:color w:val="B8860B"/>
          </w:rPr>
          <w:t>de Grazia index</w:t>
        </w:r>
      </w:hyperlink>
      <w:r>
        <w:rPr>
          <w:b w:val="0"/>
          <w:i w:val="0"/>
        </w:rPr>
        <w:t xml:space="preserve"> for a complete index.</w:t>
      </w:r>
    </w:p>
    <w:p>
      <w:r>
        <w:rPr>
          <w:b w:val="0"/>
          <w:i w:val="0"/>
        </w:rPr>
      </w:r>
      <w:r>
        <w:rPr>
          <w:b/>
          <w:i w:val="0"/>
        </w:rPr>
        <w:t>Archive:</w:t>
      </w:r>
      <w:r>
        <w:rPr>
          <w:b w:val="0"/>
          <w:i w:val="0"/>
        </w:rPr>
        <w:t xml:space="preserve"> </w:t>
      </w:r>
      <w:hyperlink r:id="rId146">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51">
        <w:r>
          <w:rPr>
            <w:b w:val="0"/>
            <w:i w:val="0"/>
            <w:color w:val="B8860B"/>
            <w:sz w:val="19"/>
          </w:rPr>
          <w:t>Authors Who Read Ancient Sources as World Cataclysm</w:t>
        </w:r>
      </w:hyperlink>
    </w:p>
    <w:p>
      <w:pPr>
        <w:pStyle w:val="ListBullet"/>
        <w:spacing w:before="20" w:after="20"/>
      </w:pPr>
      <w:hyperlink r:id="rId68">
        <w:r>
          <w:rPr>
            <w:b w:val="0"/>
            <w:i w:val="0"/>
            <w:color w:val="B8860B"/>
            <w:sz w:val="19"/>
          </w:rPr>
          <w:t>Livio Stecchini</w:t>
        </w:r>
      </w:hyperlink>
      <w:r>
        <w:rPr>
          <w:b w:val="0"/>
          <w:i w:val="0"/>
          <w:sz w:val="19"/>
        </w:rPr>
        <w:t xml:space="preserve"> — primary collaborator</w:t>
      </w:r>
    </w:p>
    <w:p>
      <w:pPr>
        <w:pStyle w:val="ListBullet"/>
        <w:spacing w:before="20" w:after="20"/>
      </w:pPr>
      <w:hyperlink r:id="rId54">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55">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47">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51">
        <w:r>
          <w:rPr>
            <w:b w:val="0"/>
            <w:i w:val="0"/>
            <w:color w:val="B8860B"/>
            <w:sz w:val="19"/>
          </w:rPr>
          <w:t>Authors Who Read Ancient Sources as World Cataclysm</w:t>
        </w:r>
      </w:hyperlink>
    </w:p>
    <w:p>
      <w:pPr>
        <w:pStyle w:val="ListBullet"/>
        <w:spacing w:before="20" w:after="20"/>
      </w:pPr>
      <w:hyperlink r:id="rId54">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53">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51">
        <w:r>
          <w:rPr>
            <w:b w:val="0"/>
            <w:i w:val="0"/>
            <w:color w:val="B8860B"/>
            <w:sz w:val="19"/>
          </w:rPr>
          <w:t>Authors Who Read Ancient Sources as World Cataclysm</w:t>
        </w:r>
      </w:hyperlink>
    </w:p>
    <w:p>
      <w:pPr>
        <w:pStyle w:val="ListBullet"/>
        <w:spacing w:before="20" w:after="20"/>
      </w:pPr>
      <w:hyperlink r:id="rId57">
        <w:r>
          <w:rPr>
            <w:b w:val="0"/>
            <w:i w:val="0"/>
            <w:color w:val="B8860B"/>
            <w:sz w:val="19"/>
          </w:rPr>
          <w:t>David Talbott</w:t>
        </w:r>
      </w:hyperlink>
      <w:r>
        <w:rPr>
          <w:b w:val="0"/>
          <w:i w:val="0"/>
          <w:sz w:val="19"/>
        </w:rPr>
        <w:t xml:space="preserve"> — polar configuration framework</w:t>
      </w:r>
    </w:p>
    <w:p>
      <w:pPr>
        <w:pStyle w:val="ListBullet"/>
        <w:spacing w:before="20" w:after="20"/>
      </w:pPr>
      <w:hyperlink r:id="rId66">
        <w:r>
          <w:rPr>
            <w:b w:val="0"/>
            <w:i w:val="0"/>
            <w:color w:val="B8860B"/>
            <w:sz w:val="19"/>
          </w:rPr>
          <w:t>Dwardu Cardona</w:t>
        </w:r>
      </w:hyperlink>
      <w:r>
        <w:rPr>
          <w:b w:val="0"/>
          <w:i w:val="0"/>
          <w:sz w:val="19"/>
        </w:rPr>
        <w:t xml:space="preserve"> — parallel detailed mythology work</w:t>
      </w:r>
    </w:p>
    <w:p>
      <w:pPr>
        <w:pStyle w:val="ListBullet"/>
        <w:spacing w:before="20" w:after="20"/>
      </w:pPr>
      <w:hyperlink r:id="rId55">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51">
        <w:r>
          <w:rPr>
            <w:b w:val="0"/>
            <w:i w:val="0"/>
            <w:color w:val="B8860B"/>
            <w:sz w:val="19"/>
          </w:rPr>
          <w:t>Authors Who Read Ancient Sources as World Cataclysm</w:t>
        </w:r>
      </w:hyperlink>
    </w:p>
    <w:p>
      <w:pPr>
        <w:pStyle w:val="ListBullet"/>
        <w:spacing w:before="20" w:after="20"/>
      </w:pPr>
      <w:hyperlink r:id="rId57">
        <w:r>
          <w:rPr>
            <w:b w:val="0"/>
            <w:i w:val="0"/>
            <w:color w:val="B8860B"/>
            <w:sz w:val="19"/>
          </w:rPr>
          <w:t>David Talbott</w:t>
        </w:r>
      </w:hyperlink>
      <w:r>
        <w:rPr>
          <w:b w:val="0"/>
          <w:i w:val="0"/>
          <w:sz w:val="19"/>
        </w:rPr>
        <w:t xml:space="preserve"> — directly built on this work</w:t>
      </w:r>
    </w:p>
    <w:p>
      <w:pPr>
        <w:pStyle w:val="ListBullet"/>
        <w:spacing w:before="20" w:after="20"/>
      </w:pPr>
      <w:hyperlink r:id="rId59">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48">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50">
        <w:r>
          <w:rPr>
            <w:b w:val="0"/>
            <w:i w:val="0"/>
            <w:color w:val="B8860B"/>
            <w:sz w:val="19"/>
          </w:rPr>
          <w:t>Authors Challenging the Mainstream Timeline</w:t>
        </w:r>
      </w:hyperlink>
    </w:p>
    <w:p>
      <w:pPr>
        <w:pStyle w:val="ListBullet"/>
        <w:spacing w:before="20" w:after="20"/>
      </w:pPr>
      <w:hyperlink r:id="rId56">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65">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49">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50">
        <w:r>
          <w:rPr>
            <w:b w:val="0"/>
            <w:i w:val="0"/>
            <w:color w:val="B8860B"/>
            <w:sz w:val="19"/>
          </w:rPr>
          <w:t>Authors Challenging the Mainstream Timeline</w:t>
        </w:r>
      </w:hyperlink>
    </w:p>
    <w:p>
      <w:pPr>
        <w:pStyle w:val="ListBullet"/>
        <w:spacing w:before="20" w:after="20"/>
      </w:pPr>
      <w:r>
        <w:rPr>
          <w:b w:val="0"/>
          <w:i w:val="0"/>
          <w:sz w:val="19"/>
        </w:rPr>
        <w:t xml:space="preserve">→ </w:t>
      </w:r>
      <w:hyperlink r:id="rId150">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4">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56">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50">
        <w:r>
          <w:rPr>
            <w:b w:val="0"/>
            <w:i w:val="0"/>
            <w:color w:val="B8860B"/>
            <w:sz w:val="19"/>
          </w:rPr>
          <w:t>Authors Who Read Ancient Sources as World Cataclysm</w:t>
        </w:r>
      </w:hyperlink>
    </w:p>
    <w:p>
      <w:pPr>
        <w:pStyle w:val="ListBullet"/>
        <w:spacing w:before="20" w:after="20"/>
      </w:pPr>
      <w:hyperlink r:id="rId57">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62">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59">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 xml:space="preserve">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 </w:t>
      </w:r>
      <w:r>
        <w:rPr>
          <w:b w:val="0"/>
          <w:i/>
        </w:rPr>
        <w:t>This timeline does not support radiocarbon/ice-core dating or pre–Dark Ages ice ages.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50">
        <w:r>
          <w:rPr>
            <w:b w:val="0"/>
            <w:i w:val="0"/>
            <w:color w:val="B8860B"/>
            <w:sz w:val="19"/>
          </w:rPr>
          <w:t>Authors Who Read Ancient Sources as World Cataclysm</w:t>
        </w:r>
      </w:hyperlink>
    </w:p>
    <w:p>
      <w:pPr>
        <w:pStyle w:val="ListBullet"/>
        <w:spacing w:before="20" w:after="20"/>
      </w:pPr>
      <w:hyperlink r:id="rId74">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55">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50">
        <w:r>
          <w:rPr>
            <w:b w:val="0"/>
            <w:i w:val="0"/>
            <w:color w:val="B8860B"/>
            <w:sz w:val="19"/>
          </w:rPr>
          <w:t>Authors Who Read Ancient Sources as World Cataclysm</w:t>
        </w:r>
      </w:hyperlink>
    </w:p>
    <w:p>
      <w:pPr>
        <w:pStyle w:val="ListBullet"/>
        <w:spacing w:before="20" w:after="20"/>
      </w:pPr>
      <w:hyperlink r:id="rId60">
        <w:r>
          <w:rPr>
            <w:b w:val="0"/>
            <w:i w:val="0"/>
            <w:color w:val="B8860B"/>
            <w:sz w:val="19"/>
          </w:rPr>
          <w:t>Alfred de Grazia</w:t>
        </w:r>
      </w:hyperlink>
      <w:r>
        <w:rPr>
          <w:b w:val="0"/>
          <w:i w:val="0"/>
          <w:sz w:val="19"/>
        </w:rPr>
        <w:t xml:space="preserve"> — primary collaborator</w:t>
      </w:r>
    </w:p>
    <w:p>
      <w:pPr>
        <w:pStyle w:val="ListBullet"/>
        <w:spacing w:before="20" w:after="20"/>
      </w:pPr>
      <w:hyperlink r:id="rId54">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69">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50">
        <w:r>
          <w:rPr>
            <w:b w:val="0"/>
            <w:i w:val="0"/>
            <w:color w:val="B8860B"/>
            <w:sz w:val="19"/>
          </w:rPr>
          <w:t>Authors Who Read Ancient Sources as World Cataclysm</w:t>
        </w:r>
      </w:hyperlink>
    </w:p>
    <w:p>
      <w:pPr>
        <w:pStyle w:val="ListBullet"/>
        <w:spacing w:before="20" w:after="20"/>
      </w:pPr>
      <w:hyperlink r:id="rId68">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59">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55">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51">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50">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60">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40">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50">
        <w:r>
          <w:rPr>
            <w:b w:val="0"/>
            <w:i w:val="0"/>
            <w:color w:val="B8860B"/>
            <w:sz w:val="19"/>
          </w:rPr>
          <w:t>Authors Who Read Ancient Sources as World Cataclysm</w:t>
        </w:r>
      </w:hyperlink>
    </w:p>
    <w:p>
      <w:pPr>
        <w:pStyle w:val="ListBullet"/>
        <w:spacing w:before="20" w:after="20"/>
      </w:pPr>
      <w:hyperlink r:id="rId58">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57">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50">
        <w:r>
          <w:rPr>
            <w:b w:val="0"/>
            <w:i w:val="0"/>
            <w:color w:val="B8860B"/>
            <w:sz w:val="19"/>
          </w:rPr>
          <w:t>Authors Who Read Ancient Sources as World Cataclysm</w:t>
        </w:r>
      </w:hyperlink>
    </w:p>
    <w:p>
      <w:pPr>
        <w:pStyle w:val="ListBullet"/>
        <w:spacing w:before="20" w:after="20"/>
      </w:pPr>
      <w:hyperlink r:id="rId55">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60">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50">
        <w:r>
          <w:rPr>
            <w:b w:val="0"/>
            <w:i w:val="0"/>
            <w:color w:val="B8860B"/>
            <w:sz w:val="19"/>
          </w:rPr>
          <w:t>Authors Challenging the Mainstream Timeline</w:t>
        </w:r>
      </w:hyperlink>
    </w:p>
    <w:p>
      <w:pPr>
        <w:pStyle w:val="ListBullet"/>
        <w:spacing w:before="20" w:after="20"/>
      </w:pPr>
      <w:r>
        <w:rPr>
          <w:b w:val="0"/>
          <w:i w:val="0"/>
          <w:sz w:val="19"/>
        </w:rPr>
        <w:t xml:space="preserve">→ </w:t>
      </w:r>
      <w:hyperlink r:id="rId150">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74">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67">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53">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 xml:space="preserve">Hancock assembled evidence for a lost advanced civilization destroyed by the Younger Dryas impact event (~10,900 BCE), whose survivors seeded the apparently "sudden" emergence of agriculture and monumental architecture worldwide. </w:t>
      </w:r>
      <w:r>
        <w:rPr>
          <w:b w:val="0"/>
          <w:i/>
        </w:rPr>
        <w:t>This timeline does not support radiocarbon or ice-core dating as reliable, or ice ages before the Dark Ages.</w:t>
      </w:r>
      <w:r>
        <w:rPr>
          <w:b w:val="0"/>
          <w:i w:val="0"/>
        </w:rPr>
        <w:t xml:space="preserv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50">
        <w:r>
          <w:rPr>
            <w:b w:val="0"/>
            <w:i w:val="0"/>
            <w:color w:val="B8860B"/>
            <w:sz w:val="19"/>
          </w:rPr>
          <w:t>Authors Challenging the Mainstream Timeline</w:t>
        </w:r>
      </w:hyperlink>
    </w:p>
    <w:p>
      <w:pPr>
        <w:pStyle w:val="ListBullet"/>
        <w:spacing w:before="20" w:after="20"/>
      </w:pPr>
      <w:r>
        <w:rPr>
          <w:b w:val="0"/>
          <w:i w:val="0"/>
          <w:sz w:val="19"/>
        </w:rPr>
        <w:t xml:space="preserve">→ </w:t>
      </w:r>
      <w:hyperlink r:id="rId150">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73">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67">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75">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50">
        <w:r>
          <w:rPr>
            <w:b w:val="0"/>
            <w:i w:val="0"/>
            <w:color w:val="B8860B"/>
            <w:sz w:val="19"/>
          </w:rPr>
          <w:t>Authors Challenging the Mainstream Timeline</w:t>
        </w:r>
      </w:hyperlink>
    </w:p>
    <w:p>
      <w:pPr>
        <w:pStyle w:val="ListBullet"/>
        <w:spacing w:before="20" w:after="20"/>
      </w:pPr>
      <w:r>
        <w:rPr>
          <w:b w:val="0"/>
          <w:i w:val="0"/>
          <w:sz w:val="19"/>
        </w:rPr>
        <w:t xml:space="preserve">→ </w:t>
      </w:r>
      <w:hyperlink r:id="rId150">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74">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73">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52">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53">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53">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52">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4">
        <w:r>
          <w:rPr>
            <w:b w:val="0"/>
            <w:i w:val="0"/>
            <w:color w:val="B8860B"/>
            <w:sz w:val="19"/>
          </w:rPr>
          <w:t>Suppressed Energy Technology: A Cross-Reference</w:t>
        </w:r>
      </w:hyperlink>
      <w:r>
        <w:rPr>
          <w:b w:val="0"/>
          <w:i w:val="0"/>
          <w:sz w:val="19"/>
        </w:rPr>
        <w:t xml:space="preserve"> — appendix mapping all suppressed energy threads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Other Challenges to Chronology</w:t>
      </w:r>
    </w:p>
    <w:p>
      <w:r>
        <w:rPr>
          <w:b w:val="0"/>
          <w:i w:val="0"/>
        </w:rPr>
        <w:t xml:space="preserve">Detailed comparison tables and Year Zero frameworks supplementing the main article: </w:t>
      </w:r>
      <w:hyperlink r:id="rId148">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154">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155">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48">
        <w:r>
          <w:rPr>
            <w:b w:val="0"/>
            <w:i w:val="0"/>
            <w:color w:val="B8860B"/>
          </w:rPr>
          <w:t>Other Challenges to Chronology</w:t>
        </w:r>
      </w:hyperlink>
      <w:r>
        <w:rPr>
          <w:b w:val="0"/>
          <w:i w:val="0"/>
        </w:rPr>
        <w:t>.</w:t>
      </w:r>
    </w:p>
    <w:p/>
    <w:p>
      <w:pPr>
        <w:jc w:val="center"/>
      </w:pPr>
      <w:r>
        <w:rPr>
          <w:color w:val="B8860B"/>
          <w:sz w:val="24"/>
        </w:rPr>
        <w:t>— ✦ —</w:t>
      </w:r>
    </w:p>
    <w:p>
      <w:r>
        <w:rPr>
          <w:b w:val="0"/>
          <w:i w:val="0"/>
        </w:rPr>
        <w:t xml:space="preserve">Detailed scholar profiles supplementing the main article: </w:t>
      </w:r>
      <w:hyperlink r:id="rId156">
        <w:r>
          <w:rPr>
            <w:b w:val="0"/>
            <w:i w:val="0"/>
            <w:color w:val="B8860B"/>
          </w:rPr>
          <w:t>Building the New Chronology</w:t>
        </w:r>
      </w:hyperlink>
      <w:r>
        <w:rPr>
          <w:b w:val="0"/>
          <w:i w:val="0"/>
        </w:rPr>
        <w:t>.</w:t>
      </w:r>
    </w:p>
    <w:p>
      <w:pPr>
        <w:pBdr>
          <w:bottom w:val="single" w:sz="6" w:space="1" w:color="CCCCCC"/>
        </w:pBdr>
      </w:pPr>
    </w:p>
    <w:p>
      <w:pPr>
        <w:pStyle w:val="Heading3"/>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3"/>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37">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56">
        <w:r>
          <w:rPr>
            <w:b w:val="0"/>
            <w:i w:val="0"/>
            <w:color w:val="B8860B"/>
          </w:rPr>
          <w:t>Fomenko profile</w:t>
        </w:r>
      </w:hyperlink>
      <w:r>
        <w:rPr>
          <w:b w:val="0"/>
          <w:i w:val="0"/>
        </w:rPr>
        <w:t>.</w:t>
      </w:r>
    </w:p>
    <w:p>
      <w:r>
        <w:rPr>
          <w:b w:val="0"/>
          <w:i w:val="0"/>
        </w:rPr>
        <w:t xml:space="preserve">For gap-size comparison, see </w:t>
      </w:r>
      <w:hyperlink r:id="rId148">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Timeline Synchronization</w:t>
      </w:r>
    </w:p>
    <w:p>
      <w:r>
        <w:rPr>
          <w:b w:val="0"/>
          <w:i w:val="0"/>
        </w:rPr>
        <w:t xml:space="preserve">Detailed date tables and source validation supplementing the main article: </w:t>
      </w:r>
      <w:hyperlink r:id="rId157">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Content moved to </w:t>
      </w:r>
      <w:hyperlink r:id="rId158">
        <w:r>
          <w:rPr>
            <w:b w:val="0"/>
            <w:i w:val="0"/>
            <w:color w:val="B8860B"/>
          </w:rPr>
          <w:t>The Length of a Year Changes Throughout Antiquity</w:t>
        </w:r>
      </w:hyperlink>
      <w:r>
        <w:rPr>
          <w:b w:val="0"/>
          <w:i w:val="0"/>
        </w:rPr>
        <w:t>, which now includes the full era table, orbital jump mechanism, Sumerian King-List sample, and Carbon-14 corroboration table.</w:t>
      </w:r>
    </w:p>
    <w:p/>
    <w:p>
      <w:pPr>
        <w:jc w:val="center"/>
      </w:pPr>
      <w:r>
        <w:rPr>
          <w:color w:val="B8860B"/>
          <w:sz w:val="24"/>
        </w:rPr>
        <w:t>— ✦ —</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11">
        <w:r>
          <w:rPr>
            <w:b w:val="0"/>
            <w:i w:val="0"/>
            <w:color w:val="B8860B"/>
          </w:rPr>
          <w:t>Predictive Programming</w:t>
        </w:r>
      </w:hyperlink>
      <w:r>
        <w:rPr>
          <w:b w:val="0"/>
          <w:i w:val="0"/>
        </w:rPr>
        <w:t xml:space="preserve"> | </w:t>
      </w:r>
      <w:hyperlink r:id="rId159">
        <w:r>
          <w:rPr>
            <w:b w:val="0"/>
            <w:i w:val="0"/>
            <w:color w:val="B8860B"/>
          </w:rPr>
          <w:t>The Mars Catastrophe</w:t>
        </w:r>
      </w:hyperlink>
    </w:p>
    <w:p>
      <w:pPr>
        <w:pBdr>
          <w:bottom w:val="single" w:sz="6" w:space="1" w:color="CCCCCC"/>
        </w:pBdr>
      </w:pPr>
    </w:p>
    <w:p>
      <w:pPr>
        <w:pStyle w:val="Heading3"/>
        <w:keepNext/>
        <w:keepLines/>
      </w:pPr>
      <w:r>
        <w:t>~1774: The MFEE — Mars Catastrophe</w:t>
      </w:r>
    </w:p>
    <w:p>
      <w:r>
        <w:rPr>
          <w:b w:val="0"/>
          <w:i w:val="0"/>
        </w:rPr>
        <w:t xml:space="preserve">During the </w:t>
      </w:r>
      <w:hyperlink r:id="rId160">
        <w:r>
          <w:rPr>
            <w:b w:val="0"/>
            <w:i w:val="0"/>
            <w:color w:val="B8860B"/>
          </w:rPr>
          <w:t>Pugachev Rebellion</w:t>
        </w:r>
      </w:hyperlink>
      <w:r>
        <w:rPr>
          <w:b w:val="0"/>
          <w:i w:val="0"/>
        </w:rPr>
        <w:t xml:space="preserve"> (~1773–1774), humans on Mars deployed </w:t>
      </w:r>
      <w:hyperlink r:id="rId161">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162">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163">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11">
        <w:r>
          <w:rPr>
            <w:b w:val="0"/>
            <w:i w:val="0"/>
            <w:color w:val="B8860B"/>
          </w:rPr>
          <w:t>predictive programming dead end</w:t>
        </w:r>
      </w:hyperlink>
      <w:r>
        <w:rPr>
          <w:b w:val="0"/>
          <w:i w:val="0"/>
        </w:rPr>
        <w:t xml:space="preserve">: the mystery is real, his framing is the trap. Full rebound theory: </w:t>
      </w:r>
      <w:hyperlink r:id="rId159">
        <w:r>
          <w:rPr>
            <w:b w:val="0"/>
            <w:i w:val="0"/>
            <w:color w:val="B8860B"/>
          </w:rPr>
          <w:t>The Mars Catastrophe</w:t>
        </w:r>
      </w:hyperlink>
      <w:r>
        <w:rPr>
          <w:b w:val="0"/>
          <w:i w:val="0"/>
        </w:rPr>
        <w:t>.</w:t>
      </w:r>
    </w:p>
    <w:p>
      <w:pPr>
        <w:pBdr>
          <w:bottom w:val="single" w:sz="6" w:space="1" w:color="CCCCCC"/>
        </w:pBdr>
      </w:pPr>
    </w:p>
    <w:p>
      <w:pPr>
        <w:pStyle w:val="Heading3"/>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3"/>
        <w:keepNext/>
        <w:keepLines/>
      </w:pPr>
      <w:r>
        <w:t>1896: The Island of Dr. Moreau — Gland/Blood Encoding</w:t>
      </w:r>
    </w:p>
    <w:p>
      <w:r>
        <w:rPr>
          <w:b w:val="0"/>
          <w:i w:val="0"/>
        </w:rPr>
        <w:t xml:space="preserve">Wells published </w:t>
      </w:r>
      <w:r>
        <w:rPr>
          <w:b w:val="0"/>
          <w:i/>
        </w:rPr>
        <w:t>The Island of Dr. Moreau</w:t>
      </w:r>
      <w:r>
        <w:rPr>
          <w:b w:val="0"/>
          <w:i w:val="0"/>
        </w:rPr>
        <w:t xml:space="preserve"> in 1896 — one year before </w:t>
      </w:r>
      <w:r>
        <w:rPr>
          <w:b w:val="0"/>
          <w:i/>
        </w:rPr>
        <w:t>Dracula</w:t>
      </w:r>
      <w:r>
        <w:rPr>
          <w:b w:val="0"/>
          <w:i w:val="0"/>
        </w:rPr>
        <w:t xml:space="preserve">, two years before </w:t>
      </w:r>
      <w:r>
        <w:rPr>
          <w:b w:val="0"/>
          <w:i/>
        </w:rPr>
        <w:t>War of the Worlds</w:t>
      </w:r>
      <w:r>
        <w:rPr>
          <w:b w:val="0"/>
          <w:i w:val="0"/>
        </w:rPr>
        <w:t xml:space="preserve">. The novel encodes blood and gland experimentation: Moreau's scientific origin was blood transfusion; endocrine language ("modifications of the passions," "alterations in the secretion of fatty tissue"); scarlet restorative "that tasted like blood"; the Law forbidding the taste of blood (blood triggers reversion); House of Pain. Wells never describes how surgery produced the Beast Folk; his descriptions fit pineal/gland manipulation rather than plausible vivisection. Cross-read with Dracula (1897), Thompson (1971). See </w:t>
      </w:r>
      <w:hyperlink r:id="rId164">
        <w:r>
          <w:rPr>
            <w:b w:val="0"/>
            <w:i w:val="0"/>
            <w:color w:val="B8860B"/>
          </w:rPr>
          <w:t>Moreau investigation</w:t>
        </w:r>
      </w:hyperlink>
      <w:r>
        <w:rPr>
          <w:b w:val="0"/>
          <w:i w:val="0"/>
        </w:rPr>
        <w:t>.</w:t>
      </w:r>
    </w:p>
    <w:p>
      <w:pPr>
        <w:pBdr>
          <w:bottom w:val="single" w:sz="6" w:space="1" w:color="CCCCCC"/>
        </w:pBdr>
      </w:pPr>
    </w:p>
    <w:p>
      <w:pPr>
        <w:pStyle w:val="Heading3"/>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165">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3"/>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3"/>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3"/>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3"/>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166">
        <w:r>
          <w:rPr>
            <w:b w:val="0"/>
            <w:i w:val="0"/>
            <w:color w:val="B8860B"/>
          </w:rPr>
          <w:t>Aftermath of 1812</w:t>
        </w:r>
      </w:hyperlink>
      <w:r>
        <w:rPr>
          <w:b w:val="0"/>
          <w:i w:val="0"/>
        </w:rPr>
        <w:t>.</w:t>
      </w:r>
    </w:p>
    <w:p>
      <w:pPr>
        <w:pBdr>
          <w:bottom w:val="single" w:sz="6" w:space="1" w:color="CCCCCC"/>
        </w:pBdr>
      </w:pPr>
    </w:p>
    <w:p>
      <w:pPr>
        <w:pStyle w:val="Heading3"/>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20">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3"/>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3"/>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3"/>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3"/>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3"/>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3"/>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167">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Pyramids: Myths vs Reality</w:t>
      </w:r>
    </w:p>
    <w:p>
      <w:r>
        <w:rPr>
          <w:b w:val="0"/>
          <w:i w:val="0"/>
        </w:rPr>
        <w:t xml:space="preserve">This appendix extends </w:t>
      </w:r>
      <w:hyperlink r:id="rId168">
        <w:r>
          <w:rPr>
            <w:b w:val="0"/>
            <w:i w:val="0"/>
            <w:color w:val="B8860B"/>
          </w:rPr>
          <w:t>Pyramids: Myths vs Reality</w:t>
        </w:r>
      </w:hyperlink>
      <w:r>
        <w:rPr>
          <w:b w:val="0"/>
          <w:i w:val="0"/>
        </w:rPr>
        <w:t>. Detailed evidence for each myth rebuttal.</w:t>
      </w:r>
    </w:p>
    <w:p>
      <w:pPr>
        <w:pBdr>
          <w:bottom w:val="single" w:sz="6" w:space="1" w:color="CCCCCC"/>
        </w:pBdr>
      </w:pPr>
    </w:p>
    <w:p>
      <w:pPr>
        <w:pStyle w:val="Heading2"/>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69">
        <w:r>
          <w:rPr>
            <w:b w:val="0"/>
            <w:i w:val="0"/>
            <w:color w:val="B8860B"/>
          </w:rPr>
          <w:t>Fomenko, HiW §4.13</w:t>
        </w:r>
      </w:hyperlink>
      <w:r>
        <w:rPr>
          <w:b w:val="0"/>
          <w:i w:val="0"/>
        </w:rPr>
        <w:t>). Worst-designed tomb ever: no burial goods, no identification, no remains.</w:t>
      </w:r>
    </w:p>
    <w:p>
      <w:pPr>
        <w:pStyle w:val="Heading2"/>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70">
        <w:r>
          <w:rPr>
            <w:b w:val="0"/>
            <w:i w:val="0"/>
            <w:color w:val="B8860B"/>
          </w:rPr>
          <w:t>The Pyramids: An Enigma Solved</w:t>
        </w:r>
      </w:hyperlink>
      <w:r>
        <w:rPr>
          <w:b w:val="0"/>
          <w:i w:val="0"/>
        </w:rPr>
        <w:t xml:space="preserve">). Matting marks from casting visible above 50 m. See </w:t>
      </w:r>
      <w:hyperlink r:id="rId171">
        <w:r>
          <w:rPr>
            <w:b w:val="0"/>
            <w:i w:val="0"/>
            <w:color w:val="B8860B"/>
          </w:rPr>
          <w:t>Geopolymer Concrete</w:t>
        </w:r>
      </w:hyperlink>
      <w:r>
        <w:rPr>
          <w:b w:val="0"/>
          <w:i w:val="0"/>
        </w:rPr>
        <w:t>.</w:t>
      </w:r>
    </w:p>
    <w:p>
      <w:pPr>
        <w:pStyle w:val="Heading2"/>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2"/>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Seven Days and other Creation Narratives</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104">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172">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158">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become dimly visible through the thinning plasma before 4077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173">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174">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175">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174">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176">
        <w:r>
          <w:rPr>
            <w:b w:val="0"/>
            <w:i w:val="0"/>
            <w:color w:val="B8860B"/>
          </w:rPr>
          <w:t>Northern Hemisphere Configuration</w:t>
        </w:r>
      </w:hyperlink>
      <w:r>
        <w:rPr>
          <w:b w:val="0"/>
          <w:i w:val="0"/>
        </w:rPr>
        <w:t xml:space="preserve"> | </w:t>
      </w:r>
      <w:hyperlink r:id="rId177">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130">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176">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174">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178">
        <w:r>
          <w:rPr>
            <w:b w:val="0"/>
            <w:i w:val="0"/>
            <w:color w:val="B8860B"/>
          </w:rPr>
          <w:t>The Golden Age Ends Violently</w:t>
        </w:r>
      </w:hyperlink>
      <w:r>
        <w:rPr>
          <w:b w:val="0"/>
          <w:i w:val="0"/>
        </w:rPr>
        <w:t xml:space="preserve"> | </w:t>
      </w:r>
      <w:hyperlink r:id="rId179">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177">
        <w:r>
          <w:rPr>
            <w:b w:val="0"/>
            <w:i w:val="0"/>
            <w:color w:val="B8860B"/>
          </w:rPr>
          <w:t>Southern Hemisphere Configuration</w:t>
        </w:r>
      </w:hyperlink>
      <w:r>
        <w:rPr>
          <w:b w:val="0"/>
          <w:i w:val="0"/>
        </w:rPr>
        <w:t xml:space="preserve"> | </w:t>
      </w:r>
      <w:hyperlink r:id="rId104">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178">
        <w:r>
          <w:rPr>
            <w:b w:val="0"/>
            <w:i w:val="0"/>
            <w:color w:val="B8860B"/>
          </w:rPr>
          <w:t>The Golden Age Ends Violently</w:t>
        </w:r>
      </w:hyperlink>
      <w:r>
        <w:rPr>
          <w:b w:val="0"/>
          <w:i w:val="0"/>
        </w:rPr>
        <w:t xml:space="preserve"> and </w:t>
      </w:r>
      <w:hyperlink r:id="rId179">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80">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181">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182">
        <w:r>
          <w:rPr>
            <w:b w:val="0"/>
            <w:i w:val="0"/>
            <w:color w:val="B8860B"/>
            <w:sz w:val="19"/>
          </w:rPr>
          <w:t>Genesis 7:4</w:t>
        </w:r>
      </w:hyperlink>
    </w:p>
    <w:p>
      <w:pPr>
        <w:pStyle w:val="ListBullet"/>
        <w:spacing w:before="20" w:after="20"/>
      </w:pPr>
      <w:hyperlink r:id="rId183">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173">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158">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174">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175">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176">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177">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174">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178">
        <w:r>
          <w:rPr>
            <w:b w:val="0"/>
            <w:i w:val="0"/>
            <w:color w:val="B8860B"/>
            <w:sz w:val="19"/>
          </w:rPr>
          <w:t>The Golden Age Ends Violently</w:t>
        </w:r>
      </w:hyperlink>
      <w:r>
        <w:rPr>
          <w:b w:val="0"/>
          <w:i w:val="0"/>
          <w:sz w:val="19"/>
        </w:rPr>
        <w:t xml:space="preserve"> — Day 7 catastrophe</w:t>
      </w:r>
    </w:p>
    <w:p>
      <w:pPr>
        <w:pStyle w:val="ListBullet"/>
        <w:spacing w:before="20" w:after="20"/>
      </w:pPr>
      <w:hyperlink r:id="rId179">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84">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85">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86">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80">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181">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187">
        <w:r>
          <w:rPr>
            <w:b w:val="0"/>
            <w:i w:val="0"/>
            <w:color w:val="B8860B"/>
            <w:sz w:val="19"/>
          </w:rPr>
          <w:t>Genesis 1–2, KJV</w:t>
        </w:r>
      </w:hyperlink>
    </w:p>
    <w:p>
      <w:pPr>
        <w:pStyle w:val="ListBullet"/>
        <w:spacing w:before="20" w:after="20"/>
      </w:pPr>
      <w:hyperlink r:id="rId182">
        <w:r>
          <w:rPr>
            <w:b w:val="0"/>
            <w:i w:val="0"/>
            <w:color w:val="B8860B"/>
            <w:sz w:val="19"/>
          </w:rPr>
          <w:t>Genesis 7:4, KJV</w:t>
        </w:r>
      </w:hyperlink>
      <w:r>
        <w:rPr>
          <w:b w:val="0"/>
          <w:i w:val="0"/>
          <w:sz w:val="19"/>
        </w:rPr>
        <w:t xml:space="preserve"> — seven-day delay before the Flood</w:t>
      </w:r>
    </w:p>
    <w:p>
      <w:pPr>
        <w:pStyle w:val="ListBullet"/>
        <w:spacing w:before="20" w:after="20"/>
      </w:pPr>
      <w:hyperlink r:id="rId183">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172">
        <w:r>
          <w:rPr>
            <w:b w:val="0"/>
            <w:i w:val="0"/>
            <w:color w:val="B8860B"/>
            <w:sz w:val="19"/>
          </w:rPr>
          <w:t>Cronus / Kronos — Wikipedia</w:t>
        </w:r>
      </w:hyperlink>
    </w:p>
    <w:p>
      <w:pPr>
        <w:pStyle w:val="ListBullet"/>
        <w:spacing w:before="20" w:after="20"/>
      </w:pPr>
      <w:hyperlink r:id="rId188">
        <w:r>
          <w:rPr>
            <w:b w:val="0"/>
            <w:i w:val="0"/>
            <w:color w:val="B8860B"/>
            <w:sz w:val="19"/>
          </w:rPr>
          <w:t>Week — Wikipedia: Origin of the seven-day week</w:t>
        </w:r>
      </w:hyperlink>
    </w:p>
    <w:p/>
    <w:p>
      <w:pPr>
        <w:jc w:val="center"/>
      </w:pPr>
      <w:r>
        <w:rPr>
          <w:color w:val="B8860B"/>
          <w:sz w:val="24"/>
        </w:rPr>
        <w:t>— ✦ —</w:t>
      </w:r>
    </w:p>
    <w:p>
      <w:pPr>
        <w:pBdr>
          <w:bottom w:val="single" w:sz="6" w:space="1" w:color="CCCCCC"/>
        </w:pBdr>
      </w:pPr>
    </w:p>
    <w:p>
      <w:pPr>
        <w:pStyle w:val="Heading3"/>
        <w:keepNext/>
        <w:keepLines/>
      </w:pPr>
      <w:r>
        <w:t>id: evt-golden-age-documentary-sequence-appendix</w:t>
      </w:r>
    </w:p>
    <w:p>
      <w:r>
        <w:rPr>
          <w:b w:val="0"/>
          <w:i w:val="0"/>
        </w:rPr>
        <w:t xml:space="preserve">Supplementary table for </w:t>
      </w:r>
      <w:hyperlink r:id="rId130">
        <w:r>
          <w:rPr>
            <w:b w:val="0"/>
            <w:i w:val="0"/>
            <w:color w:val="B8860B"/>
          </w:rPr>
          <w:t>The Golden Age</w:t>
        </w:r>
      </w:hyperlink>
      <w:r>
        <w:rPr>
          <w:b w:val="0"/>
          <w:i w:val="0"/>
        </w:rPr>
        <w:t>. The main chapter gives the sequence in prose; here the same steps appear in tabular form with date placeholders.</w:t>
      </w:r>
    </w:p>
    <w:p>
      <w:r>
        <w:rPr>
          <w:b w:val="0"/>
          <w:i w:val="0"/>
        </w:rPr>
      </w:r>
      <w:r>
        <w:rPr>
          <w:b/>
          <w:i w:val="0"/>
        </w:rPr>
        <w:t>Source:</w:t>
      </w:r>
      <w:r>
        <w:rPr>
          <w:b w:val="0"/>
          <w:i w:val="0"/>
        </w:rPr>
        <w:t xml:space="preserve"> David Talbott, </w:t>
      </w:r>
      <w:r>
        <w:rPr>
          <w:b w:val="0"/>
          <w:i/>
        </w:rPr>
        <w:t>Remembering the End of the World</w:t>
      </w:r>
      <w:r>
        <w:rPr>
          <w:b w:val="0"/>
          <w:i w:val="0"/>
        </w:rPr>
        <w:t xml:space="preserve"> (</w:t>
      </w:r>
      <w:hyperlink r:id="rId189">
        <w:r>
          <w:rPr>
            <w:b w:val="0"/>
            <w:i w:val="0"/>
            <w:color w:val="B8860B"/>
          </w:rPr>
          <w:t>YouTube</w:t>
        </w:r>
      </w:hyperlink>
      <w:r>
        <w:rPr>
          <w:b w:val="0"/>
          <w:i w:val="0"/>
        </w:rPr>
        <w:t xml:space="preserve">). </w:t>
      </w:r>
      <w:r>
        <w:rPr>
          <w:b/>
          <w:i w:val="0"/>
        </w:rPr>
        <w:t>Cook dates:</w:t>
      </w:r>
      <w:r>
        <w:rPr>
          <w:b w:val="0"/>
          <w:i w:val="0"/>
        </w:rPr>
        <w:t xml:space="preserve"> Jno Cook places the bright crescent / Saturn nova at </w:t>
      </w:r>
      <w:r>
        <w:rPr>
          <w:b/>
          <w:i w:val="0"/>
        </w:rPr>
        <w:t>4077 BCE</w:t>
      </w:r>
      <w:r>
        <w:rPr>
          <w:b w:val="0"/>
          <w:i w:val="0"/>
        </w:rPr>
        <w:t xml:space="preserve"> and the end of the collinear configuration at </w:t>
      </w:r>
      <w:r>
        <w:rPr>
          <w:b/>
          <w:i w:val="0"/>
        </w:rPr>
        <w:t>3147 BCE</w:t>
      </w:r>
      <w:r>
        <w:rPr>
          <w:b w:val="0"/>
          <w:i w:val="0"/>
        </w:rPr>
        <w:t xml:space="preserve">; those anchors are shown in the Date column where they align with a step. All other steps are </w:t>
      </w:r>
      <w:r>
        <w:rPr>
          <w:b/>
          <w:i w:val="0"/>
        </w:rPr>
        <w:t>?</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7"/>
        <w:gridCol w:w="767"/>
        <w:gridCol w:w="4838"/>
      </w:tblGrid>
      <w:tr>
        <w:tc>
          <w:tcPr>
            <w:tcW w:type="dxa" w:w="767"/>
            <w:shd w:val="clear" w:color="auto" w:fill="F0F0F0"/>
          </w:tcPr>
          <w:p>
            <w:pPr>
              <w:spacing w:before="20" w:after="20"/>
              <w:jc w:val="center"/>
            </w:pPr>
            <w:r>
              <w:rPr>
                <w:rFonts w:ascii="Libre Franklin" w:hAnsi="Libre Franklin"/>
                <w:b/>
                <w:sz w:val="18"/>
              </w:rPr>
              <w:t>Step</w:t>
            </w:r>
          </w:p>
        </w:tc>
        <w:tc>
          <w:tcPr>
            <w:tcW w:type="dxa" w:w="767"/>
            <w:shd w:val="clear" w:color="auto" w:fill="F0F0F0"/>
          </w:tcPr>
          <w:p>
            <w:pPr>
              <w:spacing w:before="20" w:after="20"/>
              <w:jc w:val="center"/>
            </w:pPr>
            <w:r>
              <w:rPr>
                <w:rFonts w:ascii="Libre Franklin" w:hAnsi="Libre Franklin"/>
                <w:b/>
                <w:sz w:val="18"/>
              </w:rPr>
              <w:t>Date</w:t>
            </w:r>
          </w:p>
        </w:tc>
        <w:tc>
          <w:tcPr>
            <w:tcW w:type="dxa" w:w="4838"/>
            <w:shd w:val="clear" w:color="auto" w:fill="F0F0F0"/>
          </w:tcPr>
          <w:p>
            <w:pPr>
              <w:spacing w:before="20" w:after="20"/>
              <w:jc w:val="center"/>
            </w:pPr>
            <w:r>
              <w:rPr>
                <w:rFonts w:ascii="Libre Franklin" w:hAnsi="Libre Franklin"/>
                <w:b/>
                <w:sz w:val="18"/>
              </w:rPr>
              <w:t>Event</w:t>
            </w:r>
          </w:p>
        </w:tc>
      </w:tr>
      <w:tr>
        <w:tc>
          <w:tcPr>
            <w:tcW w:type="dxa" w:w="767"/>
          </w:tcPr>
          <w:p>
            <w:pPr>
              <w:spacing w:before="20" w:after="20"/>
            </w:pPr>
            <w:r>
              <w:rPr>
                <w:b w:val="0"/>
                <w:i w:val="0"/>
                <w:sz w:val="18"/>
              </w:rPr>
              <w:t>1</w:t>
            </w:r>
          </w:p>
        </w:tc>
        <w:tc>
          <w:tcPr>
            <w:tcW w:type="dxa" w:w="767"/>
          </w:tcPr>
          <w:p>
            <w:pPr>
              <w:spacing w:before="20" w:after="20"/>
            </w:pPr>
            <w:r>
              <w:rPr>
                <w:b w:val="0"/>
                <w:i w:val="0"/>
                <w:sz w:val="18"/>
              </w:rPr>
              <w:t>?</w:t>
            </w:r>
          </w:p>
        </w:tc>
        <w:tc>
          <w:tcPr>
            <w:tcW w:type="dxa" w:w="4838"/>
          </w:tcPr>
          <w:p>
            <w:pPr>
              <w:spacing w:before="20" w:after="20"/>
            </w:pPr>
            <w:r>
              <w:rPr>
                <w:b w:val="0"/>
                <w:i w:val="0"/>
                <w:sz w:val="18"/>
              </w:rPr>
              <w:t>Timeless epoch (diffuse cloud)</w:t>
            </w:r>
          </w:p>
        </w:tc>
      </w:tr>
      <w:tr>
        <w:tc>
          <w:tcPr>
            <w:tcW w:type="dxa" w:w="767"/>
          </w:tcPr>
          <w:p>
            <w:pPr>
              <w:spacing w:before="20" w:after="20"/>
            </w:pPr>
            <w:r>
              <w:rPr>
                <w:b w:val="0"/>
                <w:i w:val="0"/>
                <w:sz w:val="18"/>
              </w:rPr>
              <w:t>2</w:t>
            </w:r>
          </w:p>
        </w:tc>
        <w:tc>
          <w:tcPr>
            <w:tcW w:type="dxa" w:w="767"/>
          </w:tcPr>
          <w:p>
            <w:pPr>
              <w:spacing w:before="20" w:after="20"/>
            </w:pPr>
            <w:r>
              <w:rPr>
                <w:b w:val="0"/>
                <w:i w:val="0"/>
                <w:sz w:val="18"/>
              </w:rPr>
              <w:t>?</w:t>
            </w:r>
          </w:p>
        </w:tc>
        <w:tc>
          <w:tcPr>
            <w:tcW w:type="dxa" w:w="4838"/>
          </w:tcPr>
          <w:p>
            <w:pPr>
              <w:spacing w:before="20" w:after="20"/>
            </w:pPr>
            <w:r>
              <w:rPr>
                <w:b w:val="0"/>
                <w:i w:val="0"/>
                <w:sz w:val="18"/>
              </w:rPr>
              <w:t>Cloud dissipates</w:t>
            </w:r>
          </w:p>
        </w:tc>
      </w:tr>
      <w:tr>
        <w:tc>
          <w:tcPr>
            <w:tcW w:type="dxa" w:w="767"/>
          </w:tcPr>
          <w:p>
            <w:pPr>
              <w:spacing w:before="20" w:after="20"/>
            </w:pPr>
            <w:r>
              <w:rPr>
                <w:b w:val="0"/>
                <w:i w:val="0"/>
                <w:sz w:val="18"/>
              </w:rPr>
              <w:t>3</w:t>
            </w:r>
          </w:p>
        </w:tc>
        <w:tc>
          <w:tcPr>
            <w:tcW w:type="dxa" w:w="767"/>
          </w:tcPr>
          <w:p>
            <w:pPr>
              <w:spacing w:before="20" w:after="20"/>
            </w:pPr>
            <w:r>
              <w:rPr>
                <w:b w:val="0"/>
                <w:i w:val="0"/>
                <w:sz w:val="18"/>
              </w:rPr>
              <w:t>4077 BCE</w:t>
            </w:r>
          </w:p>
        </w:tc>
        <w:tc>
          <w:tcPr>
            <w:tcW w:type="dxa" w:w="4838"/>
          </w:tcPr>
          <w:p>
            <w:pPr>
              <w:spacing w:before="20" w:after="20"/>
            </w:pPr>
            <w:r>
              <w:rPr>
                <w:b w:val="0"/>
                <w:i w:val="0"/>
                <w:sz w:val="18"/>
              </w:rPr>
              <w:t>Crescent appears (Cook: Saturn nova)</w:t>
            </w:r>
          </w:p>
        </w:tc>
      </w:tr>
      <w:tr>
        <w:tc>
          <w:tcPr>
            <w:tcW w:type="dxa" w:w="767"/>
          </w:tcPr>
          <w:p>
            <w:pPr>
              <w:spacing w:before="20" w:after="20"/>
            </w:pPr>
            <w:r>
              <w:rPr>
                <w:b w:val="0"/>
                <w:i w:val="0"/>
                <w:sz w:val="18"/>
              </w:rPr>
              <w:t>4</w:t>
            </w:r>
          </w:p>
        </w:tc>
        <w:tc>
          <w:tcPr>
            <w:tcW w:type="dxa" w:w="767"/>
          </w:tcPr>
          <w:p>
            <w:pPr>
              <w:spacing w:before="20" w:after="20"/>
            </w:pPr>
            <w:r>
              <w:rPr>
                <w:b w:val="0"/>
                <w:i w:val="0"/>
                <w:sz w:val="18"/>
              </w:rPr>
              <w:t>?</w:t>
            </w:r>
          </w:p>
        </w:tc>
        <w:tc>
          <w:tcPr>
            <w:tcW w:type="dxa" w:w="4838"/>
          </w:tcPr>
          <w:p>
            <w:pPr>
              <w:spacing w:before="20" w:after="20"/>
            </w:pPr>
            <w:r>
              <w:rPr>
                <w:b w:val="0"/>
                <w:i w:val="0"/>
                <w:sz w:val="18"/>
              </w:rPr>
              <w:t>Earth rotates — first clock</w:t>
            </w:r>
          </w:p>
        </w:tc>
      </w:tr>
      <w:tr>
        <w:tc>
          <w:tcPr>
            <w:tcW w:type="dxa" w:w="767"/>
          </w:tcPr>
          <w:p>
            <w:pPr>
              <w:spacing w:before="20" w:after="20"/>
            </w:pPr>
            <w:r>
              <w:rPr>
                <w:b w:val="0"/>
                <w:i w:val="0"/>
                <w:sz w:val="18"/>
              </w:rPr>
              <w:t>5</w:t>
            </w:r>
          </w:p>
        </w:tc>
        <w:tc>
          <w:tcPr>
            <w:tcW w:type="dxa" w:w="767"/>
          </w:tcPr>
          <w:p>
            <w:pPr>
              <w:spacing w:before="20" w:after="20"/>
            </w:pPr>
            <w:r>
              <w:rPr>
                <w:b w:val="0"/>
                <w:i w:val="0"/>
                <w:sz w:val="18"/>
              </w:rPr>
              <w:t>?</w:t>
            </w:r>
          </w:p>
        </w:tc>
        <w:tc>
          <w:tcPr>
            <w:tcW w:type="dxa" w:w="4838"/>
          </w:tcPr>
          <w:p>
            <w:pPr>
              <w:spacing w:before="20" w:after="20"/>
            </w:pPr>
            <w:r>
              <w:rPr>
                <w:b w:val="0"/>
                <w:i w:val="0"/>
                <w:sz w:val="18"/>
              </w:rPr>
              <w:t>Mars destabilizes</w:t>
            </w:r>
          </w:p>
        </w:tc>
      </w:tr>
      <w:tr>
        <w:tc>
          <w:tcPr>
            <w:tcW w:type="dxa" w:w="767"/>
          </w:tcPr>
          <w:p>
            <w:pPr>
              <w:spacing w:before="20" w:after="20"/>
            </w:pPr>
            <w:r>
              <w:rPr>
                <w:b w:val="0"/>
                <w:i w:val="0"/>
                <w:sz w:val="18"/>
              </w:rPr>
              <w:t>6</w:t>
            </w:r>
          </w:p>
        </w:tc>
        <w:tc>
          <w:tcPr>
            <w:tcW w:type="dxa" w:w="767"/>
          </w:tcPr>
          <w:p>
            <w:pPr>
              <w:spacing w:before="20" w:after="20"/>
            </w:pPr>
            <w:r>
              <w:rPr>
                <w:b w:val="0"/>
                <w:i w:val="0"/>
                <w:sz w:val="18"/>
              </w:rPr>
              <w:t>?</w:t>
            </w:r>
          </w:p>
        </w:tc>
        <w:tc>
          <w:tcPr>
            <w:tcW w:type="dxa" w:w="4838"/>
          </w:tcPr>
          <w:p>
            <w:pPr>
              <w:spacing w:before="20" w:after="20"/>
            </w:pPr>
            <w:r>
              <w:rPr>
                <w:b w:val="0"/>
                <w:i w:val="0"/>
                <w:sz w:val="18"/>
              </w:rPr>
              <w:t>Mars oscillates</w:t>
            </w:r>
          </w:p>
        </w:tc>
      </w:tr>
      <w:tr>
        <w:tc>
          <w:tcPr>
            <w:tcW w:type="dxa" w:w="767"/>
          </w:tcPr>
          <w:p>
            <w:pPr>
              <w:spacing w:before="20" w:after="20"/>
            </w:pPr>
            <w:r>
              <w:rPr>
                <w:b w:val="0"/>
                <w:i w:val="0"/>
                <w:sz w:val="18"/>
              </w:rPr>
              <w:t>7</w:t>
            </w:r>
          </w:p>
        </w:tc>
        <w:tc>
          <w:tcPr>
            <w:tcW w:type="dxa" w:w="767"/>
          </w:tcPr>
          <w:p>
            <w:pPr>
              <w:spacing w:before="20" w:after="20"/>
            </w:pPr>
            <w:r>
              <w:rPr>
                <w:b w:val="0"/>
                <w:i w:val="0"/>
                <w:sz w:val="18"/>
              </w:rPr>
              <w:t>?</w:t>
            </w:r>
          </w:p>
        </w:tc>
        <w:tc>
          <w:tcPr>
            <w:tcW w:type="dxa" w:w="4838"/>
          </w:tcPr>
          <w:p>
            <w:pPr>
              <w:spacing w:before="20" w:after="20"/>
            </w:pPr>
            <w:r>
              <w:rPr>
                <w:b w:val="0"/>
                <w:i w:val="0"/>
                <w:sz w:val="18"/>
              </w:rPr>
              <w:t>Mars drops below Venus</w:t>
            </w:r>
          </w:p>
        </w:tc>
      </w:tr>
      <w:tr>
        <w:tc>
          <w:tcPr>
            <w:tcW w:type="dxa" w:w="767"/>
          </w:tcPr>
          <w:p>
            <w:pPr>
              <w:spacing w:before="20" w:after="20"/>
            </w:pPr>
            <w:r>
              <w:rPr>
                <w:b w:val="0"/>
                <w:i w:val="0"/>
                <w:sz w:val="18"/>
              </w:rPr>
              <w:t>8</w:t>
            </w:r>
          </w:p>
        </w:tc>
        <w:tc>
          <w:tcPr>
            <w:tcW w:type="dxa" w:w="767"/>
          </w:tcPr>
          <w:p>
            <w:pPr>
              <w:spacing w:before="20" w:after="20"/>
            </w:pPr>
            <w:r>
              <w:rPr>
                <w:b w:val="0"/>
                <w:i w:val="0"/>
                <w:sz w:val="18"/>
              </w:rPr>
              <w:t>?</w:t>
            </w:r>
          </w:p>
        </w:tc>
        <w:tc>
          <w:tcPr>
            <w:tcW w:type="dxa" w:w="4838"/>
          </w:tcPr>
          <w:p>
            <w:pPr>
              <w:spacing w:before="20" w:after="20"/>
            </w:pPr>
            <w:r>
              <w:rPr>
                <w:b w:val="0"/>
                <w:i w:val="0"/>
                <w:sz w:val="18"/>
              </w:rPr>
              <w:t>Lateral displacements</w:t>
            </w:r>
          </w:p>
        </w:tc>
      </w:tr>
      <w:tr>
        <w:tc>
          <w:tcPr>
            <w:tcW w:type="dxa" w:w="767"/>
          </w:tcPr>
          <w:p>
            <w:pPr>
              <w:spacing w:before="20" w:after="20"/>
            </w:pPr>
            <w:r>
              <w:rPr>
                <w:b w:val="0"/>
                <w:i w:val="0"/>
                <w:sz w:val="18"/>
              </w:rPr>
              <w:t>9</w:t>
            </w:r>
          </w:p>
        </w:tc>
        <w:tc>
          <w:tcPr>
            <w:tcW w:type="dxa" w:w="767"/>
          </w:tcPr>
          <w:p>
            <w:pPr>
              <w:spacing w:before="20" w:after="20"/>
            </w:pPr>
            <w:r>
              <w:rPr>
                <w:b w:val="0"/>
                <w:i w:val="0"/>
                <w:sz w:val="18"/>
              </w:rPr>
              <w:t>?</w:t>
            </w:r>
          </w:p>
        </w:tc>
        <w:tc>
          <w:tcPr>
            <w:tcW w:type="dxa" w:w="4838"/>
          </w:tcPr>
          <w:p>
            <w:pPr>
              <w:spacing w:before="20" w:after="20"/>
            </w:pPr>
            <w:r>
              <w:rPr>
                <w:b w:val="0"/>
                <w:i w:val="0"/>
                <w:sz w:val="18"/>
              </w:rPr>
              <w:t>Band around Venus</w:t>
            </w:r>
          </w:p>
        </w:tc>
      </w:tr>
      <w:tr>
        <w:tc>
          <w:tcPr>
            <w:tcW w:type="dxa" w:w="767"/>
          </w:tcPr>
          <w:p>
            <w:pPr>
              <w:spacing w:before="20" w:after="20"/>
            </w:pPr>
            <w:r>
              <w:rPr>
                <w:b w:val="0"/>
                <w:i w:val="0"/>
                <w:sz w:val="18"/>
              </w:rPr>
              <w:t>10</w:t>
            </w:r>
          </w:p>
        </w:tc>
        <w:tc>
          <w:tcPr>
            <w:tcW w:type="dxa" w:w="767"/>
          </w:tcPr>
          <w:p>
            <w:pPr>
              <w:spacing w:before="20" w:after="20"/>
            </w:pPr>
            <w:r>
              <w:rPr>
                <w:b w:val="0"/>
                <w:i w:val="0"/>
                <w:sz w:val="18"/>
              </w:rPr>
              <w:t>?</w:t>
            </w:r>
          </w:p>
        </w:tc>
        <w:tc>
          <w:tcPr>
            <w:tcW w:type="dxa" w:w="4838"/>
          </w:tcPr>
          <w:p>
            <w:pPr>
              <w:spacing w:before="20" w:after="20"/>
            </w:pPr>
            <w:r>
              <w:rPr>
                <w:b w:val="0"/>
                <w:i w:val="0"/>
                <w:sz w:val="18"/>
              </w:rPr>
              <w:t>Mars descents continue</w:t>
            </w:r>
          </w:p>
        </w:tc>
      </w:tr>
      <w:tr>
        <w:tc>
          <w:tcPr>
            <w:tcW w:type="dxa" w:w="767"/>
          </w:tcPr>
          <w:p>
            <w:pPr>
              <w:spacing w:before="20" w:after="20"/>
            </w:pPr>
            <w:r>
              <w:rPr>
                <w:b w:val="0"/>
                <w:i w:val="0"/>
                <w:sz w:val="18"/>
              </w:rPr>
              <w:t>11</w:t>
            </w:r>
          </w:p>
        </w:tc>
        <w:tc>
          <w:tcPr>
            <w:tcW w:type="dxa" w:w="767"/>
          </w:tcPr>
          <w:p>
            <w:pPr>
              <w:spacing w:before="20" w:after="20"/>
            </w:pPr>
            <w:r>
              <w:rPr>
                <w:b w:val="0"/>
                <w:i w:val="0"/>
                <w:sz w:val="18"/>
              </w:rPr>
              <w:t>?</w:t>
            </w:r>
          </w:p>
        </w:tc>
        <w:tc>
          <w:tcPr>
            <w:tcW w:type="dxa" w:w="4838"/>
          </w:tcPr>
          <w:p>
            <w:pPr>
              <w:spacing w:before="20" w:after="20"/>
            </w:pPr>
            <w:r>
              <w:rPr>
                <w:b w:val="0"/>
                <w:i w:val="0"/>
                <w:sz w:val="18"/>
              </w:rPr>
              <w:t>Material reaches Earth</w:t>
            </w:r>
          </w:p>
        </w:tc>
      </w:tr>
      <w:tr>
        <w:tc>
          <w:tcPr>
            <w:tcW w:type="dxa" w:w="767"/>
          </w:tcPr>
          <w:p>
            <w:pPr>
              <w:spacing w:before="20" w:after="20"/>
            </w:pPr>
            <w:r>
              <w:rPr>
                <w:b w:val="0"/>
                <w:i w:val="0"/>
                <w:sz w:val="18"/>
              </w:rPr>
              <w:t>12</w:t>
            </w:r>
          </w:p>
        </w:tc>
        <w:tc>
          <w:tcPr>
            <w:tcW w:type="dxa" w:w="767"/>
          </w:tcPr>
          <w:p>
            <w:pPr>
              <w:spacing w:before="20" w:after="20"/>
            </w:pPr>
            <w:r>
              <w:rPr>
                <w:b w:val="0"/>
                <w:i w:val="0"/>
                <w:sz w:val="18"/>
              </w:rPr>
              <w:t>?</w:t>
            </w:r>
          </w:p>
        </w:tc>
        <w:tc>
          <w:tcPr>
            <w:tcW w:type="dxa" w:w="4838"/>
          </w:tcPr>
          <w:p>
            <w:pPr>
              <w:spacing w:before="20" w:after="20"/>
            </w:pPr>
            <w:r>
              <w:rPr>
                <w:b w:val="0"/>
                <w:i w:val="0"/>
                <w:sz w:val="18"/>
              </w:rPr>
              <w:t>Recovery — Mars moves away</w:t>
            </w:r>
          </w:p>
        </w:tc>
      </w:tr>
      <w:tr>
        <w:tc>
          <w:tcPr>
            <w:tcW w:type="dxa" w:w="767"/>
          </w:tcPr>
          <w:p>
            <w:pPr>
              <w:spacing w:before="20" w:after="20"/>
            </w:pPr>
            <w:r>
              <w:rPr>
                <w:b w:val="0"/>
                <w:i w:val="0"/>
                <w:sz w:val="18"/>
              </w:rPr>
              <w:t>13</w:t>
            </w:r>
          </w:p>
        </w:tc>
        <w:tc>
          <w:tcPr>
            <w:tcW w:type="dxa" w:w="767"/>
          </w:tcPr>
          <w:p>
            <w:pPr>
              <w:spacing w:before="20" w:after="20"/>
            </w:pPr>
            <w:r>
              <w:rPr>
                <w:b w:val="0"/>
                <w:i w:val="0"/>
                <w:sz w:val="18"/>
              </w:rPr>
              <w:t>?</w:t>
            </w:r>
          </w:p>
        </w:tc>
        <w:tc>
          <w:tcPr>
            <w:tcW w:type="dxa" w:w="4838"/>
          </w:tcPr>
          <w:p>
            <w:pPr>
              <w:spacing w:before="20" w:after="20"/>
            </w:pPr>
            <w:r>
              <w:rPr>
                <w:b w:val="0"/>
                <w:i w:val="0"/>
                <w:sz w:val="18"/>
              </w:rPr>
              <w:t>Saturn tumbles (Jupiter appears)</w:t>
            </w:r>
          </w:p>
        </w:tc>
      </w:tr>
      <w:tr>
        <w:tc>
          <w:tcPr>
            <w:tcW w:type="dxa" w:w="767"/>
          </w:tcPr>
          <w:p>
            <w:pPr>
              <w:spacing w:before="20" w:after="20"/>
            </w:pPr>
            <w:r>
              <w:rPr>
                <w:b w:val="0"/>
                <w:i w:val="0"/>
                <w:sz w:val="18"/>
              </w:rPr>
              <w:t>14</w:t>
            </w:r>
          </w:p>
        </w:tc>
        <w:tc>
          <w:tcPr>
            <w:tcW w:type="dxa" w:w="767"/>
          </w:tcPr>
          <w:p>
            <w:pPr>
              <w:spacing w:before="20" w:after="20"/>
            </w:pPr>
            <w:r>
              <w:rPr>
                <w:b w:val="0"/>
                <w:i w:val="0"/>
                <w:sz w:val="18"/>
              </w:rPr>
              <w:t>?</w:t>
            </w:r>
          </w:p>
        </w:tc>
        <w:tc>
          <w:tcPr>
            <w:tcW w:type="dxa" w:w="4838"/>
          </w:tcPr>
          <w:p>
            <w:pPr>
              <w:spacing w:before="20" w:after="20"/>
            </w:pPr>
            <w:r>
              <w:rPr>
                <w:b w:val="0"/>
                <w:i w:val="0"/>
                <w:sz w:val="18"/>
              </w:rPr>
              <w:t>Venus displaced</w:t>
            </w:r>
          </w:p>
        </w:tc>
      </w:tr>
      <w:tr>
        <w:tc>
          <w:tcPr>
            <w:tcW w:type="dxa" w:w="767"/>
          </w:tcPr>
          <w:p>
            <w:pPr>
              <w:spacing w:before="20" w:after="20"/>
            </w:pPr>
            <w:r>
              <w:rPr>
                <w:b w:val="0"/>
                <w:i w:val="0"/>
                <w:sz w:val="18"/>
              </w:rPr>
              <w:t>15</w:t>
            </w:r>
          </w:p>
        </w:tc>
        <w:tc>
          <w:tcPr>
            <w:tcW w:type="dxa" w:w="767"/>
          </w:tcPr>
          <w:p>
            <w:pPr>
              <w:spacing w:before="20" w:after="20"/>
            </w:pPr>
            <w:r>
              <w:rPr>
                <w:b w:val="0"/>
                <w:i w:val="0"/>
                <w:sz w:val="18"/>
              </w:rPr>
              <w:t>?</w:t>
            </w:r>
          </w:p>
        </w:tc>
        <w:tc>
          <w:tcPr>
            <w:tcW w:type="dxa" w:w="4838"/>
          </w:tcPr>
          <w:p>
            <w:pPr>
              <w:spacing w:before="20" w:after="20"/>
            </w:pPr>
            <w:r>
              <w:rPr>
                <w:b w:val="0"/>
                <w:i w:val="0"/>
                <w:sz w:val="18"/>
              </w:rPr>
              <w:t>Temporary Jupiter renewal</w:t>
            </w:r>
          </w:p>
        </w:tc>
      </w:tr>
      <w:tr>
        <w:tc>
          <w:tcPr>
            <w:tcW w:type="dxa" w:w="767"/>
          </w:tcPr>
          <w:p>
            <w:pPr>
              <w:spacing w:before="20" w:after="20"/>
            </w:pPr>
            <w:r>
              <w:rPr>
                <w:b w:val="0"/>
                <w:i w:val="0"/>
                <w:sz w:val="18"/>
              </w:rPr>
              <w:t>16</w:t>
            </w:r>
          </w:p>
        </w:tc>
        <w:tc>
          <w:tcPr>
            <w:tcW w:type="dxa" w:w="767"/>
          </w:tcPr>
          <w:p>
            <w:pPr>
              <w:spacing w:before="20" w:after="20"/>
            </w:pPr>
            <w:r>
              <w:rPr>
                <w:b w:val="0"/>
                <w:i w:val="0"/>
                <w:sz w:val="18"/>
              </w:rPr>
              <w:t>3147 BCE</w:t>
            </w:r>
          </w:p>
        </w:tc>
        <w:tc>
          <w:tcPr>
            <w:tcW w:type="dxa" w:w="4838"/>
          </w:tcPr>
          <w:p>
            <w:pPr>
              <w:spacing w:before="20" w:after="20"/>
            </w:pPr>
            <w:r>
              <w:rPr>
                <w:b w:val="0"/>
                <w:i w:val="0"/>
                <w:sz w:val="18"/>
              </w:rPr>
              <w:t>Final breakup</w:t>
            </w:r>
          </w:p>
        </w:tc>
      </w:tr>
    </w:tbl>
    <w:p/>
    <w:p>
      <w:r>
        <w:rPr>
          <w:b w:val="0"/>
          <w:i w:val="0"/>
        </w:rPr>
        <w:t xml:space="preserve">See </w:t>
      </w:r>
      <w:hyperlink r:id="rId190">
        <w:r>
          <w:rPr>
            <w:b w:val="0"/>
            <w:i w:val="0"/>
            <w:color w:val="B8860B"/>
          </w:rPr>
          <w:t>Golden Age event dates investigation</w:t>
        </w:r>
      </w:hyperlink>
      <w:r>
        <w:rPr>
          <w:b w:val="0"/>
          <w:i w:val="0"/>
        </w:rPr>
        <w:t xml:space="preserve"> for documentary order, </w:t>
      </w:r>
      <w:r>
        <w:rPr>
          <w:b w:val="0"/>
          <w:i/>
        </w:rPr>
        <w:t>Saturn Myth</w:t>
      </w:r>
      <w:r>
        <w:rPr>
          <w:b w:val="0"/>
          <w:i w:val="0"/>
        </w:rPr>
        <w:t xml:space="preserve"> comparison, and source notes.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Predictive Programming: Fiction as Control</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r>
        <w:rPr>
          <w:b w:val="0"/>
          <w:i w:val="0"/>
        </w:rPr>
        <w:t xml:space="preserve">A critical finding: most pre-20th-century authors now labelled "fiction writers" </w:t>
      </w:r>
      <w:hyperlink r:id="rId191">
        <w:r>
          <w:rPr>
            <w:b w:val="0"/>
            <w:i w:val="0"/>
            <w:color w:val="B8860B"/>
          </w:rPr>
          <w:t>never identified their works as fiction</w:t>
        </w:r>
      </w:hyperlink>
      <w:r>
        <w:rPr>
          <w:b w:val="0"/>
          <w:i w:val="0"/>
        </w:rPr>
        <w:t xml:space="preserve">. They used found-manuscript framing, fake editors, and eyewitness conventions — the tools of </w:t>
      </w:r>
      <w:r>
        <w:rPr>
          <w:b/>
          <w:i w:val="0"/>
        </w:rPr>
        <w:t>documentary record</w:t>
      </w:r>
      <w:r>
        <w:rPr>
          <w:b w:val="0"/>
          <w:i w:val="0"/>
        </w:rPr>
        <w:t xml:space="preserve">, not invention. The "fiction" label was applied retroactively once Gernsback's genre (1926) existed to quarantine them. See </w:t>
      </w:r>
      <w:hyperlink r:id="rId192">
        <w:r>
          <w:rPr>
            <w:b w:val="0"/>
            <w:i w:val="0"/>
            <w:color w:val="B8860B"/>
          </w:rPr>
          <w:t>Controlled Opposition: Genre Reclassification</w:t>
        </w:r>
      </w:hyperlink>
      <w:r>
        <w:rPr>
          <w:b w:val="0"/>
          <w:i w:val="0"/>
        </w:rPr>
        <w:t xml:space="preserve"> for the full evidence.</w:t>
      </w:r>
    </w:p>
    <w:p>
      <w:pPr>
        <w:pStyle w:val="Heading2"/>
        <w:keepNext/>
        <w:keepLines/>
      </w:pPr>
      <w:r>
        <w:t>The Wizard of Oz: Atlantis as Children's Entertainment</w:t>
      </w:r>
    </w:p>
    <w:p>
      <w:r>
        <w:rPr>
          <w:b w:val="0"/>
          <w:i w:val="0"/>
        </w:rPr>
        <w:t xml:space="preserve">The 1900 novel and </w:t>
      </w:r>
      <w:hyperlink r:id="rId193">
        <w:r>
          <w:rPr>
            <w:b w:val="0"/>
            <w:i w:val="0"/>
            <w:color w:val="B8860B"/>
          </w:rPr>
          <w:t>1939 film</w:t>
        </w:r>
      </w:hyperlink>
      <w:r>
        <w:rPr>
          <w:b w:val="0"/>
          <w:i w:val="0"/>
        </w:rPr>
        <w:t xml:space="preserve"> encode the structure of </w:t>
      </w:r>
      <w:hyperlink r:id="rId174">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194">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195">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196">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197">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was probably real — a Martian organism that died on Earth — appearing six years before the </w:t>
      </w:r>
      <w:hyperlink r:id="rId198">
        <w:r>
          <w:rPr>
            <w:b w:val="0"/>
            <w:i w:val="0"/>
            <w:color w:val="B8860B"/>
          </w:rPr>
          <w:t>American chestnut blight</w:t>
        </w:r>
      </w:hyperlink>
      <w:r>
        <w:rPr>
          <w:b w:val="0"/>
          <w:i w:val="0"/>
        </w:rPr>
        <w:t xml:space="preserve"> (1904), the first interplanetary contamination in history: hitchhiker organisms from the same incursions that devastated four billion trees. Evidence suggests Wells was likely </w:t>
      </w:r>
      <w:r>
        <w:rPr>
          <w:b w:val="0"/>
          <w:i/>
        </w:rPr>
        <w:t>compromised</w:t>
      </w:r>
      <w:r>
        <w:rPr>
          <w:b w:val="0"/>
          <w:i w:val="0"/>
        </w:rPr>
        <w:t xml:space="preserve"> — he repeatedly damaged his reputation (attack on James, affairs, plagiarism allegations) while producing fiction Macmillan admitted was not financially satisfactory; the pattern implies he was taking orders from powerful interests rather than acting for personal gain. See </w:t>
      </w:r>
      <w:hyperlink r:id="rId199">
        <w:r>
          <w:rPr>
            <w:b w:val="0"/>
            <w:i w:val="0"/>
            <w:color w:val="B8860B"/>
          </w:rPr>
          <w:t>compromised court cases investigation</w:t>
        </w:r>
      </w:hyperlink>
      <w:r>
        <w:rPr>
          <w:b w:val="0"/>
          <w:i w:val="0"/>
        </w:rPr>
        <w:t>.</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159">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200">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201">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12">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rPr>
                <w:rFonts w:ascii="Libre Franklin" w:hAnsi="Libre Franklin"/>
                <w:b/>
                <w:sz w:val="18"/>
              </w:rPr>
              <w:t>Author</w:t>
            </w:r>
          </w:p>
        </w:tc>
        <w:tc>
          <w:tcPr>
            <w:tcW w:type="dxa" w:w="808"/>
            <w:shd w:val="clear" w:color="auto" w:fill="F0F0F0"/>
          </w:tcPr>
          <w:p>
            <w:pPr>
              <w:spacing w:before="20" w:after="20"/>
              <w:jc w:val="center"/>
            </w:pPr>
            <w:r>
              <w:rPr>
                <w:rFonts w:ascii="Libre Franklin" w:hAnsi="Libre Franklin"/>
                <w:b/>
                <w:sz w:val="18"/>
              </w:rPr>
              <w:t>Active</w:t>
            </w:r>
          </w:p>
        </w:tc>
        <w:tc>
          <w:tcPr>
            <w:tcW w:type="dxa" w:w="808"/>
            <w:shd w:val="clear" w:color="auto" w:fill="F0F0F0"/>
          </w:tcPr>
          <w:p>
            <w:pPr>
              <w:spacing w:before="20" w:after="20"/>
              <w:jc w:val="center"/>
            </w:pPr>
            <w:r>
              <w:rPr>
                <w:rFonts w:ascii="Libre Franklin" w:hAnsi="Libre Franklin"/>
                <w:b/>
                <w:sz w:val="18"/>
              </w:rPr>
              <w:t>Cover Genre</w:t>
            </w:r>
          </w:p>
        </w:tc>
        <w:tc>
          <w:tcPr>
            <w:tcW w:type="dxa" w:w="3948"/>
            <w:shd w:val="clear" w:color="auto" w:fill="F0F0F0"/>
          </w:tcPr>
          <w:p>
            <w:pPr>
              <w:spacing w:before="20" w:after="20"/>
              <w:jc w:val="center"/>
            </w:pPr>
            <w:r>
              <w:rPr>
                <w:rFonts w:ascii="Libre Franklin" w:hAnsi="Libre Franklin"/>
                <w:b/>
                <w:sz w:val="18"/>
              </w:rPr>
              <w:t>Real Content Encoded</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rPr>
                <w:b w:val="0"/>
                <w:i w:val="0"/>
                <w:sz w:val="18"/>
              </w:rPr>
              <w:t xml:space="preserve">Remote viewing, Mars surveillance, planetary weapons; </w:t>
            </w:r>
            <w:r>
              <w:rPr>
                <w:b w:val="0"/>
                <w:i/>
                <w:sz w:val="18"/>
              </w:rPr>
              <w:t>Moreau</w:t>
            </w:r>
            <w:r>
              <w:rPr>
                <w:b w:val="0"/>
                <w:i w:val="0"/>
                <w:sz w:val="18"/>
              </w:rPr>
              <w:t xml:space="preserve"> (1896) gland/blood, pineal-adrenochrome — </w:t>
            </w:r>
            <w:hyperlink r:id="rId164">
              <w:r>
                <w:rPr>
                  <w:b w:val="0"/>
                  <w:i w:val="0"/>
                  <w:color w:val="B8860B"/>
                  <w:sz w:val="18"/>
                </w:rPr>
                <w:t>investigation</w:t>
              </w:r>
            </w:hyperlink>
            <w:r>
              <w:rPr>
                <w:b w:val="0"/>
                <w:i w:val="0"/>
                <w:sz w:val="18"/>
              </w:rPr>
              <w:t xml:space="preserve">. Likely </w:t>
            </w:r>
            <w:r>
              <w:rPr>
                <w:b w:val="0"/>
                <w:i/>
                <w:sz w:val="18"/>
              </w:rPr>
              <w:t>compromised</w:t>
            </w:r>
            <w:r>
              <w:rPr>
                <w:b w:val="0"/>
                <w:i w:val="0"/>
                <w:sz w:val="18"/>
              </w:rPr>
              <w:t>: reputation sabotage + unprofitable fiction for Macmillan → serving powerful interests.</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rPr>
                <w:b w:val="0"/>
                <w:i w:val="0"/>
                <w:sz w:val="18"/>
              </w:rPr>
              <w:t>Dimensional perception, fiction→reality conversion</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rPr>
                <w:b w:val="0"/>
                <w:i w:val="0"/>
                <w:sz w:val="18"/>
              </w:rPr>
              <w:t>Thought-based surveillance, occult intelligence</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202">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164">
        <w:r>
          <w:rPr>
            <w:b w:val="0"/>
            <w:i w:val="0"/>
            <w:color w:val="B8860B"/>
            <w:sz w:val="19"/>
          </w:rPr>
          <w:t>Island of Dr. Moreau: Gland/Blood Investigation</w:t>
        </w:r>
      </w:hyperlink>
      <w:r>
        <w:rPr>
          <w:b w:val="0"/>
          <w:i w:val="0"/>
          <w:sz w:val="19"/>
        </w:rPr>
        <w:t xml:space="preserve"> | </w:t>
      </w:r>
      <w:hyperlink r:id="rId203">
        <w:r>
          <w:rPr>
            <w:b w:val="0"/>
            <w:i w:val="0"/>
            <w:color w:val="B8860B"/>
            <w:sz w:val="19"/>
          </w:rPr>
          <w:t>Dracula: Book as Fact</w:t>
        </w:r>
      </w:hyperlink>
      <w:r>
        <w:rPr>
          <w:b w:val="0"/>
          <w:i w:val="0"/>
          <w:sz w:val="19"/>
        </w:rPr>
        <w:t xml:space="preserve"> | </w:t>
      </w:r>
      <w:hyperlink r:id="rId202">
        <w:r>
          <w:rPr>
            <w:b w:val="0"/>
            <w:i w:val="0"/>
            <w:color w:val="B8860B"/>
            <w:sz w:val="19"/>
          </w:rPr>
          <w:t>Thompson Managed Disclosure</w:t>
        </w:r>
      </w:hyperlink>
      <w:r>
        <w:rPr>
          <w:b w:val="0"/>
          <w:i w:val="0"/>
          <w:sz w:val="19"/>
        </w:rPr>
        <w:t xml:space="preserve"> | </w:t>
      </w:r>
      <w:hyperlink r:id="rId199">
        <w:r>
          <w:rPr>
            <w:b w:val="0"/>
            <w:i w:val="0"/>
            <w:color w:val="B8860B"/>
            <w:sz w:val="19"/>
          </w:rPr>
          <w:t>Compromised Court Cases / Wells</w:t>
        </w:r>
      </w:hyperlink>
    </w:p>
    <w:p>
      <w:pPr>
        <w:pStyle w:val="ListBullet"/>
        <w:spacing w:before="20" w:after="20"/>
      </w:pPr>
      <w:hyperlink r:id="rId174">
        <w:r>
          <w:rPr>
            <w:b w:val="0"/>
            <w:i w:val="0"/>
            <w:color w:val="B8860B"/>
            <w:sz w:val="19"/>
          </w:rPr>
          <w:t>Atlantis and the Tree of Knowledge</w:t>
        </w:r>
      </w:hyperlink>
      <w:r>
        <w:rPr>
          <w:b w:val="0"/>
          <w:i w:val="0"/>
          <w:sz w:val="19"/>
        </w:rPr>
        <w:t xml:space="preserve"> | </w:t>
      </w:r>
      <w:hyperlink r:id="rId194">
        <w:r>
          <w:rPr>
            <w:b w:val="0"/>
            <w:i w:val="0"/>
            <w:color w:val="B8860B"/>
            <w:sz w:val="19"/>
          </w:rPr>
          <w:t>Giants of the Rus-Horde</w:t>
        </w:r>
      </w:hyperlink>
    </w:p>
    <w:p>
      <w:pPr>
        <w:pStyle w:val="ListBullet"/>
        <w:spacing w:before="20" w:after="20"/>
      </w:pPr>
      <w:hyperlink r:id="rId204">
        <w:r>
          <w:rPr>
            <w:b w:val="0"/>
            <w:i w:val="0"/>
            <w:color w:val="B8860B"/>
            <w:sz w:val="19"/>
          </w:rPr>
          <w:t>Star Metal / Hundred Years War</w:t>
        </w:r>
      </w:hyperlink>
      <w:r>
        <w:rPr>
          <w:b w:val="0"/>
          <w:i w:val="0"/>
          <w:sz w:val="19"/>
        </w:rPr>
        <w:t xml:space="preserve"> | </w:t>
      </w:r>
      <w:hyperlink r:id="rId201">
        <w:r>
          <w:rPr>
            <w:b w:val="0"/>
            <w:i w:val="0"/>
            <w:color w:val="B8860B"/>
            <w:sz w:val="19"/>
          </w:rPr>
          <w:t>Language of the Deep State</w:t>
        </w:r>
      </w:hyperlink>
    </w:p>
    <w:p>
      <w:pPr>
        <w:pStyle w:val="ListBullet"/>
        <w:spacing w:before="20" w:after="20"/>
      </w:pPr>
      <w:hyperlink r:id="rId159">
        <w:r>
          <w:rPr>
            <w:b w:val="0"/>
            <w:i w:val="0"/>
            <w:color w:val="B8860B"/>
            <w:sz w:val="19"/>
          </w:rPr>
          <w:t>The Mars Catastrophe: Research Dead End</w:t>
        </w:r>
      </w:hyperlink>
      <w:r>
        <w:rPr>
          <w:b w:val="0"/>
          <w:i w:val="0"/>
          <w:sz w:val="19"/>
        </w:rPr>
        <w:t xml:space="preserve"> | </w:t>
      </w:r>
      <w:hyperlink r:id="rId198">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12">
        <w:r>
          <w:rPr>
            <w:b w:val="0"/>
            <w:i w:val="0"/>
            <w:color w:val="B8860B"/>
          </w:rPr>
          <w:t>Predictive Programming: Literature as Historical Erasure</w:t>
        </w:r>
      </w:hyperlink>
      <w:r>
        <w:rPr>
          <w:b w:val="0"/>
          <w:i w:val="0"/>
        </w:rPr>
        <w:t xml:space="preserve">. For the general overview of predictive programming, see </w:t>
      </w:r>
      <w:hyperlink r:id="rId11">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An unusually specific early encoding appears in </w:t>
      </w:r>
      <w:r>
        <w:rPr>
          <w:b w:val="0"/>
          <w:i/>
        </w:rPr>
        <w:t>Plan 9 from Outer Space</w:t>
      </w:r>
      <w:r>
        <w:rPr>
          <w:b w:val="0"/>
          <w:i w:val="0"/>
        </w:rPr>
        <w:t xml:space="preserve"> (1957): extraterrestrials resurrect the dead via pituitary assault, raising zombie armies to overwhelm capitals and force compliance—a scenario that reads like an operational brief. Ed Wood, a marginal filmmaker working on minimal budget, does not appear capable of originating such a coherent narrative; the </w:t>
      </w:r>
      <w:hyperlink r:id="rId205">
        <w:r>
          <w:rPr>
            <w:b w:val="0"/>
            <w:i w:val="0"/>
            <w:color w:val="B8860B"/>
          </w:rPr>
          <w:t>Ed Wood / Plan 9 investigation</w:t>
        </w:r>
      </w:hyperlink>
      <w:r>
        <w:rPr>
          <w:b w:val="0"/>
          <w:i w:val="0"/>
        </w:rPr>
        <w:t xml:space="preserve"> argues he was a controlled opposition agent, funded to propagate the talking points.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25">
        <w:r>
          <w:rPr>
            <w:b w:val="0"/>
            <w:i w:val="0"/>
            <w:color w:val="B8860B"/>
          </w:rPr>
          <w:t>Population Control: From 1492 to the Technocratic Grid</w:t>
        </w:r>
      </w:hyperlink>
      <w:r>
        <w:rPr>
          <w:b w:val="0"/>
          <w:i w:val="0"/>
        </w:rPr>
        <w:t xml:space="preserve"> and </w:t>
      </w:r>
      <w:hyperlink r:id="rId25">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12">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11">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159">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15">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12">
        <w:r>
          <w:rPr>
            <w:b w:val="0"/>
            <w:i w:val="0"/>
            <w:color w:val="B8860B"/>
          </w:rPr>
          <w:t>20th Century Predictive Programming: Literature</w:t>
        </w:r>
      </w:hyperlink>
      <w:r>
        <w:rPr>
          <w:b w:val="0"/>
          <w:i w:val="0"/>
        </w:rPr>
        <w:t>. For the thesis and pattern, see the main article.</w:t>
      </w:r>
    </w:p>
    <w:p>
      <w:r>
        <w:rPr>
          <w:b w:val="0"/>
          <w:i w:val="0"/>
        </w:rPr>
        <w:t xml:space="preserve">Author-by-author parallel hunts below almost always assume textbook chronology. The main </w:t>
      </w:r>
      <w:hyperlink r:id="rId12">
        <w:r>
          <w:rPr>
            <w:b w:val="0"/>
            <w:i w:val="0"/>
            <w:color w:val="B8860B"/>
          </w:rPr>
          <w:t>20th C. Predictive Programming</w:t>
        </w:r>
      </w:hyperlink>
      <w:r>
        <w:rPr>
          <w:b w:val="0"/>
          <w:i w:val="0"/>
        </w:rPr>
        <w:t xml:space="preserve"> article states the working view that wrong or redacted timelines can block proof that fiction echoes real sequences—and that case studies may converge once a serious alternate comparator is used. See </w:t>
      </w:r>
      <w:hyperlink r:id="rId206">
        <w:r>
          <w:rPr>
            <w:b w:val="0"/>
            <w:i w:val="0"/>
            <w:color w:val="B8860B"/>
          </w:rPr>
          <w:t>GRRM investigation — chronology bottleneck</w:t>
        </w:r>
      </w:hyperlink>
      <w:r>
        <w:rPr>
          <w:b w:val="0"/>
          <w:i w:val="0"/>
        </w:rPr>
        <w:t xml:space="preserve"> and </w:t>
      </w:r>
      <w:hyperlink r:id="rId207">
        <w:r>
          <w:rPr>
            <w:b w:val="0"/>
            <w:i w:val="0"/>
            <w:color w:val="B8860B"/>
          </w:rPr>
          <w:t>history / chronology</w:t>
        </w:r>
      </w:hyperlink>
      <w:r>
        <w:rPr>
          <w:b w:val="0"/>
          <w:i w:val="0"/>
        </w:rPr>
        <w:t>.</w:t>
      </w:r>
    </w:p>
    <w:p>
      <w:pPr>
        <w:pBdr>
          <w:bottom w:val="single" w:sz="6" w:space="1" w:color="CCCCCC"/>
        </w:pBdr>
      </w:pPr>
    </w:p>
    <w:p>
      <w:pPr>
        <w:pStyle w:val="Heading3"/>
        <w:keepNext/>
        <w:keepLines/>
      </w:pPr>
      <w:r>
        <w:t>H.G. Wells (1866–1946): The Template</w:t>
      </w:r>
    </w:p>
    <w:p>
      <w:r>
        <w:rPr>
          <w:b w:val="0"/>
          <w:i w:val="0"/>
        </w:rPr>
        <w:t xml:space="preserve">Wells set the pattern. </w:t>
      </w:r>
      <w:r>
        <w:rPr>
          <w:b w:val="0"/>
          <w:i/>
        </w:rPr>
        <w:t>Crystal Egg</w:t>
      </w:r>
      <w:r>
        <w:rPr>
          <w:b w:val="0"/>
          <w:i w:val="0"/>
        </w:rPr>
        <w:t xml:space="preserve"> (1897): a crystal sphere provides real-time visual surveillance of Mars—the observer on Earth watches Martians; Martians watch back. </w:t>
      </w:r>
      <w:r>
        <w:rPr>
          <w:b w:val="0"/>
          <w:i/>
        </w:rPr>
        <w:t>"Sent hither from that planet, in order to give the Martians a near view of our affairs."</w:t>
      </w:r>
      <w:r>
        <w:rPr>
          <w:b w:val="0"/>
          <w:i w:val="0"/>
        </w:rPr>
        <w:t xml:space="preserve"> </w:t>
      </w:r>
      <w:r>
        <w:rPr>
          <w:b/>
          <w:i w:val="0"/>
        </w:rPr>
        <w:t>Two-way scrying</w:t>
      </w:r>
      <w:r>
        <w:rPr>
          <w:b w:val="0"/>
          <w:i w:val="0"/>
        </w:rPr>
        <w:t xml:space="preserve"> in line with Tolkien’s Palantíri and Stargate remote-viewing tech (declassified 1995). Same logic: guard a realm, deploy the device for harm.</w:t>
      </w:r>
    </w:p>
    <w:p>
      <w:r>
        <w:rPr>
          <w:b w:val="0"/>
          <w:i/>
        </w:rPr>
        <w:t>War of the Worlds</w:t>
      </w:r>
      <w:r>
        <w:rPr>
          <w:b w:val="0"/>
          <w:i w:val="0"/>
        </w:rPr>
        <w:t xml:space="preserve"> (1898) inverted prior Mars fiction (benign Martians) into invasion narrative. The </w:t>
      </w:r>
      <w:r>
        <w:rPr>
          <w:b/>
          <w:i w:val="0"/>
        </w:rPr>
        <w:t>heat ray</w:t>
      </w:r>
      <w:r>
        <w:rPr>
          <w:b w:val="0"/>
          <w:i w:val="0"/>
        </w:rPr>
        <w:t xml:space="preserve">—invisible, capacitor-driven—matches the U.S. </w:t>
      </w:r>
      <w:hyperlink r:id="rId196">
        <w:r>
          <w:rPr>
            <w:b w:val="0"/>
            <w:i w:val="0"/>
            <w:color w:val="B8860B"/>
          </w:rPr>
          <w:t>Active Denial System</w:t>
        </w:r>
      </w:hyperlink>
      <w:r>
        <w:rPr>
          <w:b w:val="0"/>
          <w:i w:val="0"/>
        </w:rPr>
        <w:t>. The 2017 sequel (</w:t>
      </w:r>
      <w:r>
        <w:rPr>
          <w:b w:val="0"/>
          <w:i/>
        </w:rPr>
        <w:t>The Massacre of Mankind</w:t>
      </w:r>
      <w:r>
        <w:rPr>
          <w:b w:val="0"/>
          <w:i w:val="0"/>
        </w:rPr>
        <w:t xml:space="preserve">) restored an invisible beam one year after Havana syndrome. </w:t>
      </w:r>
      <w:r>
        <w:rPr>
          <w:b/>
          <w:i w:val="0"/>
        </w:rPr>
        <w:t>Red weed</w:t>
      </w:r>
      <w:r>
        <w:rPr>
          <w:b w:val="0"/>
          <w:i w:val="0"/>
        </w:rPr>
        <w:t xml:space="preserve">—a Martian organism that arrived with the incursions and could not survive on Earth—echoes, six years before the timeline’s </w:t>
      </w:r>
      <w:hyperlink r:id="rId198">
        <w:r>
          <w:rPr>
            <w:b w:val="0"/>
            <w:i w:val="0"/>
            <w:color w:val="B8860B"/>
          </w:rPr>
          <w:t>American chestnut blight</w:t>
        </w:r>
      </w:hyperlink>
      <w:r>
        <w:rPr>
          <w:b w:val="0"/>
          <w:i w:val="0"/>
        </w:rPr>
        <w:t xml:space="preserve">, an unintended interplanetary contamination from the same incursions: different species, same event frame. </w:t>
      </w:r>
      <w:r>
        <w:rPr>
          <w:b w:val="0"/>
          <w:i/>
        </w:rPr>
        <w:t>War in the Air</w:t>
      </w:r>
      <w:r>
        <w:rPr>
          <w:b w:val="0"/>
          <w:i w:val="0"/>
        </w:rPr>
        <w:t xml:space="preserve"> (1908): aerial bombing a decade early. </w:t>
      </w:r>
      <w:r>
        <w:rPr>
          <w:b w:val="0"/>
          <w:i/>
        </w:rPr>
        <w:t>The World Set Free</w:t>
      </w:r>
      <w:r>
        <w:rPr>
          <w:b w:val="0"/>
          <w:i w:val="0"/>
        </w:rPr>
        <w:t xml:space="preserve"> (1914): coined </w:t>
      </w:r>
      <w:r>
        <w:rPr>
          <w:b w:val="0"/>
          <w:i/>
        </w:rPr>
        <w:t>atomic bomb</w:t>
      </w:r>
      <w:r>
        <w:rPr>
          <w:b w:val="0"/>
          <w:i w:val="0"/>
        </w:rPr>
        <w:t xml:space="preserve"> thirty years before Hiroshima. </w:t>
      </w:r>
      <w:r>
        <w:rPr>
          <w:b/>
          <w:i w:val="0"/>
        </w:rPr>
        <w:t>Fabian insider</w:t>
      </w:r>
      <w:r>
        <w:rPr>
          <w:b w:val="0"/>
          <w:i w:val="0"/>
        </w:rPr>
        <w:t xml:space="preserve">; </w:t>
      </w:r>
      <w:hyperlink r:id="rId195">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a chemistry teacher enters a </w:t>
      </w:r>
      <w:r>
        <w:rPr>
          <w:b/>
          <w:i w:val="0"/>
        </w:rPr>
        <w:t>fourth spatial dimension</w:t>
      </w:r>
      <w:r>
        <w:rPr>
          <w:b w:val="0"/>
          <w:i w:val="0"/>
        </w:rPr>
        <w:t xml:space="preserve"> via explosion; he returns </w:t>
      </w:r>
      <w:r>
        <w:rPr>
          <w:b/>
          <w:i w:val="0"/>
        </w:rPr>
        <w:t>mirror-reversed</w:t>
      </w:r>
      <w:r>
        <w:rPr>
          <w:b w:val="0"/>
          <w:i w:val="0"/>
        </w:rPr>
        <w:t xml:space="preserve"> (heart on right)—dimensional displacement. </w:t>
      </w:r>
      <w:r>
        <w:rPr>
          <w:b w:val="0"/>
          <w:i/>
        </w:rPr>
        <w:t>Davidson's Eyes</w:t>
      </w:r>
      <w:r>
        <w:rPr>
          <w:b w:val="0"/>
          <w:i w:val="0"/>
        </w:rPr>
        <w:t>: spontaneous remote viewing—a man in London sees in real time through a lighthouse keeper on a South Sea island. Both normalize interdimensional and remote-viewing conceits as fantasy long before U.S. government admission.</w:t>
      </w:r>
    </w:p>
    <w:p>
      <w:pPr>
        <w:pStyle w:val="Heading3"/>
        <w:keepNext/>
        <w:keepLines/>
      </w:pPr>
      <w:r>
        <w:t>Arthur Machen (1863–1947)</w:t>
      </w:r>
    </w:p>
    <w:p>
      <w:r>
        <w:rPr>
          <w:b w:val="0"/>
          <w:i/>
        </w:rPr>
        <w:t>Great God Pan</w:t>
      </w:r>
      <w:r>
        <w:rPr>
          <w:b w:val="0"/>
          <w:i w:val="0"/>
        </w:rPr>
        <w:t xml:space="preserve"> (1894): brain surgery opens dimensional perception; the patient sees beyond the veil and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the public believed it true—</w:t>
      </w:r>
      <w:r>
        <w:rPr>
          <w:b/>
          <w:i w:val="0"/>
        </w:rPr>
        <w:t>fiction to belief</w:t>
      </w:r>
      <w:r>
        <w:rPr>
          <w:b w:val="0"/>
          <w:i w:val="0"/>
        </w:rPr>
        <w:t xml:space="preserve"> documented; fact→fiction runs the same way in reverse.</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operative—a physician detecting non-human influence. The encoding: such knowledge is </w:t>
      </w:r>
      <w:r>
        <w:rPr>
          <w:b/>
          <w:i w:val="0"/>
        </w:rPr>
        <w:t>real, learnable, operational</w:t>
      </w:r>
      <w:r>
        <w:rPr>
          <w:b w:val="0"/>
          <w:i w:val="0"/>
        </w:rPr>
        <w:t>—filed as fiction.</w:t>
      </w:r>
    </w:p>
    <w:p>
      <w:pPr>
        <w:pStyle w:val="Heading3"/>
        <w:keepNext/>
        <w:keepLines/>
      </w:pPr>
      <w:r>
        <w:t>H.P. Lovecraft (1890–1937)</w:t>
      </w:r>
    </w:p>
    <w:p>
      <w:r>
        <w:rPr>
          <w:b w:val="0"/>
          <w:i w:val="0"/>
        </w:rPr>
        <w:t>104 stories encode suppressed knowledge: Shining Trapezohedron (scrying—Wells/Tolkien);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Thavas—detail Lowell could not supply. No known intel links; failed businessman at 36. </w:t>
      </w:r>
      <w:r>
        <w:rPr>
          <w:b/>
          <w:i w:val="0"/>
        </w:rPr>
        <w:t>Same mechanism</w:t>
      </w:r>
      <w:r>
        <w:rPr>
          <w:b w:val="0"/>
          <w:i w:val="0"/>
        </w:rPr>
        <w:t xml:space="preserve"> as </w:t>
      </w:r>
      <w:r>
        <w:rPr>
          <w:b w:val="0"/>
          <w:i/>
        </w:rPr>
        <w:t>Crystal Egg</w:t>
      </w:r>
      <w:r>
        <w:rPr>
          <w:b w:val="0"/>
          <w:i w:val="0"/>
        </w:rPr>
        <w:t xml:space="preserve">, Palantíri, seer stones. </w:t>
      </w:r>
      <w:hyperlink r:id="rId208">
        <w:r>
          <w:rPr>
            <w:b w:val="0"/>
            <w:i w:val="0"/>
            <w:color w:val="B8860B"/>
          </w:rPr>
          <w:t>Mars Literature Index</w:t>
        </w:r>
      </w:hyperlink>
      <w:r>
        <w:rPr>
          <w:b w:val="0"/>
          <w:i w:val="0"/>
        </w:rPr>
        <w:t xml:space="preserve">. Tolkien convergence: both needed money; both produced work suggesting </w:t>
      </w:r>
      <w:r>
        <w:rPr>
          <w:b/>
          <w:i w:val="0"/>
        </w:rPr>
        <w:t>pre-existing structured data</w:t>
      </w:r>
      <w:r>
        <w:rPr>
          <w:b w:val="0"/>
          <w:i w:val="0"/>
        </w:rPr>
        <w:t>; both protected by the genius assumption.</w:t>
      </w:r>
    </w:p>
    <w:p>
      <w:pPr>
        <w:pStyle w:val="Heading3"/>
        <w:keepNext/>
        <w:keepLines/>
      </w:pPr>
      <w:r>
        <w:t>J.R.R. Tolkien (1892–1973)</w:t>
      </w:r>
    </w:p>
    <w:p>
      <w:r>
        <w:rPr>
          <w:b w:val="0"/>
          <w:i w:val="0"/>
        </w:rPr>
        <w:t xml:space="preserve">Red Book of Westmarch = pseudotranslation; he insisted on </w:t>
      </w:r>
      <w:r>
        <w:rPr>
          <w:b w:val="0"/>
          <w:i/>
        </w:rPr>
        <w:t>recovery</w:t>
      </w:r>
      <w:r>
        <w:rPr>
          <w:b w:val="0"/>
          <w:i w:val="0"/>
        </w:rPr>
        <w:t xml:space="preserve">, not invention. Red Book modeled on </w:t>
      </w:r>
      <w:hyperlink r:id="rId209">
        <w:r>
          <w:rPr>
            <w:b w:val="0"/>
            <w:i w:val="0"/>
            <w:color w:val="B8860B"/>
          </w:rPr>
          <w:t>Red Book of Hergest</w:t>
        </w:r>
      </w:hyperlink>
      <w:r>
        <w:rPr>
          <w:b w:val="0"/>
          <w:i w:val="0"/>
        </w:rPr>
        <w:t xml:space="preserve">; forged physical artifacts (McIlwaine 2018). </w:t>
      </w:r>
      <w:r>
        <w:rPr>
          <w:b w:val="0"/>
          <w:i/>
        </w:rPr>
        <w:t>Silmarillion</w:t>
      </w:r>
      <w:r>
        <w:rPr>
          <w:b w:val="0"/>
          <w:i w:val="0"/>
        </w:rPr>
        <w:t xml:space="preserve">: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as literary reworking of Rus-Horde history. Copyright until 2043+.</w:t>
      </w:r>
    </w:p>
    <w:p>
      <w:pPr>
        <w:pStyle w:val="Heading3"/>
        <w:keepNext/>
        <w:keepLines/>
      </w:pPr>
      <w:r>
        <w:t>William Goldman (1931–2018)</w:t>
      </w:r>
    </w:p>
    <w:p>
      <w:r>
        <w:rPr>
          <w:b w:val="0"/>
          <w:i/>
        </w:rPr>
        <w:t>The Princess Bride</w:t>
      </w:r>
      <w:r>
        <w:rPr>
          <w:b w:val="0"/>
          <w:i w:val="0"/>
        </w:rPr>
        <w:t xml:space="preserve"> (novel 1973; film 1987) carries the same family of moves as earlier encoded literature: </w:t>
      </w:r>
      <w:r>
        <w:rPr>
          <w:b/>
          <w:i w:val="0"/>
        </w:rPr>
        <w:t>displaced authorship</w:t>
      </w:r>
      <w:r>
        <w:rPr>
          <w:b w:val="0"/>
          <w:i w:val="0"/>
        </w:rPr>
        <w:t xml:space="preserve"> (S. Morgenstern / “good parts” abridger), childhood obsession and parent→child relay of the text, and dialogue that reads forward against later mass face-covering (Fezzik / Man in Black: everybody in masks “in the near future,” “terribly comfortable”). André the Giant as Fezzik intersects the colossus / Andrey naming cluster explored in the full file.</w:t>
      </w:r>
    </w:p>
    <w:p>
      <w:r>
        <w:rPr>
          <w:b w:val="0"/>
          <w:i w:val="0"/>
        </w:rPr>
        <w:t xml:space="preserve">The narrator obtains his own copy, reads to his son, and discovers his father had skipped and edited Morgenstern aloud—the “original” was too dull; the character Goldman then publishes an abridgement that cuts boring stretches and keeps action and intrigue. </w:t>
      </w:r>
      <w:r>
        <w:rPr>
          <w:b/>
          <w:i w:val="0"/>
        </w:rPr>
        <w:t>Redaction is narrated as family editorial tradition</w:t>
      </w:r>
      <w:r>
        <w:rPr>
          <w:b w:val="0"/>
          <w:i w:val="0"/>
        </w:rPr>
        <w:t xml:space="preserve">: the printed book is not the whole posited text—shape of a confession under the joke. Full analysis: </w:t>
      </w:r>
      <w:hyperlink r:id="rId210">
        <w:r>
          <w:rPr>
            <w:b w:val="0"/>
            <w:i w:val="0"/>
            <w:color w:val="B8860B"/>
          </w:rPr>
          <w:t>Princess Bride investigation</w:t>
        </w:r>
      </w:hyperlink>
      <w:r>
        <w:rPr>
          <w:b w:val="0"/>
          <w:i w:val="0"/>
        </w:rPr>
        <w:t>.</w:t>
      </w:r>
    </w:p>
    <w:p>
      <w:r>
        <w:rPr>
          <w:b w:val="0"/>
          <w:i w:val="0"/>
        </w:rPr>
        <w:t xml:space="preserve">Decades after World War II, the public quarrel with myth-making and documentary-framed fiction (Wells, Tolkien, and parallel fights over who owns science and history, including figures such as Einstein) had faded from living memory. </w:t>
      </w:r>
      <w:r>
        <w:rPr>
          <w:b/>
          <w:i w:val="0"/>
        </w:rPr>
        <w:t>Predictive programming in print could proceed without the same visible establishment backlash</w:t>
      </w:r>
      <w:r>
        <w:rPr>
          <w:b w:val="0"/>
          <w:i w:val="0"/>
        </w:rPr>
        <w:t xml:space="preserve"> that marked the late nineteenth and early twentieth centuries.</w:t>
      </w:r>
    </w:p>
    <w:p>
      <w:r>
        <w:rPr>
          <w:b w:val="0"/>
          <w:i w:val="0"/>
        </w:rPr>
        <w:t xml:space="preserve">By the 1970s, successful, connected writers—Goldman had major screen success after </w:t>
      </w:r>
      <w:r>
        <w:rPr>
          <w:b w:val="0"/>
          <w:i/>
        </w:rPr>
        <w:t>Butch Cassidy and the Sundance Kid</w:t>
      </w:r>
      <w:r>
        <w:rPr>
          <w:b w:val="0"/>
          <w:i w:val="0"/>
        </w:rPr>
        <w:t xml:space="preserve"> (1969) and Knopf-tier novel placement—sit where </w:t>
      </w:r>
      <w:r>
        <w:rPr>
          <w:b/>
          <w:i w:val="0"/>
        </w:rPr>
        <w:t>institutional favors</w:t>
      </w:r>
      <w:r>
        <w:rPr>
          <w:b w:val="0"/>
          <w:i w:val="0"/>
        </w:rPr>
        <w:t xml:space="preserve"> may be called in: multi-category encoding in one popular package. Sole authorship as the complete explanation is treated as unsettled; circumstantial overlap points to a mass-publishing layer that promotes and buries according to agenda, not merit alone. Full argument, key findings, and evidence checks: </w:t>
      </w:r>
      <w:hyperlink r:id="rId210">
        <w:r>
          <w:rPr>
            <w:b w:val="0"/>
            <w:i w:val="0"/>
            <w:color w:val="B8860B"/>
          </w:rPr>
          <w:t>Princess Bride — Andronicus, Fezzik, COVID mask line, Morgenstern frame (investigation)</w:t>
        </w:r>
      </w:hyperlink>
      <w:r>
        <w:rPr>
          <w:b w:val="0"/>
          <w:i w:val="0"/>
        </w:rPr>
        <w:t>.</w:t>
      </w:r>
    </w:p>
    <w:p>
      <w:r>
        <w:rPr>
          <w:b w:val="0"/>
          <w:i w:val="0"/>
        </w:rPr>
        <w:t xml:space="preserve">Orthodoxy treats S. Morgenstern as pure fiction. The open investigation holds it very likely that Morgenstern was real (or named a real lost line of text) and that Goldman would not have risked the 1973 book if a </w:t>
      </w:r>
      <w:r>
        <w:rPr>
          <w:b/>
          <w:i w:val="0"/>
        </w:rPr>
        <w:t>checkable Morgenstern edition</w:t>
      </w:r>
      <w:r>
        <w:rPr>
          <w:b w:val="0"/>
          <w:i w:val="0"/>
        </w:rPr>
        <w:t xml:space="preserve"> could still surface. Whoever cleared the project would need confidence that the underlying work was gone from circulation—finally eliminated—before releasing a replacement framed as abridgement and meta-joke. That window coincides with room for a new “historic fantasy” genre shell: copyright fiction, ironic distance, no public compare to a missing original. </w:t>
      </w:r>
      <w:hyperlink r:id="rId210">
        <w:r>
          <w:rPr>
            <w:b w:val="0"/>
            <w:i w:val="0"/>
            <w:color w:val="B8860B"/>
          </w:rPr>
          <w:t>Investigation — Key findings §5 and Conclusion subsection</w:t>
        </w:r>
      </w:hyperlink>
      <w:r>
        <w:rPr>
          <w:b w:val="0"/>
          <w:i w:val="0"/>
        </w:rPr>
        <w:t>.</w:t>
      </w:r>
    </w:p>
    <w:p>
      <w:r>
        <w:rPr>
          <w:b w:val="0"/>
          <w:i w:val="0"/>
        </w:rPr>
        <w:t xml:space="preserve">The novel flatters impatience with anything that is not immediate plot: reasons, kingdoms, traditions, Morgenstern’s historical satire—all filed as dull unless the father or abridger cuts to action. Ancient or dense matter is framed as boring from a small boy’s point of view; the text then serves torture, court intrigue, and war as entertainment rather than as material the reader is asked to place in real historical coordinates. </w:t>
      </w:r>
      <w:r>
        <w:rPr>
          <w:b/>
          <w:i w:val="0"/>
        </w:rPr>
        <w:t>Identification is explicit</w:t>
      </w:r>
      <w:r>
        <w:rPr>
          <w:b w:val="0"/>
          <w:i w:val="0"/>
        </w:rPr>
        <w:t xml:space="preserve">: the audience stands with the child listener who only wants to be amused and to skip the heavy parts. On this site’s working reading, that joke overlaps a model of mass readership as </w:t>
      </w:r>
      <w:r>
        <w:rPr>
          <w:b w:val="0"/>
          <w:i/>
        </w:rPr>
        <w:t>anti-curious</w:t>
      </w:r>
      <w:r>
        <w:rPr>
          <w:b w:val="0"/>
          <w:i w:val="0"/>
        </w:rPr>
        <w:t xml:space="preserve">—thrills over inquiry—while the “boring” layers remain where redacted history can hide. </w:t>
      </w:r>
      <w:hyperlink r:id="rId210">
        <w:r>
          <w:rPr>
            <w:b w:val="0"/>
            <w:i w:val="0"/>
            <w:color w:val="B8860B"/>
          </w:rPr>
          <w:t>Key findings §6; Anti-intellectual frame section</w:t>
        </w:r>
      </w:hyperlink>
      <w:r>
        <w:rPr>
          <w:b w:val="0"/>
          <w:i w:val="0"/>
        </w:rPr>
        <w:t>.</w:t>
      </w:r>
    </w:p>
    <w:p>
      <w:r>
        <w:rPr>
          <w:b w:val="0"/>
          <w:i w:val="0"/>
        </w:rPr>
        <w:t>If stakeholders bet on no surviving Morgenstern original, random obscurity is a weak explanation for that confidence. May 1933: Nazi Germany—mass public book burnings, including Berlin’s Bebelplatz, destroyed large stocks of targeted works—</w:t>
      </w:r>
      <w:hyperlink r:id="rId211">
        <w:r>
          <w:rPr>
            <w:b w:val="0"/>
            <w:i w:val="0"/>
            <w:color w:val="B8860B"/>
          </w:rPr>
          <w:t>Nazi book burnings</w:t>
        </w:r>
      </w:hyperlink>
      <w:r>
        <w:rPr>
          <w:b w:val="0"/>
          <w:i w:val="0"/>
        </w:rPr>
        <w:t>. Post-1945: German denazification and Italian / Allied purges—e.g. Allied Order No. 4 (13 May 1946), removal and destruction of fascist, militarist, and Nazi literature from libraries, schools, and bookstores—extend the same class of mechanisms. Hypothesis (no archival Morgenstern hit cited yet): a real line might have been lost in 1933 and/or caught in postwar sweeps, freeing a fictional Morgenstern abridgement—</w:t>
      </w:r>
      <w:r>
        <w:rPr>
          <w:b/>
          <w:i w:val="0"/>
        </w:rPr>
        <w:t>“perfect crime” shape</w:t>
      </w:r>
      <w:r>
        <w:rPr>
          <w:b w:val="0"/>
          <w:i w:val="0"/>
        </w:rPr>
        <w:t xml:space="preserve"> against provenance. </w:t>
      </w:r>
      <w:hyperlink r:id="rId210">
        <w:r>
          <w:rPr>
            <w:b w:val="0"/>
            <w:i w:val="0"/>
            <w:color w:val="B8860B"/>
          </w:rPr>
          <w:t>§5 coda; Book destruction (1933, 1946) and the “perfect crime” window</w:t>
        </w:r>
      </w:hyperlink>
      <w:r>
        <w:rPr>
          <w:b w:val="0"/>
          <w:i w:val="0"/>
        </w:rPr>
        <w:t>.</w:t>
      </w:r>
    </w:p>
    <w:p>
      <w:pPr>
        <w:pStyle w:val="Heading4"/>
        <w:keepNext/>
        <w:keepLines/>
      </w:pPr>
      <w:r>
        <w:t>Real geography inside the fairy tale: Florin and Guilder as thin overlay</w:t>
      </w:r>
    </w:p>
    <w:p>
      <w:r>
        <w:rPr>
          <w:b w:val="0"/>
          <w:i w:val="0"/>
        </w:rPr>
        <w:t xml:space="preserve">The Morgenstern / “good parts” diegesis (from </w:t>
      </w:r>
      <w:r>
        <w:rPr>
          <w:b w:val="0"/>
          <w:i/>
        </w:rPr>
        <w:t>The Bride</w:t>
      </w:r>
      <w:r>
        <w:rPr>
          <w:b w:val="0"/>
          <w:i w:val="0"/>
        </w:rPr>
        <w:t xml:space="preserve"> onward in the 1973 novel) </w:t>
      </w:r>
      <w:r>
        <w:rPr>
          <w:b/>
          <w:i w:val="0"/>
        </w:rPr>
        <w:t>names real countries, cities, and regions</w:t>
      </w:r>
      <w:r>
        <w:rPr>
          <w:b w:val="0"/>
          <w:i w:val="0"/>
        </w:rPr>
        <w:t xml:space="preserve"> throughout: Paris, Sussex, the Thames, London, America; Central Spain, Toledo, Madrid; Venice, Bruges, Budapest; Spain, Portugal, France, Italy, Germany, Switzerland, the Balkans, Scandinavia, Mother Russia, the Mediterranean; Turkey with </w:t>
      </w:r>
      <w:r>
        <w:rPr>
          <w:b/>
          <w:i w:val="0"/>
        </w:rPr>
        <w:t>Constantinople</w:t>
      </w:r>
      <w:r>
        <w:rPr>
          <w:b w:val="0"/>
          <w:i w:val="0"/>
        </w:rPr>
        <w:t xml:space="preserve">, Sandiki, Ispir, Bolu, Zile, Simal; Greece, Bulgaria, Yugoslavia, Czechoslovakia, Romania; Mongolia, the Gobi, Greenland; Korea, Siam, India, Bengal, Indonesia; Patagonia; Liverpool; zoological pins (Orinoco, Zambesi, ocean off India); Araby / Arabian; Voltaire, the Duke de Guiche; historical fencing masters (Agrippa, Bonetti, Thibault, Capo Ferro, Fabris; Corsica / Bastia; MacPherson the Scot); ethnic tags in dialogue (Spaniard, Sicilian, Turk, Polack). Florin is set </w:t>
      </w:r>
      <w:r>
        <w:rPr>
          <w:b/>
          <w:i w:val="0"/>
        </w:rPr>
        <w:t>between where Sweden and Germany would eventually settle</w:t>
      </w:r>
      <w:r>
        <w:rPr>
          <w:b w:val="0"/>
          <w:i w:val="0"/>
        </w:rPr>
        <w:t xml:space="preserve">, with parenthetical jokes about “before Europe” and “after Paris.” </w:t>
      </w:r>
      <w:r>
        <w:rPr>
          <w:b/>
          <w:i w:val="0"/>
        </w:rPr>
        <w:t>Plot sovereignty</w:t>
      </w:r>
      <w:r>
        <w:rPr>
          <w:b w:val="0"/>
          <w:i w:val="0"/>
        </w:rPr>
        <w:t xml:space="preserve"> still sits in </w:t>
      </w:r>
      <w:r>
        <w:rPr>
          <w:b/>
          <w:i w:val="0"/>
        </w:rPr>
        <w:t>Florin, Guilder, Florin City</w:t>
      </w:r>
      <w:r>
        <w:rPr>
          <w:b w:val="0"/>
          <w:i w:val="0"/>
        </w:rPr>
        <w:t>, and the Channel.</w:t>
      </w:r>
    </w:p>
    <w:p>
      <w:r>
        <w:rPr>
          <w:b w:val="0"/>
          <w:i w:val="0"/>
        </w:rPr>
      </w:r>
      <w:r>
        <w:rPr>
          <w:b/>
          <w:i w:val="0"/>
        </w:rPr>
        <w:t>User sentiment (captured here):</w:t>
      </w:r>
      <w:r>
        <w:rPr>
          <w:b w:val="0"/>
          <w:i w:val="0"/>
        </w:rPr>
        <w:t xml:space="preserve"> That mix does not read as a sealed secondary world; it reads as </w:t>
      </w:r>
      <w:r>
        <w:rPr>
          <w:b/>
          <w:i w:val="0"/>
        </w:rPr>
        <w:t>real history and real maps with a mask</w:t>
      </w:r>
      <w:r>
        <w:rPr>
          <w:b w:val="0"/>
          <w:i w:val="0"/>
        </w:rPr>
        <w:t xml:space="preserve">. The author </w:t>
      </w:r>
      <w:r>
        <w:rPr>
          <w:b/>
          <w:i w:val="0"/>
        </w:rPr>
        <w:t>majorly padded</w:t>
      </w:r>
      <w:r>
        <w:rPr>
          <w:b w:val="0"/>
          <w:i w:val="0"/>
        </w:rPr>
        <w:t xml:space="preserve"> the invented realm with </w:t>
      </w:r>
      <w:r>
        <w:rPr>
          <w:b/>
          <w:i w:val="0"/>
        </w:rPr>
        <w:t>real locations and real historical texture</w:t>
      </w:r>
      <w:r>
        <w:rPr>
          <w:b w:val="0"/>
          <w:i w:val="0"/>
        </w:rPr>
        <w:t xml:space="preserve">, which makes the </w:t>
      </w:r>
      <w:r>
        <w:rPr>
          <w:b/>
          <w:i w:val="0"/>
        </w:rPr>
        <w:t>fictional kingdoms more suspicious, not more grounded</w:t>
      </w:r>
      <w:r>
        <w:rPr>
          <w:b w:val="0"/>
          <w:i w:val="0"/>
        </w:rPr>
        <w:t xml:space="preserve">—as if the text </w:t>
      </w:r>
      <w:r>
        <w:rPr>
          <w:b/>
          <w:i w:val="0"/>
        </w:rPr>
        <w:t>trained</w:t>
      </w:r>
      <w:r>
        <w:rPr>
          <w:b w:val="0"/>
          <w:i w:val="0"/>
        </w:rPr>
        <w:t xml:space="preserve"> the reader’s mental map on Earth and then </w:t>
      </w:r>
      <w:r>
        <w:rPr>
          <w:b/>
          <w:i w:val="0"/>
        </w:rPr>
        <w:t>swapped</w:t>
      </w:r>
      <w:r>
        <w:rPr>
          <w:b w:val="0"/>
          <w:i w:val="0"/>
        </w:rPr>
        <w:t xml:space="preserve"> the crown labels. Chronological collage is </w:t>
      </w:r>
      <w:r>
        <w:rPr>
          <w:b/>
          <w:i w:val="0"/>
        </w:rPr>
        <w:t>advertised</w:t>
      </w:r>
      <w:r>
        <w:rPr>
          <w:b w:val="0"/>
          <w:i w:val="0"/>
        </w:rPr>
        <w:t xml:space="preserve">, not hidden. Mainstream reading: comic anachronism. This appendix’s working fork: </w:t>
      </w:r>
      <w:r>
        <w:rPr>
          <w:b/>
          <w:i w:val="0"/>
        </w:rPr>
        <w:t>deliberate</w:t>
      </w:r>
      <w:r>
        <w:rPr>
          <w:b w:val="0"/>
          <w:i w:val="0"/>
        </w:rPr>
        <w:t xml:space="preserve"> fiction-built-on-history, compatible with encoding and redacted-chronology investigation—</w:t>
      </w:r>
      <w:r>
        <w:rPr>
          <w:b/>
          <w:i w:val="0"/>
        </w:rPr>
        <w:t>high</w:t>
      </w:r>
      <w:r>
        <w:rPr>
          <w:b w:val="0"/>
          <w:i w:val="0"/>
        </w:rPr>
        <w:t xml:space="preserve"> confidence on density of real names in text; </w:t>
      </w:r>
      <w:r>
        <w:rPr>
          <w:b/>
          <w:i w:val="0"/>
        </w:rPr>
        <w:t>low</w:t>
      </w:r>
      <w:r>
        <w:rPr>
          <w:b w:val="0"/>
          <w:i w:val="0"/>
        </w:rPr>
        <w:t xml:space="preserve"> on proof of private authorial intent. Full inventory, reading fork, and cross-links: </w:t>
      </w:r>
      <w:hyperlink r:id="rId210">
        <w:r>
          <w:rPr>
            <w:b w:val="0"/>
            <w:i w:val="0"/>
            <w:color w:val="B8860B"/>
          </w:rPr>
          <w:t>Princess Bride investigation — Key findings §7; Morgenstern layer: real Earth geography as padding</w:t>
        </w:r>
      </w:hyperlink>
      <w:r>
        <w:rPr>
          <w:b w:val="0"/>
          <w:i w:val="0"/>
        </w:rPr>
        <w:t>.</w:t>
      </w:r>
    </w:p>
    <w:p>
      <w:pPr>
        <w:pStyle w:val="Heading3"/>
        <w:keepNext/>
        <w:keepLines/>
      </w:pPr>
      <w:r>
        <w:t>Orson Scott Card (b. 1951)</w:t>
      </w:r>
    </w:p>
    <w:p>
      <w:r>
        <w:rPr>
          <w:b w:val="0"/>
          <w:i/>
        </w:rPr>
        <w:t>Ender's Game</w:t>
      </w:r>
      <w:r>
        <w:rPr>
          <w:b w:val="0"/>
          <w:i w:val="0"/>
        </w:rPr>
        <w:t xml:space="preserve"> (1985): a child commands planetary destruction via "simulations" that are real battles; telepathic hive-mind; secondary discharge destroys the attacker's fleet. U.S. Marine Corps Reading List. Drone warfare replicates the scenario. Mars catastrophe retold. Pattern (planet attacks, blow-back) in Wells, Lovecraft, Lucas, Hubbard, </w:t>
      </w:r>
      <w:r>
        <w:rPr>
          <w:b w:val="0"/>
          <w:i/>
        </w:rPr>
        <w:t>Stargate</w:t>
      </w:r>
      <w:r>
        <w:rPr>
          <w:b w:val="0"/>
          <w:i w:val="0"/>
        </w:rPr>
        <w:t>—</w:t>
      </w:r>
      <w:r>
        <w:rPr>
          <w:b/>
          <w:i w:val="0"/>
        </w:rPr>
        <w:t>common source</w:t>
      </w:r>
      <w:r>
        <w:rPr>
          <w:b w:val="0"/>
          <w:i w:val="0"/>
        </w:rPr>
        <w:t xml:space="preserve"> hypothesis.</w:t>
      </w:r>
    </w:p>
    <w:p/>
    <w:p>
      <w:pPr>
        <w:jc w:val="center"/>
      </w:pPr>
      <w:r>
        <w:rPr>
          <w:color w:val="B8860B"/>
          <w:sz w:val="24"/>
        </w:rPr>
        <w:t>— ✦ —</w:t>
      </w:r>
    </w:p>
    <w:p>
      <w:r>
        <w:rPr>
          <w:b w:val="0"/>
          <w:i w:val="0"/>
        </w:rPr>
        <w:t xml:space="preserve">This appendix extends </w:t>
      </w:r>
      <w:hyperlink r:id="rId28">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3"/>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3"/>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3"/>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3"/>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3"/>
        <w:keepNext/>
        <w:keepLines/>
      </w:pPr>
      <w:r>
        <w:t>See Also</w:t>
      </w:r>
    </w:p>
    <w:p>
      <w:pPr>
        <w:pStyle w:val="ListBullet"/>
        <w:spacing w:before="20" w:after="20"/>
      </w:pPr>
      <w:hyperlink r:id="rId28">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jc w:val="center"/>
      </w:pPr>
      <w:r>
        <w:rPr>
          <w:color w:val="B8860B"/>
          <w:sz w:val="24"/>
        </w:rPr>
        <w:t>— ✦ —</w:t>
      </w:r>
    </w:p>
    <w:p>
      <w:r>
        <w:rPr>
          <w:b w:val="0"/>
          <w:i w:val="0"/>
        </w:rPr>
        <w:t xml:space="preserve">This appendix provides detailed author profiles and textual evidence supporting the argument in </w:t>
      </w:r>
      <w:hyperlink r:id="rId212">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H.G. Wells (1866–1946): The Inversion and Beyond</w:t>
      </w:r>
    </w:p>
    <w:p>
      <w:r>
        <w:rPr>
          <w:b w:val="0"/>
          <w:i w:val="0"/>
        </w:rPr>
        <w:t xml:space="preserve">Wells published </w:t>
      </w:r>
      <w:r>
        <w:rPr>
          <w:b w:val="0"/>
          <w:i/>
        </w:rPr>
        <w:t>The Island of Dr. Moreau</w:t>
      </w:r>
      <w:r>
        <w:rPr>
          <w:b w:val="0"/>
          <w:i w:val="0"/>
        </w:rPr>
        <w:t xml:space="preserve"> (1896) and </w:t>
      </w:r>
      <w:r>
        <w:rPr>
          <w:b w:val="0"/>
          <w:i/>
        </w:rPr>
        <w:t>The Crystal Egg</w:t>
      </w:r>
      <w:r>
        <w:rPr>
          <w:b w:val="0"/>
          <w:i w:val="0"/>
        </w:rPr>
        <w:t xml:space="preserve"> / </w:t>
      </w:r>
      <w:r>
        <w:rPr>
          <w:b w:val="0"/>
          <w:i/>
        </w:rPr>
        <w:t>War of the Worlds</w:t>
      </w:r>
      <w:r>
        <w:rPr>
          <w:b w:val="0"/>
          <w:i w:val="0"/>
        </w:rPr>
        <w:t xml:space="preserve"> (1897–98). His Mars work is documented elsewhere in this appendix. </w:t>
      </w:r>
      <w:r>
        <w:rPr>
          <w:b w:val="0"/>
          <w:i/>
        </w:rPr>
        <w:t>Moreau</w:t>
      </w:r>
      <w:r>
        <w:rPr>
          <w:b w:val="0"/>
          <w:i w:val="0"/>
        </w:rPr>
        <w:t xml:space="preserve"> — published one year before </w:t>
      </w:r>
      <w:r>
        <w:rPr>
          <w:b w:val="0"/>
          <w:i/>
        </w:rPr>
        <w:t>Dracula</w:t>
      </w:r>
      <w:r>
        <w:rPr>
          <w:b w:val="0"/>
          <w:i w:val="0"/>
        </w:rPr>
        <w:t xml:space="preserve"> and two before </w:t>
      </w:r>
      <w:r>
        <w:rPr>
          <w:b w:val="0"/>
          <w:i/>
        </w:rPr>
        <w:t>War of the Worlds</w:t>
      </w:r>
      <w:r>
        <w:rPr>
          <w:b w:val="0"/>
          <w:i w:val="0"/>
        </w:rPr>
        <w:t xml:space="preserve"> — encodes gland/blood experimentation: blood transfusion as Moreau's scientific origin, endocrine language ("modifications of the passions," "alterations in the secretion of fatty tissue"), scarlet restorative "that tasted like blood," Law forbidding the taste of blood, House of Pain. Wells never describes how surgery produced the Beast Folk; his descriptions fit pineal/gland manipulation and blood-eating. Cross-read with Dracula, Thompson. See </w:t>
      </w:r>
      <w:hyperlink r:id="rId164">
        <w:r>
          <w:rPr>
            <w:b w:val="0"/>
            <w:i w:val="0"/>
            <w:color w:val="B8860B"/>
          </w:rPr>
          <w:t>Moreau investigation</w:t>
        </w:r>
      </w:hyperlink>
      <w:r>
        <w:rPr>
          <w:b w:val="0"/>
          <w:i w:val="0"/>
        </w:rPr>
        <w:t xml:space="preserve">. Evidence suggests Wells was likely </w:t>
      </w:r>
      <w:r>
        <w:rPr>
          <w:b w:val="0"/>
          <w:i/>
        </w:rPr>
        <w:t>compromised</w:t>
      </w:r>
      <w:r>
        <w:rPr>
          <w:b w:val="0"/>
          <w:i w:val="0"/>
        </w:rPr>
        <w:t xml:space="preserve"> — he repeatedly damaged his reputation (attacks on James, affairs, plagiarism allegations) while producing fiction his publisher Macmillan admitted was not financially satisfactory; the pattern implies he was taking orders from powerful forces rather than pursuing rational self-interest. See </w:t>
      </w:r>
      <w:hyperlink r:id="rId199">
        <w:r>
          <w:rPr>
            <w:b w:val="0"/>
            <w:i w:val="0"/>
            <w:color w:val="B8860B"/>
          </w:rPr>
          <w:t>compromised court cases investigation</w:t>
        </w:r>
      </w:hyperlink>
      <w:r>
        <w:rPr>
          <w:b w:val="0"/>
          <w:i w:val="0"/>
        </w:rPr>
        <w:t>.</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r>
        <w:rPr>
          <w:b w:val="0"/>
          <w:i w:val="0"/>
        </w:rPr>
      </w:r>
      <w:r>
        <w:rPr>
          <w:b/>
          <w:i w:val="0"/>
        </w:rPr>
        <w:t>Cross-read:</w:t>
      </w:r>
      <w:r>
        <w:rPr>
          <w:b w:val="0"/>
          <w:i w:val="0"/>
        </w:rPr>
        <w:t xml:space="preserve"> Blood-as-transformation appears across Victorian and 20th-century encoding: Wells's </w:t>
      </w:r>
      <w:r>
        <w:rPr>
          <w:b w:val="0"/>
          <w:i/>
        </w:rPr>
        <w:t>Island of Dr. Moreau</w:t>
      </w:r>
      <w:r>
        <w:rPr>
          <w:b w:val="0"/>
          <w:i w:val="0"/>
        </w:rPr>
        <w:t xml:space="preserve"> (1896) — blood transfusion as Moreau's origin, endocrine language, gland experiments; Stoker's </w:t>
      </w:r>
      <w:r>
        <w:rPr>
          <w:b w:val="0"/>
          <w:i/>
        </w:rPr>
        <w:t>Dracula</w:t>
      </w:r>
      <w:r>
        <w:rPr>
          <w:b w:val="0"/>
          <w:i w:val="0"/>
        </w:rPr>
        <w:t xml:space="preserve"> (1897) — blood = youth renewal, Renfield's life-eating progression; Thompson (1971) — adrenochrome, pineal gland. See </w:t>
      </w:r>
      <w:hyperlink r:id="rId164">
        <w:r>
          <w:rPr>
            <w:b w:val="0"/>
            <w:i w:val="0"/>
            <w:color w:val="B8860B"/>
          </w:rPr>
          <w:t>Moreau</w:t>
        </w:r>
      </w:hyperlink>
      <w:r>
        <w:rPr>
          <w:b w:val="0"/>
          <w:i w:val="0"/>
        </w:rPr>
        <w:t xml:space="preserve"> | </w:t>
      </w:r>
      <w:hyperlink r:id="rId203">
        <w:r>
          <w:rPr>
            <w:b w:val="0"/>
            <w:i w:val="0"/>
            <w:color w:val="B8860B"/>
          </w:rPr>
          <w:t>Dracula</w:t>
        </w:r>
      </w:hyperlink>
      <w:r>
        <w:rPr>
          <w:b w:val="0"/>
          <w:i w:val="0"/>
        </w:rPr>
        <w:t xml:space="preserve"> | </w:t>
      </w:r>
      <w:hyperlink r:id="rId202">
        <w:r>
          <w:rPr>
            <w:b w:val="0"/>
            <w:i w:val="0"/>
            <w:color w:val="B8860B"/>
          </w:rPr>
          <w:t>Thompson</w:t>
        </w:r>
      </w:hyperlink>
      <w:r>
        <w:rPr>
          <w:b w:val="0"/>
          <w:i w:val="0"/>
        </w:rPr>
        <w:t>.</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213">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162">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28">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162">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67">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164">
        <w:r>
          <w:rPr>
            <w:b w:val="0"/>
            <w:i w:val="0"/>
            <w:color w:val="B8860B"/>
            <w:sz w:val="19"/>
          </w:rPr>
          <w:t>Island of Dr. Moreau: Gland/Blood Investigation</w:t>
        </w:r>
      </w:hyperlink>
      <w:r>
        <w:rPr>
          <w:b w:val="0"/>
          <w:i w:val="0"/>
          <w:sz w:val="19"/>
        </w:rPr>
        <w:t xml:space="preserve"> | </w:t>
      </w:r>
      <w:hyperlink r:id="rId203">
        <w:r>
          <w:rPr>
            <w:b w:val="0"/>
            <w:i w:val="0"/>
            <w:color w:val="B8860B"/>
            <w:sz w:val="19"/>
          </w:rPr>
          <w:t>Dracula: Book as Fact</w:t>
        </w:r>
      </w:hyperlink>
      <w:r>
        <w:rPr>
          <w:b w:val="0"/>
          <w:i w:val="0"/>
          <w:sz w:val="19"/>
        </w:rPr>
        <w:t xml:space="preserve"> | </w:t>
      </w:r>
      <w:hyperlink r:id="rId202">
        <w:r>
          <w:rPr>
            <w:b w:val="0"/>
            <w:i w:val="0"/>
            <w:color w:val="B8860B"/>
            <w:sz w:val="19"/>
          </w:rPr>
          <w:t>Thompson Managed Disclosure</w:t>
        </w:r>
      </w:hyperlink>
    </w:p>
    <w:p>
      <w:pPr>
        <w:pStyle w:val="ListBullet"/>
        <w:spacing w:before="20" w:after="20"/>
      </w:pPr>
      <w:hyperlink r:id="rId28">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212">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162">
        <w:r>
          <w:rPr>
            <w:b w:val="0"/>
            <w:i w:val="0"/>
            <w:color w:val="B8860B"/>
            <w:sz w:val="19"/>
          </w:rPr>
          <w:t>The Mars Catastrophe</w:t>
        </w:r>
      </w:hyperlink>
      <w:r>
        <w:rPr>
          <w:b w:val="0"/>
          <w:i w:val="0"/>
          <w:sz w:val="19"/>
        </w:rPr>
        <w:t xml:space="preserve"> — core theory</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214">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Controlled Opposition</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w:t>
        </w:r>
      </w:hyperlink>
    </w:p>
    <w:p/>
    <w:p>
      <w:pPr>
        <w:jc w:val="center"/>
      </w:pPr>
      <w:r>
        <w:rPr>
          <w:color w:val="B8860B"/>
          <w:sz w:val="24"/>
        </w:rPr>
        <w:t>— ✦ —</w:t>
      </w:r>
    </w:p>
    <w:p>
      <w:r>
        <w:rPr>
          <w:b w:val="0"/>
          <w:i w:val="0"/>
        </w:rPr>
        <w:t xml:space="preserve">This article provides the detailed evidentiary record supporting the assessment in </w:t>
      </w:r>
      <w:hyperlink r:id="rId192">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15">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215">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216">
        <w:r>
          <w:rPr>
            <w:b w:val="0"/>
            <w:i w:val="0"/>
            <w:color w:val="B8860B"/>
          </w:rPr>
          <w:t>King James Version</w:t>
        </w:r>
      </w:hyperlink>
      <w:r>
        <w:rPr>
          <w:b w:val="0"/>
          <w:i w:val="0"/>
        </w:rPr>
        <w:t xml:space="preserve"> and Vulgate are Reformation propaganda — Hordian chronicles seized, redacted, translated into </w:t>
      </w:r>
      <w:hyperlink r:id="rId201">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217">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201">
        <w:r>
          <w:rPr>
            <w:b w:val="0"/>
            <w:i w:val="0"/>
            <w:color w:val="B8860B"/>
          </w:rPr>
          <w:t>Latin</w:t>
        </w:r>
      </w:hyperlink>
      <w:r>
        <w:rPr>
          <w:b w:val="0"/>
          <w:i w:val="0"/>
        </w:rPr>
        <w:t xml:space="preserve"> derivatives, systematically erasing the memory of the empire. Those who remembered </w:t>
      </w:r>
      <w:hyperlink r:id="rId217">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218">
        <w:r>
          <w:rPr>
            <w:b w:val="0"/>
            <w:i w:val="0"/>
            <w:color w:val="B8860B"/>
          </w:rPr>
          <w:t>Jerusalem</w:t>
        </w:r>
      </w:hyperlink>
      <w:r>
        <w:rPr>
          <w:b w:val="0"/>
          <w:i w:val="0"/>
        </w:rPr>
        <w:t xml:space="preserve"> were accused of blasphemy and put to death.</w:t>
      </w:r>
    </w:p>
    <w:p>
      <w:r>
        <w:rPr>
          <w:b w:val="0"/>
          <w:i w:val="0"/>
        </w:rPr>
        <w:t xml:space="preserve">The </w:t>
      </w:r>
      <w:hyperlink r:id="rId219">
        <w:r>
          <w:rPr>
            <w:b w:val="0"/>
            <w:i w:val="0"/>
            <w:color w:val="B8860B"/>
          </w:rPr>
          <w:t>Romanov seizure</w:t>
        </w:r>
      </w:hyperlink>
      <w:r>
        <w:rPr>
          <w:b w:val="0"/>
          <w:i w:val="0"/>
        </w:rPr>
        <w:t xml:space="preserve"> formalized this into state policy for Russia. The </w:t>
      </w:r>
      <w:hyperlink r:id="rId220">
        <w:r>
          <w:rPr>
            <w:b w:val="0"/>
            <w:i w:val="0"/>
            <w:color w:val="B8860B"/>
          </w:rPr>
          <w:t>Scaligerian chronology</w:t>
        </w:r>
      </w:hyperlink>
      <w:r>
        <w:rPr>
          <w:b w:val="0"/>
          <w:i w:val="0"/>
        </w:rPr>
        <w:t xml:space="preserve"> provided the fraudulent timeline. The </w:t>
      </w:r>
      <w:hyperlink r:id="rId23">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221">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jc w:val="center"/>
      </w:pPr>
      <w:r>
        <w:rPr>
          <w:color w:val="B8860B"/>
          <w:sz w:val="24"/>
        </w:rPr>
        <w:t>— ✦ —</w:t>
      </w:r>
    </w:p>
    <w:p>
      <w:pPr>
        <w:pStyle w:val="Heading3"/>
        <w:keepNext/>
        <w:keepLines/>
      </w:pPr>
      <w:r>
        <w:t>1900–2026 CE —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3"/>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3"/>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3"/>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r>
      <w:r>
        <w:rPr>
          <w:b/>
          <w:i w:val="0"/>
        </w:rPr>
        <w:t>The forensic evidence is stronger than "no genre existed."</w:t>
      </w:r>
      <w:r>
        <w:rPr>
          <w:b w:val="0"/>
          <w:i w:val="0"/>
        </w:rPr>
        <w:t xml:space="preserve"> A </w:t>
      </w:r>
      <w:hyperlink r:id="rId191">
        <w:r>
          <w:rPr>
            <w:b w:val="0"/>
            <w:i w:val="0"/>
            <w:color w:val="B8860B"/>
          </w:rPr>
          <w:t>systematic survey</w:t>
        </w:r>
      </w:hyperlink>
      <w:r>
        <w:rPr>
          <w:b w:val="0"/>
          <w:i w:val="0"/>
        </w:rPr>
        <w:t xml:space="preserve"> of pre-20th-century authors reveals that the majority </w:t>
      </w:r>
      <w:r>
        <w:rPr>
          <w:b/>
          <w:i w:val="0"/>
        </w:rPr>
        <w:t>actively presented their works as factual records</w:t>
      </w:r>
      <w:r>
        <w:rPr>
          <w:b w:val="0"/>
          <w:i w:val="0"/>
        </w:rPr>
        <w:t xml:space="preserve"> — and never disclaimed them as invention. Defoe published </w:t>
      </w:r>
      <w:r>
        <w:rPr>
          <w:b w:val="0"/>
          <w:i/>
        </w:rPr>
        <w:t>Robinson Crusoe</w:t>
      </w:r>
      <w:r>
        <w:rPr>
          <w:b w:val="0"/>
          <w:i w:val="0"/>
        </w:rPr>
        <w:t xml:space="preserve"> (1719) as "Written by Himself" with no author attribution; Swift framed </w:t>
      </w:r>
      <w:r>
        <w:rPr>
          <w:b w:val="0"/>
          <w:i/>
        </w:rPr>
        <w:t>Gulliver's Travels</w:t>
      </w:r>
      <w:r>
        <w:rPr>
          <w:b w:val="0"/>
          <w:i w:val="0"/>
        </w:rPr>
        <w:t xml:space="preserve"> (1726) with a fake publisher and a letter from Gulliver complaining of editorial changes; Poe positioned himself as the </w:t>
      </w:r>
      <w:r>
        <w:rPr>
          <w:b/>
          <w:i w:val="0"/>
        </w:rPr>
        <w:t>editor</w:t>
      </w:r>
      <w:r>
        <w:rPr>
          <w:b w:val="0"/>
          <w:i w:val="0"/>
        </w:rPr>
        <w:t xml:space="preserve"> of </w:t>
      </w:r>
      <w:r>
        <w:rPr>
          <w:b w:val="0"/>
          <w:i/>
        </w:rPr>
        <w:t>Arthur Gordon Pym</w:t>
      </w:r>
      <w:r>
        <w:rPr>
          <w:b w:val="0"/>
          <w:i w:val="0"/>
        </w:rPr>
        <w:t xml:space="preserve"> (1838), claiming Pym published early chapters "under the garb of fiction"; Stoker's </w:t>
      </w:r>
      <w:hyperlink r:id="rId203">
        <w:r>
          <w:rPr>
            <w:b w:val="0"/>
            <w:i w:val="0"/>
            <w:color w:val="B8860B"/>
          </w:rPr>
          <w:t>Dracula (1897)</w:t>
        </w:r>
      </w:hyperlink>
      <w:r>
        <w:rPr>
          <w:b w:val="0"/>
          <w:i w:val="0"/>
        </w:rPr>
        <w:t xml:space="preserve"> preface states the records "may stand forth as simple fact" — the book operates with realistic physics; magic (bat, rat, mist) came from later films; disbelief rests largely on faith in vampire non-existence. Burroughs's </w:t>
      </w:r>
      <w:r>
        <w:rPr>
          <w:b w:val="0"/>
          <w:i/>
        </w:rPr>
        <w:t>A Princess of Mars</w:t>
      </w:r>
      <w:r>
        <w:rPr>
          <w:b w:val="0"/>
          <w:i w:val="0"/>
        </w:rPr>
        <w:t xml:space="preserve"> (1912) arrives as a manuscript from John Carter's will, with Burroughs as mere executor; Tolkien's </w:t>
      </w:r>
      <w:r>
        <w:rPr>
          <w:b w:val="0"/>
          <w:i/>
        </w:rPr>
        <w:t>Lord of the Rings</w:t>
      </w:r>
      <w:r>
        <w:rPr>
          <w:b w:val="0"/>
          <w:i w:val="0"/>
        </w:rPr>
        <w:t xml:space="preserve"> (1954) is a "translation" of the Red Book of Westmarch, complete with editorial apparatus and appendices modelled on the real </w:t>
      </w:r>
      <w:r>
        <w:rPr>
          <w:b w:val="0"/>
          <w:i/>
        </w:rPr>
        <w:t>Red Book of Hergest</w:t>
      </w:r>
      <w:r>
        <w:rPr>
          <w:b w:val="0"/>
          <w:i w:val="0"/>
        </w:rPr>
        <w:t xml:space="preserve">. Lovecraft's </w:t>
      </w:r>
      <w:r>
        <w:rPr>
          <w:b w:val="0"/>
          <w:i/>
        </w:rPr>
        <w:t>Call of Cthulhu</w:t>
      </w:r>
      <w:r>
        <w:rPr>
          <w:b w:val="0"/>
          <w:i w:val="0"/>
        </w:rPr>
        <w:t xml:space="preserve"> opens as documents "Found Among the Papers of the Late Francis Wayland Thurston." Of 12+ major authors surveyed, </w:t>
      </w:r>
      <w:r>
        <w:rPr>
          <w:b/>
          <w:i w:val="0"/>
        </w:rPr>
        <w:t>none included a "this is fiction" disclaimer.</w:t>
      </w:r>
      <w:r>
        <w:rPr>
          <w:b w:val="0"/>
          <w:i w:val="0"/>
        </w:rPr>
        <w:t xml:space="preserve"> The literary techniques — found manuscripts, fake editors, scholarly apparatus, eyewitness framing — are not genre conventions. They are the conventions of </w:t>
      </w:r>
      <w:r>
        <w:rPr>
          <w:b/>
          <w:i w:val="0"/>
        </w:rPr>
        <w:t>documentary record</w:t>
      </w:r>
      <w:r>
        <w:rPr>
          <w:b w:val="0"/>
          <w:i w:val="0"/>
        </w:rPr>
        <w:t xml:space="preserve">. These authors wrote inside a tradition where the boundary between testimony and invention had not yet been drawn — or more precisely, where the boundary was drawn </w:t>
      </w:r>
      <w:r>
        <w:rPr>
          <w:b w:val="0"/>
          <w:i/>
        </w:rPr>
        <w:t>later</w:t>
      </w:r>
      <w:r>
        <w:rPr>
          <w:b w:val="0"/>
          <w:i w:val="0"/>
        </w:rPr>
        <w:t>, around them, to neutralise what they had published.</w:t>
      </w:r>
    </w:p>
    <w:p>
      <w:r>
        <w:rPr>
          <w:b w:val="0"/>
          <w:i w:val="0"/>
        </w:rPr>
        <w:t xml:space="preserve">This mechanism is most visible in the case of </w:t>
      </w:r>
      <w:hyperlink r:id="rId212">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3"/>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130">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4">
        <w:r>
          <w:rPr>
            <w:b w:val="0"/>
            <w:i w:val="0"/>
            <w:color w:val="B8860B"/>
          </w:rPr>
          <w:t>The Thunderbolts Project: A Case Study in Managed Disclosure</w:t>
        </w:r>
      </w:hyperlink>
      <w:r>
        <w:rPr>
          <w:b w:val="0"/>
          <w:i w:val="0"/>
        </w:rPr>
        <w:t>.</w:t>
      </w:r>
    </w:p>
    <w:p>
      <w:pPr>
        <w:pStyle w:val="Heading3"/>
        <w:keepNext/>
        <w:keepLines/>
      </w:pPr>
      <w:r>
        <w:t>Author's theory: Velikovsky and Talbott as divide-and-conquer</w:t>
      </w:r>
    </w:p>
    <w:p>
      <w:r>
        <w:rPr>
          <w:b w:val="0"/>
          <w:i w:val="0"/>
        </w:rPr>
      </w:r>
      <w:r>
        <w:rPr>
          <w:b/>
          <w:i w:val="0"/>
        </w:rPr>
        <w:t>Author's thesis:</w:t>
      </w:r>
      <w:r>
        <w:rPr>
          <w:b w:val="0"/>
          <w:i w:val="0"/>
        </w:rPr>
        <w:t xml:space="preserve"> The public record of Saturnian cosmology has a telling gap. No authors are known to have published on Saturnian cosmology before </w:t>
      </w:r>
      <w:r>
        <w:rPr>
          <w:b/>
          <w:i w:val="0"/>
        </w:rPr>
        <w:t>Velikovsky</w:t>
      </w:r>
      <w:r>
        <w:rPr>
          <w:b w:val="0"/>
          <w:i w:val="0"/>
        </w:rPr>
        <w:t xml:space="preserve"> — and in his published work he </w:t>
      </w:r>
      <w:r>
        <w:rPr>
          <w:b/>
          <w:i w:val="0"/>
        </w:rPr>
        <w:t>left out Saturn</w:t>
      </w:r>
      <w:r>
        <w:rPr>
          <w:b w:val="0"/>
          <w:i w:val="0"/>
        </w:rPr>
        <w:t xml:space="preserve">, despite (as his unpublished manuscript and later Talbott attest) having identified Saturn as the dominant heavenly body and with the Golden Age. Then no one published on Saturnian cosmology </w:t>
      </w:r>
      <w:r>
        <w:rPr>
          <w:b/>
          <w:i w:val="0"/>
        </w:rPr>
        <w:t>including Saturn</w:t>
      </w:r>
      <w:r>
        <w:rPr>
          <w:b w:val="0"/>
          <w:i w:val="0"/>
        </w:rPr>
        <w:t xml:space="preserve"> before </w:t>
      </w:r>
      <w:r>
        <w:rPr>
          <w:b/>
          <w:i w:val="0"/>
        </w:rPr>
        <w:t>Talbott</w:t>
      </w:r>
      <w:r>
        <w:rPr>
          <w:b w:val="0"/>
          <w:i w:val="0"/>
        </w:rPr>
        <w:t xml:space="preserve"> — but Talbott and the Thunderbolts project, while putting Saturn back in, created a </w:t>
      </w:r>
      <w:r>
        <w:rPr>
          <w:b/>
          <w:i w:val="0"/>
        </w:rPr>
        <w:t>boundary specific to the Golden Age</w:t>
      </w:r>
      <w:r>
        <w:rPr>
          <w:b w:val="0"/>
          <w:i w:val="0"/>
        </w:rPr>
        <w:t xml:space="preserve">: an interval within which inquiry is permitted, and </w:t>
      </w:r>
      <w:r>
        <w:rPr>
          <w:b/>
          <w:i w:val="0"/>
        </w:rPr>
        <w:t>beyond which</w:t>
      </w:r>
      <w:r>
        <w:rPr>
          <w:b w:val="0"/>
          <w:i w:val="0"/>
        </w:rPr>
        <w:t xml:space="preserve"> discussion of what happened after the Golden Age is effectively forbidden or marginalised. That control position — the permitted "Saturn was once our sun" narrative with a hard stop before chronology, Bible, or post–Golden Age catastrophe — can be referenced in </w:t>
      </w:r>
      <w:r>
        <w:rPr>
          <w:b/>
          <w:i w:val="0"/>
        </w:rPr>
        <w:t>Jno Cook's writings</w:t>
      </w:r>
      <w:r>
        <w:rPr>
          <w:b w:val="0"/>
          <w:i w:val="0"/>
        </w:rPr>
        <w:t xml:space="preserve"> on the Thunderbolts project (Cook did not use the phrase "controlled opposition," but his analysis of the project's boundaries and deletions supports the reading; the author applies the term here).</w:t>
      </w:r>
    </w:p>
    <w:p>
      <w:r>
        <w:rPr>
          <w:b w:val="0"/>
          <w:i w:val="0"/>
        </w:rPr>
      </w:r>
      <w:r>
        <w:rPr>
          <w:b/>
          <w:i w:val="0"/>
        </w:rPr>
        <w:t>Divide-and-conquer:</w:t>
      </w:r>
      <w:r>
        <w:rPr>
          <w:b w:val="0"/>
          <w:i w:val="0"/>
        </w:rPr>
        <w:t xml:space="preserve"> Velikovsky and Talbott (and the camps around them) can be read as a </w:t>
      </w:r>
      <w:r>
        <w:rPr>
          <w:b/>
          <w:i w:val="0"/>
        </w:rPr>
        <w:t>deliberate strategy</w:t>
      </w:r>
      <w:r>
        <w:rPr>
          <w:b w:val="0"/>
          <w:i w:val="0"/>
        </w:rPr>
        <w:t xml:space="preserve">. Velikovsky opens the door to catastrophism and ancient planetary disorder but omits Saturn; Talbott restores Saturn but draws a line that keeps the most dangerous connections off the table. The result is a </w:t>
      </w:r>
      <w:r>
        <w:rPr>
          <w:b/>
          <w:i w:val="0"/>
        </w:rPr>
        <w:t>controversy</w:t>
      </w:r>
      <w:r>
        <w:rPr>
          <w:b w:val="0"/>
          <w:i w:val="0"/>
        </w:rPr>
        <w:t xml:space="preserve"> in which each side accuses the other of being wrong — Velikovskians vs. Talbott/Thunderbolts, or mainstream vs. both — and the </w:t>
      </w:r>
      <w:r>
        <w:rPr>
          <w:b/>
          <w:i w:val="0"/>
        </w:rPr>
        <w:t>general public</w:t>
      </w:r>
      <w:r>
        <w:rPr>
          <w:b w:val="0"/>
          <w:i w:val="0"/>
        </w:rPr>
        <w:t xml:space="preserve"> watches and concludes that </w:t>
      </w:r>
      <w:r>
        <w:rPr>
          <w:b/>
          <w:i w:val="0"/>
        </w:rPr>
        <w:t>both</w:t>
      </w:r>
      <w:r>
        <w:rPr>
          <w:b w:val="0"/>
          <w:i w:val="0"/>
        </w:rPr>
        <w:t xml:space="preserve"> are wrong. Researchers interested in these topics are caught in the crossfire and cannot easily go further; the field is contained.</w:t>
      </w:r>
    </w:p>
    <w:p>
      <w:r>
        <w:rPr>
          <w:b w:val="0"/>
          <w:i w:val="0"/>
        </w:rPr>
      </w:r>
      <w:r>
        <w:rPr>
          <w:b/>
          <w:i w:val="0"/>
        </w:rPr>
        <w:t>Talbott and associates as controlled opposition:</w:t>
      </w:r>
      <w:r>
        <w:rPr>
          <w:b w:val="0"/>
          <w:i w:val="0"/>
        </w:rPr>
        <w:t xml:space="preserve"> Talbott and many of the people he worked with appear, in this reading, to function as </w:t>
      </w:r>
      <w:r>
        <w:rPr>
          <w:b/>
          <w:i w:val="0"/>
        </w:rPr>
        <w:t>controlled opposition</w:t>
      </w:r>
      <w:r>
        <w:rPr>
          <w:b w:val="0"/>
          <w:i w:val="0"/>
        </w:rPr>
        <w:t xml:space="preserve"> to a high degree. They present as bumbling, not very scientific or serious or accurate, and advance theories that are </w:t>
      </w:r>
      <w:r>
        <w:rPr>
          <w:b/>
          <w:i w:val="0"/>
        </w:rPr>
        <w:t>clearly flawed</w:t>
      </w:r>
      <w:r>
        <w:rPr>
          <w:b w:val="0"/>
          <w:i w:val="0"/>
        </w:rPr>
        <w:t xml:space="preserve"> — for example pushing a </w:t>
      </w:r>
      <w:r>
        <w:rPr>
          <w:b/>
          <w:i w:val="0"/>
        </w:rPr>
        <w:t>collinear configuration with gravity</w:t>
      </w:r>
      <w:r>
        <w:rPr>
          <w:b w:val="0"/>
          <w:i w:val="0"/>
        </w:rPr>
        <w:t xml:space="preserve"> that is physically untenable and that mainstream scientists can easily dismiss. That kind of formulation can </w:t>
      </w:r>
      <w:r>
        <w:rPr>
          <w:b/>
          <w:i w:val="0"/>
        </w:rPr>
        <w:t>cause major delays</w:t>
      </w:r>
      <w:r>
        <w:rPr>
          <w:b w:val="0"/>
          <w:i w:val="0"/>
        </w:rPr>
        <w:t xml:space="preserve"> in the general population of scientists (or the educated public) taking any of this seriously. It acts as a </w:t>
      </w:r>
      <w:r>
        <w:rPr>
          <w:b/>
          <w:i w:val="0"/>
        </w:rPr>
        <w:t>straw man</w:t>
      </w:r>
      <w:r>
        <w:rPr>
          <w:b w:val="0"/>
          <w:i w:val="0"/>
        </w:rPr>
        <w:t>: the "catastrophist" or "Electric Universe" position is identified with these weak or indefensible claims, so that the entire tradition is tarred and serious work (e.g. Cook's chronology, Peratt's plasma archaeology, Thornhill's EU mechanism) is lumped in and dismissed.</w:t>
      </w:r>
    </w:p>
    <w:p>
      <w:r>
        <w:rPr>
          <w:b w:val="0"/>
          <w:i w:val="0"/>
        </w:rPr>
      </w:r>
      <w:r>
        <w:rPr>
          <w:b/>
          <w:i w:val="0"/>
        </w:rPr>
        <w:t>Thornhill as the exception:</w:t>
      </w:r>
      <w:r>
        <w:rPr>
          <w:b w:val="0"/>
          <w:i w:val="0"/>
        </w:rPr>
        <w:t xml:space="preserve"> In contrast to that pattern, </w:t>
      </w:r>
      <w:r>
        <w:rPr>
          <w:b/>
          <w:i w:val="0"/>
        </w:rPr>
        <w:t>Wallace Thornhill</w:t>
      </w:r>
      <w:r>
        <w:rPr>
          <w:b w:val="0"/>
          <w:i w:val="0"/>
        </w:rPr>
        <w:t xml:space="preserve"> does not appear to be a controlled opposition agent. Although he was associated with Talbott and the Thunderbolts project, Thornhill — in the author's assessment — seems to be </w:t>
      </w:r>
      <w:r>
        <w:rPr>
          <w:b/>
          <w:i w:val="0"/>
        </w:rPr>
        <w:t>the real deal</w:t>
      </w:r>
      <w:r>
        <w:rPr>
          <w:b w:val="0"/>
          <w:i w:val="0"/>
        </w:rPr>
        <w:t>: rigorous on the physics, willing to engage with evidence, and not invested in the same boundary-drawing or straw-man dynamics. The association can obscure that distinction; the author treats Thornhill as a genuine researcher whose work stands apart from the managed-disclosure structure of the project around him.</w:t>
      </w:r>
    </w:p>
    <w:p>
      <w:r>
        <w:rPr>
          <w:b w:val="0"/>
          <w:i w:val="0"/>
        </w:rPr>
        <w:t xml:space="preserve">For Cook's analysis of the Thunderbolts project's boundaries and behaviour, see saturniancosmology.org and the </w:t>
      </w:r>
      <w:hyperlink r:id="rId14">
        <w:r>
          <w:rPr>
            <w:b w:val="0"/>
            <w:i w:val="0"/>
            <w:color w:val="B8860B"/>
          </w:rPr>
          <w:t>Thunderbolts Case Study</w:t>
        </w:r>
      </w:hyperlink>
      <w:r>
        <w:rPr>
          <w:b w:val="0"/>
          <w:i w:val="0"/>
        </w:rPr>
        <w:t>.</w:t>
      </w:r>
    </w:p>
    <w:p>
      <w:pPr>
        <w:pStyle w:val="Heading3"/>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15">
        <w:r>
          <w:rPr>
            <w:b w:val="0"/>
            <w:i w:val="0"/>
            <w:color w:val="B8860B"/>
          </w:rPr>
          <w:t>Mockingbird</w:t>
        </w:r>
      </w:hyperlink>
      <w:r>
        <w:rPr>
          <w:b w:val="0"/>
          <w:i w:val="0"/>
        </w:rPr>
        <w:t xml:space="preserve">, genre reclassification (1926–50s), </w:t>
      </w:r>
      <w:hyperlink r:id="rId20">
        <w:r>
          <w:rPr>
            <w:b w:val="0"/>
            <w:i w:val="0"/>
            <w:color w:val="B8860B"/>
          </w:rPr>
          <w:t>false flags</w:t>
        </w:r>
      </w:hyperlink>
      <w:r>
        <w:rPr>
          <w:b w:val="0"/>
          <w:i w:val="0"/>
        </w:rPr>
        <w:t xml:space="preserve">. You suppress by surrounding information with a controlled version of itself. For full timeline: </w:t>
      </w:r>
      <w:hyperlink r:id="rId14">
        <w:r>
          <w:rPr>
            <w:b w:val="0"/>
            <w:i w:val="0"/>
            <w:color w:val="B8860B"/>
          </w:rPr>
          <w:t>Thunderbolts Case Study</w:t>
        </w:r>
      </w:hyperlink>
      <w:r>
        <w:rPr>
          <w:b w:val="0"/>
          <w:i w:val="0"/>
        </w:rPr>
        <w:t>.</w:t>
      </w:r>
    </w:p>
    <w:p>
      <w:pPr>
        <w:pStyle w:val="Heading3"/>
        <w:keepNext/>
        <w:keepLines/>
      </w:pPr>
      <w:r>
        <w:t>Cross-References</w:t>
      </w:r>
    </w:p>
    <w:p>
      <w:pPr>
        <w:pStyle w:val="ListBullet"/>
        <w:spacing w:before="20" w:after="20"/>
      </w:pPr>
      <w:hyperlink r:id="rId203">
        <w:r>
          <w:rPr>
            <w:b w:val="0"/>
            <w:i w:val="0"/>
            <w:color w:val="B8860B"/>
            <w:sz w:val="19"/>
          </w:rPr>
          <w:t>Dracula: book as fact</w:t>
        </w:r>
      </w:hyperlink>
    </w:p>
    <w:p>
      <w:pPr>
        <w:pStyle w:val="ListBullet"/>
        <w:spacing w:before="20" w:after="20"/>
      </w:pPr>
      <w:hyperlink r:id="rId212">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222">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15">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4">
        <w:r>
          <w:rPr>
            <w:b w:val="0"/>
            <w:i w:val="0"/>
            <w:color w:val="B8860B"/>
            <w:sz w:val="19"/>
          </w:rPr>
          <w:t>The Thunderbolts Project</w:t>
        </w:r>
      </w:hyperlink>
      <w:r>
        <w:rPr>
          <w:b w:val="0"/>
          <w:i w:val="0"/>
          <w:sz w:val="19"/>
        </w:rPr>
        <w:t xml:space="preserve"> — full managed-disclosure case study</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Censorship and Book Burning</w:t>
      </w:r>
    </w:p>
    <w:p>
      <w:r>
        <w:rPr>
          <w:b w:val="0"/>
          <w:i w:val="0"/>
        </w:rPr>
        <w:t xml:space="preserve">Extended evidence and analysis supporting the main timeline article on </w:t>
      </w:r>
      <w:hyperlink r:id="rId222">
        <w:r>
          <w:rPr>
            <w:b w:val="0"/>
            <w:i w:val="0"/>
            <w:color w:val="B8860B"/>
          </w:rPr>
          <w:t>Censorship and Book Burning</w:t>
        </w:r>
      </w:hyperlink>
      <w:r>
        <w:rPr>
          <w:b w:val="0"/>
          <w:i w:val="0"/>
        </w:rPr>
        <w:t>.</w:t>
      </w:r>
    </w:p>
    <w:p>
      <w:pPr>
        <w:pStyle w:val="ListBullet"/>
        <w:spacing w:before="20" w:after="20"/>
      </w:pPr>
      <w:hyperlink r:id="rId16">
        <w:r>
          <w:rPr>
            <w:b w:val="0"/>
            <w:i w:val="0"/>
            <w:color w:val="B8860B"/>
            <w:sz w:val="19"/>
          </w:rPr>
          <w:t>Censorship: Pattern — From Alexandria to the Internet</w:t>
        </w:r>
      </w:hyperlink>
    </w:p>
    <w:p>
      <w:pPr>
        <w:pStyle w:val="ListBullet"/>
        <w:spacing w:before="20" w:after="20"/>
      </w:pPr>
      <w:hyperlink r:id="rId17">
        <w:r>
          <w:rPr>
            <w:b w:val="0"/>
            <w:i w:val="0"/>
            <w:color w:val="B8860B"/>
            <w:sz w:val="19"/>
          </w:rPr>
          <w:t>Censorship: The Historical Record</w:t>
        </w:r>
      </w:hyperlink>
    </w:p>
    <w:p/>
    <w:p>
      <w:pPr>
        <w:jc w:val="center"/>
      </w:pPr>
      <w:r>
        <w:rPr>
          <w:color w:val="B8860B"/>
          <w:sz w:val="24"/>
        </w:rPr>
        <w:t>— ✦ —</w:t>
      </w:r>
    </w:p>
    <w:p>
      <w:r>
        <w:rPr>
          <w:b w:val="0"/>
          <w:i w:val="0"/>
        </w:rPr>
        <w:t xml:space="preserve">This appendix extends the main </w:t>
      </w:r>
      <w:hyperlink r:id="rId222">
        <w:r>
          <w:rPr>
            <w:b w:val="0"/>
            <w:i w:val="0"/>
            <w:color w:val="B8860B"/>
          </w:rPr>
          <w:t>Censorship and Book Burning</w:t>
        </w:r>
      </w:hyperlink>
      <w:r>
        <w:rPr>
          <w:b w:val="0"/>
          <w:i w:val="0"/>
        </w:rPr>
        <w:t xml:space="preserve"> article. For the full chronological record with dates and locations, see that article. For the detailed episode-by-episode analysis with primary sources, see </w:t>
      </w:r>
      <w:hyperlink r:id="rId17">
        <w:r>
          <w:rPr>
            <w:b w:val="0"/>
            <w:i w:val="0"/>
            <w:color w:val="B8860B"/>
          </w:rPr>
          <w:t>Censorship: The Historical Record</w:t>
        </w:r>
      </w:hyperlink>
      <w:r>
        <w:rPr>
          <w:b w:val="0"/>
          <w:i w:val="0"/>
        </w:rPr>
        <w:t>.</w:t>
      </w:r>
    </w:p>
    <w:p>
      <w:pPr>
        <w:pStyle w:val="Heading3"/>
        <w:keepNext/>
        <w:keepLines/>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Style w:val="Heading3"/>
        <w:keepNext/>
        <w:keepLines/>
      </w:pPr>
      <w:r>
        <w:t>The Investigator's Response</w:t>
      </w:r>
    </w:p>
    <w:p>
      <w:r>
        <w:rPr>
          <w:b w:val="0"/>
          <w:i w:val="0"/>
        </w:rPr>
        <w:t>The pattern demands a specific methodology:</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3"/>
        <w:keepNext/>
        <w:keepLines/>
      </w:pPr>
      <w:r>
        <w:t>Cross-References</w:t>
      </w:r>
    </w:p>
    <w:p>
      <w:pPr>
        <w:pStyle w:val="ListBullet"/>
        <w:spacing w:before="20" w:after="20"/>
      </w:pPr>
      <w:hyperlink r:id="rId23">
        <w:r>
          <w:rPr>
            <w:b w:val="0"/>
            <w:i w:val="0"/>
            <w:color w:val="B8860B"/>
            <w:sz w:val="19"/>
          </w:rPr>
          <w:t>14.03.00 — Soviet Historiography</w:t>
        </w:r>
      </w:hyperlink>
    </w:p>
    <w:p>
      <w:pPr>
        <w:pStyle w:val="ListBullet"/>
        <w:spacing w:before="20" w:after="20"/>
      </w:pPr>
      <w:hyperlink r:id="rId223">
        <w:r>
          <w:rPr>
            <w:b w:val="0"/>
            <w:i w:val="0"/>
            <w:color w:val="B8860B"/>
            <w:sz w:val="19"/>
          </w:rPr>
          <w:t>14.02.00 — The Russian Intellectual Emigration</w:t>
        </w:r>
      </w:hyperlink>
    </w:p>
    <w:p>
      <w:pPr>
        <w:pStyle w:val="ListBullet"/>
        <w:spacing w:before="20" w:after="20"/>
      </w:pPr>
      <w:hyperlink r:id="rId15">
        <w:r>
          <w:rPr>
            <w:b w:val="0"/>
            <w:i w:val="0"/>
            <w:color w:val="B8860B"/>
            <w:sz w:val="19"/>
          </w:rPr>
          <w:t>14.06.00 — Operation Mockingbird</w:t>
        </w:r>
      </w:hyperlink>
    </w:p>
    <w:p>
      <w:pPr>
        <w:pStyle w:val="ListBullet"/>
        <w:spacing w:before="20" w:after="20"/>
      </w:pPr>
      <w:hyperlink r:id="rId192">
        <w:r>
          <w:rPr>
            <w:b w:val="0"/>
            <w:i w:val="0"/>
            <w:color w:val="B8860B"/>
            <w:sz w:val="19"/>
          </w:rPr>
          <w:t>Controlled Opposition: Managed Disclosure</w:t>
        </w:r>
      </w:hyperlink>
    </w:p>
    <w:p>
      <w:pPr>
        <w:pStyle w:val="ListBullet"/>
        <w:spacing w:before="20" w:after="20"/>
      </w:pPr>
      <w:hyperlink r:id="rId17">
        <w:r>
          <w:rPr>
            <w:b w:val="0"/>
            <w:i w:val="0"/>
            <w:color w:val="B8860B"/>
            <w:sz w:val="19"/>
          </w:rPr>
          <w:t>Censorship: The Historical Record</w:t>
        </w:r>
      </w:hyperlink>
      <w:r>
        <w:rPr>
          <w:b w:val="0"/>
          <w:i w:val="0"/>
          <w:sz w:val="19"/>
        </w:rPr>
        <w:t xml:space="preserve"> — full historical detail</w:t>
      </w:r>
    </w:p>
    <w:p/>
    <w:p>
      <w:pPr>
        <w:jc w:val="center"/>
      </w:pPr>
      <w:r>
        <w:rPr>
          <w:color w:val="B8860B"/>
          <w:sz w:val="24"/>
        </w:rPr>
        <w:t>— ✦ —</w:t>
      </w:r>
    </w:p>
    <w:p>
      <w:r>
        <w:rPr>
          <w:b w:val="0"/>
          <w:i w:val="0"/>
        </w:rPr>
        <w:t xml:space="preserve">This article provides the detailed historical timeline supporting </w:t>
      </w:r>
      <w:hyperlink r:id="rId222">
        <w:r>
          <w:rPr>
            <w:b w:val="0"/>
            <w:i w:val="0"/>
            <w:color w:val="B8860B"/>
          </w:rPr>
          <w:t>Censorship and Book Burning: From Alexandria to the Internet</w:t>
        </w:r>
      </w:hyperlink>
      <w:r>
        <w:rPr>
          <w:b w:val="0"/>
          <w:i w:val="0"/>
        </w:rPr>
        <w:t>. For the pattern analysis and 21st century censorship, see that article.</w:t>
      </w:r>
    </w:p>
    <w:p>
      <w:pPr>
        <w:pStyle w:val="Heading3"/>
        <w:keepNext/>
        <w:keepLines/>
      </w:pPr>
      <w:r>
        <w:t>Ancient Record Destruction</w:t>
      </w:r>
    </w:p>
    <w:p>
      <w:pPr>
        <w:pStyle w:val="Heading4"/>
        <w:keepNext/>
        <w:keepLines/>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4"/>
        <w:keepNext/>
        <w:keepLines/>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4"/>
        <w:keepNext/>
        <w:keepLines/>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3"/>
        <w:keepNext/>
        <w:keepLines/>
      </w:pPr>
      <w:r>
        <w:t>Medieval and Early Modern Destruction</w:t>
      </w:r>
    </w:p>
    <w:p>
      <w:pPr>
        <w:pStyle w:val="Heading4"/>
        <w:keepNext/>
        <w:keepLines/>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4"/>
        <w:keepNext/>
        <w:keepLines/>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3"/>
        <w:keepNext/>
        <w:keepLines/>
      </w:pPr>
      <w:r>
        <w:t>18th–19th Century: Systematic Restructuring</w:t>
      </w:r>
    </w:p>
    <w:p>
      <w:pPr>
        <w:pStyle w:val="Heading4"/>
        <w:keepNext/>
        <w:keepLines/>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4"/>
        <w:keepNext/>
        <w:keepLines/>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3"/>
        <w:keepNext/>
        <w:keepLines/>
      </w:pPr>
      <w:r>
        <w:t>20th Century: Industrial-Scale Destruction</w:t>
      </w:r>
    </w:p>
    <w:p>
      <w:r>
        <w:rPr>
          <w:b w:val="0"/>
          <w:i w:val="0"/>
        </w:rPr>
        <w:t>The 20th century brought censorship to an industrial scale, with multiple overlapping campaigns:</w:t>
      </w:r>
    </w:p>
    <w:p>
      <w:pPr>
        <w:pStyle w:val="Heading4"/>
        <w:keepNext/>
        <w:keepLines/>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4"/>
        <w:keepNext/>
        <w:keepLines/>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4"/>
        <w:keepNext/>
        <w:keepLines/>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4"/>
        <w:keepNext/>
        <w:keepLines/>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4"/>
        <w:keepNext/>
        <w:keepLines/>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4"/>
        <w:keepNext/>
        <w:keepLines/>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15">
        <w:r>
          <w:rPr>
            <w:b w:val="0"/>
            <w:i w:val="0"/>
            <w:color w:val="B8860B"/>
          </w:rPr>
          <w:t>Operation Mockingbird</w:t>
        </w:r>
      </w:hyperlink>
      <w:r>
        <w:rPr>
          <w:b w:val="0"/>
          <w:i w:val="0"/>
        </w:rPr>
        <w:t>.</w:t>
      </w:r>
    </w:p>
    <w:p>
      <w:pPr>
        <w:pStyle w:val="Heading3"/>
        <w:keepNext/>
        <w:keepLines/>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3"/>
        <w:keepNext/>
        <w:keepLines/>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False Flags</w:t>
      </w:r>
    </w:p>
    <w:p>
      <w:r>
        <w:rPr>
          <w:b w:val="0"/>
          <w:i w:val="0"/>
        </w:rPr>
        <w:t>Extended evidence and analysis supporting the main timeline articles on manufactured crises and the architecture of modern conflict.</w:t>
      </w:r>
    </w:p>
    <w:p>
      <w:pPr>
        <w:pStyle w:val="ListBullet"/>
        <w:spacing w:before="20" w:after="20"/>
      </w:pPr>
      <w:hyperlink r:id="rId20">
        <w:r>
          <w:rPr>
            <w:b w:val="0"/>
            <w:i w:val="0"/>
            <w:color w:val="B8860B"/>
            <w:sz w:val="19"/>
          </w:rPr>
          <w:t>False Flags: Architecture of Manufactured War</w:t>
        </w:r>
      </w:hyperlink>
    </w:p>
    <w:p>
      <w:pPr>
        <w:pStyle w:val="ListBullet"/>
        <w:spacing w:before="20" w:after="20"/>
      </w:pPr>
      <w:hyperlink r:id="rId21">
        <w:r>
          <w:rPr>
            <w:b w:val="0"/>
            <w:i w:val="0"/>
            <w:color w:val="B8860B"/>
            <w:sz w:val="19"/>
          </w:rPr>
          <w:t>False Flags Investigation: Evidence Dossier</w:t>
        </w:r>
      </w:hyperlink>
    </w:p>
    <w:p/>
    <w:p>
      <w:pPr>
        <w:jc w:val="center"/>
      </w:pPr>
      <w:r>
        <w:rPr>
          <w:color w:val="B8860B"/>
          <w:sz w:val="24"/>
        </w:rPr>
        <w:t>— ✦ —</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This appendix extends the main </w:t>
      </w:r>
      <w:hyperlink r:id="rId20">
        <w:r>
          <w:rPr>
            <w:b w:val="0"/>
            <w:i w:val="0"/>
            <w:color w:val="B8860B"/>
          </w:rPr>
          <w:t>False Flags: Architecture of Manufactured War</w:t>
        </w:r>
      </w:hyperlink>
      <w:r>
        <w:rPr>
          <w:b w:val="0"/>
          <w:i w:val="0"/>
        </w:rPr>
        <w:t xml:space="preserve"> article with catalogue, case studies, and quotations.</w:t>
      </w:r>
    </w:p>
    <w:p>
      <w:pPr>
        <w:pBdr>
          <w:bottom w:val="single" w:sz="6" w:space="1" w:color="CCCCCC"/>
        </w:pBdr>
      </w:pPr>
    </w:p>
    <w:p>
      <w:pPr>
        <w:pStyle w:val="Heading3"/>
        <w:keepNext/>
        <w:keepLines/>
      </w:pPr>
      <w:r>
        <w:t>Catalogue of Major False Flags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975"/>
        <w:gridCol w:w="2400"/>
        <w:gridCol w:w="2199"/>
      </w:tblGrid>
      <w:tr>
        <w:tc>
          <w:tcPr>
            <w:tcW w:type="dxa" w:w="797"/>
            <w:shd w:val="clear" w:color="auto" w:fill="F0F0F0"/>
          </w:tcPr>
          <w:p>
            <w:pPr>
              <w:spacing w:before="20" w:after="20"/>
              <w:jc w:val="center"/>
            </w:pPr>
            <w:r>
              <w:rPr>
                <w:rFonts w:ascii="Libre Franklin" w:hAnsi="Libre Franklin"/>
                <w:b/>
                <w:sz w:val="18"/>
              </w:rPr>
              <w:t>Year</w:t>
            </w:r>
          </w:p>
        </w:tc>
        <w:tc>
          <w:tcPr>
            <w:tcW w:type="dxa" w:w="975"/>
            <w:shd w:val="clear" w:color="auto" w:fill="F0F0F0"/>
          </w:tcPr>
          <w:p>
            <w:pPr>
              <w:spacing w:before="20" w:after="20"/>
              <w:jc w:val="center"/>
            </w:pPr>
            <w:r>
              <w:rPr>
                <w:rFonts w:ascii="Libre Franklin" w:hAnsi="Libre Franklin"/>
                <w:b/>
                <w:sz w:val="18"/>
              </w:rPr>
              <w:t>Event</w:t>
            </w:r>
          </w:p>
        </w:tc>
        <w:tc>
          <w:tcPr>
            <w:tcW w:type="dxa" w:w="2400"/>
            <w:shd w:val="clear" w:color="auto" w:fill="F0F0F0"/>
          </w:tcPr>
          <w:p>
            <w:pPr>
              <w:spacing w:before="20" w:after="20"/>
              <w:jc w:val="center"/>
            </w:pPr>
            <w:r>
              <w:rPr>
                <w:rFonts w:ascii="Libre Franklin" w:hAnsi="Libre Franklin"/>
                <w:b/>
                <w:sz w:val="18"/>
              </w:rPr>
              <w:t>Method</w:t>
            </w:r>
          </w:p>
        </w:tc>
        <w:tc>
          <w:tcPr>
            <w:tcW w:type="dxa" w:w="2199"/>
            <w:shd w:val="clear" w:color="auto" w:fill="F0F0F0"/>
          </w:tcPr>
          <w:p>
            <w:pPr>
              <w:spacing w:before="20" w:after="20"/>
              <w:jc w:val="center"/>
            </w:pPr>
            <w:r>
              <w:rPr>
                <w:rFonts w:ascii="Libre Franklin" w:hAnsi="Libre Franklin"/>
                <w:b/>
                <w:sz w:val="18"/>
              </w:rPr>
              <w:t>Intended Goal</w:t>
            </w:r>
          </w:p>
        </w:tc>
      </w:tr>
      <w:tr>
        <w:tc>
          <w:tcPr>
            <w:tcW w:type="dxa" w:w="797"/>
          </w:tcPr>
          <w:p>
            <w:pPr>
              <w:spacing w:before="20" w:after="20"/>
            </w:pPr>
            <w:r>
              <w:rPr>
                <w:b w:val="0"/>
                <w:i w:val="0"/>
                <w:sz w:val="18"/>
              </w:rPr>
              <w:t>1898</w:t>
            </w:r>
          </w:p>
        </w:tc>
        <w:tc>
          <w:tcPr>
            <w:tcW w:type="dxa" w:w="975"/>
          </w:tcPr>
          <w:p>
            <w:pPr>
              <w:spacing w:before="20" w:after="20"/>
            </w:pPr>
            <w:r>
              <w:rPr>
                <w:b w:val="0"/>
                <w:i w:val="0"/>
                <w:sz w:val="18"/>
              </w:rPr>
              <w:t>USS Maine</w:t>
            </w:r>
          </w:p>
        </w:tc>
        <w:tc>
          <w:tcPr>
            <w:tcW w:type="dxa" w:w="2400"/>
          </w:tcPr>
          <w:p>
            <w:pPr>
              <w:spacing w:before="20" w:after="20"/>
            </w:pPr>
            <w:r>
              <w:rPr>
                <w:b w:val="0"/>
                <w:i w:val="0"/>
                <w:sz w:val="18"/>
              </w:rPr>
              <w:t>Internal explosion; blamed on Spain</w:t>
            </w:r>
          </w:p>
        </w:tc>
        <w:tc>
          <w:tcPr>
            <w:tcW w:type="dxa" w:w="2199"/>
          </w:tcPr>
          <w:p>
            <w:pPr>
              <w:spacing w:before="20" w:after="20"/>
            </w:pPr>
            <w:r>
              <w:rPr>
                <w:b w:val="0"/>
                <w:i w:val="0"/>
                <w:sz w:val="18"/>
              </w:rPr>
              <w:t>Spanish-American War; Cuba, Philippines, Guam</w:t>
            </w:r>
          </w:p>
        </w:tc>
      </w:tr>
      <w:tr>
        <w:tc>
          <w:tcPr>
            <w:tcW w:type="dxa" w:w="797"/>
          </w:tcPr>
          <w:p>
            <w:pPr>
              <w:spacing w:before="20" w:after="20"/>
            </w:pPr>
            <w:r>
              <w:rPr>
                <w:b w:val="0"/>
                <w:i w:val="0"/>
                <w:sz w:val="18"/>
              </w:rPr>
              <w:t>1931</w:t>
            </w:r>
          </w:p>
        </w:tc>
        <w:tc>
          <w:tcPr>
            <w:tcW w:type="dxa" w:w="975"/>
          </w:tcPr>
          <w:p>
            <w:pPr>
              <w:spacing w:before="20" w:after="20"/>
            </w:pPr>
            <w:r>
              <w:rPr>
                <w:b w:val="0"/>
                <w:i w:val="0"/>
                <w:sz w:val="18"/>
              </w:rPr>
              <w:t>Manchurian Incident</w:t>
            </w:r>
          </w:p>
        </w:tc>
        <w:tc>
          <w:tcPr>
            <w:tcW w:type="dxa" w:w="2400"/>
          </w:tcPr>
          <w:p>
            <w:pPr>
              <w:spacing w:before="20" w:after="20"/>
            </w:pPr>
            <w:r>
              <w:rPr>
                <w:b w:val="0"/>
                <w:i w:val="0"/>
                <w:sz w:val="18"/>
              </w:rPr>
              <w:t>Kwantung Army bombs own railway</w:t>
            </w:r>
          </w:p>
        </w:tc>
        <w:tc>
          <w:tcPr>
            <w:tcW w:type="dxa" w:w="2199"/>
          </w:tcPr>
          <w:p>
            <w:pPr>
              <w:spacing w:before="20" w:after="20"/>
            </w:pPr>
            <w:r>
              <w:rPr>
                <w:b w:val="0"/>
                <w:i w:val="0"/>
                <w:sz w:val="18"/>
              </w:rPr>
              <w:t>Occupy Manchuria; Manchukuo</w:t>
            </w:r>
          </w:p>
        </w:tc>
      </w:tr>
      <w:tr>
        <w:tc>
          <w:tcPr>
            <w:tcW w:type="dxa" w:w="797"/>
          </w:tcPr>
          <w:p>
            <w:pPr>
              <w:spacing w:before="20" w:after="20"/>
            </w:pPr>
            <w:r>
              <w:rPr>
                <w:b w:val="0"/>
                <w:i w:val="0"/>
                <w:sz w:val="18"/>
              </w:rPr>
              <w:t>1933</w:t>
            </w:r>
          </w:p>
        </w:tc>
        <w:tc>
          <w:tcPr>
            <w:tcW w:type="dxa" w:w="975"/>
          </w:tcPr>
          <w:p>
            <w:pPr>
              <w:spacing w:before="20" w:after="20"/>
            </w:pPr>
            <w:r>
              <w:rPr>
                <w:b w:val="0"/>
                <w:i w:val="0"/>
                <w:sz w:val="18"/>
              </w:rPr>
              <w:t>Reichstag Fire</w:t>
            </w:r>
          </w:p>
        </w:tc>
        <w:tc>
          <w:tcPr>
            <w:tcW w:type="dxa" w:w="2400"/>
          </w:tcPr>
          <w:p>
            <w:pPr>
              <w:spacing w:before="20" w:after="20"/>
            </w:pPr>
            <w:r>
              <w:rPr>
                <w:b w:val="0"/>
                <w:i w:val="0"/>
                <w:sz w:val="18"/>
              </w:rPr>
              <w:t>Parliament burned; blamed communist</w:t>
            </w:r>
          </w:p>
        </w:tc>
        <w:tc>
          <w:tcPr>
            <w:tcW w:type="dxa" w:w="2199"/>
          </w:tcPr>
          <w:p>
            <w:pPr>
              <w:spacing w:before="20" w:after="20"/>
            </w:pPr>
            <w:r>
              <w:rPr>
                <w:b w:val="0"/>
                <w:i w:val="0"/>
                <w:sz w:val="18"/>
              </w:rPr>
              <w:t>Reichstag Fire Decree; consolidate Nazi power</w:t>
            </w:r>
          </w:p>
        </w:tc>
      </w:tr>
      <w:tr>
        <w:tc>
          <w:tcPr>
            <w:tcW w:type="dxa" w:w="797"/>
          </w:tcPr>
          <w:p>
            <w:pPr>
              <w:spacing w:before="20" w:after="20"/>
            </w:pPr>
            <w:r>
              <w:rPr>
                <w:b w:val="0"/>
                <w:i w:val="0"/>
                <w:sz w:val="18"/>
              </w:rPr>
              <w:t>1939</w:t>
            </w:r>
          </w:p>
        </w:tc>
        <w:tc>
          <w:tcPr>
            <w:tcW w:type="dxa" w:w="975"/>
          </w:tcPr>
          <w:p>
            <w:pPr>
              <w:spacing w:before="20" w:after="20"/>
            </w:pPr>
            <w:r>
              <w:rPr>
                <w:b w:val="0"/>
                <w:i w:val="0"/>
                <w:sz w:val="18"/>
              </w:rPr>
              <w:t>Gleiwitz Incident</w:t>
            </w:r>
          </w:p>
        </w:tc>
        <w:tc>
          <w:tcPr>
            <w:tcW w:type="dxa" w:w="2400"/>
          </w:tcPr>
          <w:p>
            <w:pPr>
              <w:spacing w:before="20" w:after="20"/>
            </w:pPr>
            <w:r>
              <w:rPr>
                <w:b w:val="0"/>
                <w:i w:val="0"/>
                <w:sz w:val="18"/>
              </w:rPr>
              <w:t>SS stages Polish "attack"</w:t>
            </w:r>
          </w:p>
        </w:tc>
        <w:tc>
          <w:tcPr>
            <w:tcW w:type="dxa" w:w="2199"/>
          </w:tcPr>
          <w:p>
            <w:pPr>
              <w:spacing w:before="20" w:after="20"/>
            </w:pPr>
            <w:r>
              <w:rPr>
                <w:b w:val="0"/>
                <w:i w:val="0"/>
                <w:sz w:val="18"/>
              </w:rPr>
              <w:t>Invasion of Poland; trigger WW2</w:t>
            </w:r>
          </w:p>
        </w:tc>
      </w:tr>
      <w:tr>
        <w:tc>
          <w:tcPr>
            <w:tcW w:type="dxa" w:w="797"/>
          </w:tcPr>
          <w:p>
            <w:pPr>
              <w:spacing w:before="20" w:after="20"/>
            </w:pPr>
            <w:r>
              <w:rPr>
                <w:b w:val="0"/>
                <w:i w:val="0"/>
                <w:sz w:val="18"/>
              </w:rPr>
              <w:t>1941</w:t>
            </w:r>
          </w:p>
        </w:tc>
        <w:tc>
          <w:tcPr>
            <w:tcW w:type="dxa" w:w="975"/>
          </w:tcPr>
          <w:p>
            <w:pPr>
              <w:spacing w:before="20" w:after="20"/>
            </w:pPr>
            <w:r>
              <w:rPr>
                <w:b w:val="0"/>
                <w:i w:val="0"/>
                <w:sz w:val="18"/>
              </w:rPr>
              <w:t>Pearl Harbor</w:t>
            </w:r>
          </w:p>
        </w:tc>
        <w:tc>
          <w:tcPr>
            <w:tcW w:type="dxa" w:w="2400"/>
          </w:tcPr>
          <w:p>
            <w:pPr>
              <w:spacing w:before="20" w:after="20"/>
            </w:pPr>
            <w:r>
              <w:rPr>
                <w:b w:val="0"/>
                <w:i w:val="0"/>
                <w:sz w:val="18"/>
              </w:rPr>
              <w:t>McCollum Memo; Purple broken; carriers at sea</w:t>
            </w:r>
          </w:p>
        </w:tc>
        <w:tc>
          <w:tcPr>
            <w:tcW w:type="dxa" w:w="2199"/>
          </w:tcPr>
          <w:p>
            <w:pPr>
              <w:spacing w:before="20" w:after="20"/>
            </w:pPr>
            <w:r>
              <w:rPr>
                <w:b w:val="0"/>
                <w:i w:val="0"/>
                <w:sz w:val="18"/>
              </w:rPr>
              <w:t>US entry; Operation Paperclip</w:t>
            </w:r>
          </w:p>
        </w:tc>
      </w:tr>
      <w:tr>
        <w:tc>
          <w:tcPr>
            <w:tcW w:type="dxa" w:w="797"/>
          </w:tcPr>
          <w:p>
            <w:pPr>
              <w:spacing w:before="20" w:after="20"/>
            </w:pPr>
            <w:r>
              <w:rPr>
                <w:b w:val="0"/>
                <w:i w:val="0"/>
                <w:sz w:val="18"/>
              </w:rPr>
              <w:t>1964</w:t>
            </w:r>
          </w:p>
        </w:tc>
        <w:tc>
          <w:tcPr>
            <w:tcW w:type="dxa" w:w="975"/>
          </w:tcPr>
          <w:p>
            <w:pPr>
              <w:spacing w:before="20" w:after="20"/>
            </w:pPr>
            <w:r>
              <w:rPr>
                <w:b w:val="0"/>
                <w:i w:val="0"/>
                <w:sz w:val="18"/>
              </w:rPr>
              <w:t>Gulf of Tonkin</w:t>
            </w:r>
          </w:p>
        </w:tc>
        <w:tc>
          <w:tcPr>
            <w:tcW w:type="dxa" w:w="2400"/>
          </w:tcPr>
          <w:p>
            <w:pPr>
              <w:spacing w:before="20" w:after="20"/>
            </w:pPr>
            <w:r>
              <w:rPr>
                <w:b w:val="0"/>
                <w:i w:val="0"/>
                <w:sz w:val="18"/>
              </w:rPr>
              <w:t>Second attack fabricated (NSA 2005)</w:t>
            </w:r>
          </w:p>
        </w:tc>
        <w:tc>
          <w:tcPr>
            <w:tcW w:type="dxa" w:w="2199"/>
          </w:tcPr>
          <w:p>
            <w:pPr>
              <w:spacing w:before="20" w:after="20"/>
            </w:pPr>
            <w:r>
              <w:rPr>
                <w:b w:val="0"/>
                <w:i w:val="0"/>
                <w:sz w:val="18"/>
              </w:rPr>
              <w:t>Vietnam escalation</w:t>
            </w:r>
          </w:p>
        </w:tc>
      </w:tr>
      <w:tr>
        <w:tc>
          <w:tcPr>
            <w:tcW w:type="dxa" w:w="797"/>
          </w:tcPr>
          <w:p>
            <w:pPr>
              <w:spacing w:before="20" w:after="20"/>
            </w:pPr>
            <w:r>
              <w:rPr>
                <w:b w:val="0"/>
                <w:i w:val="0"/>
                <w:sz w:val="18"/>
              </w:rPr>
              <w:t>2001</w:t>
            </w:r>
          </w:p>
        </w:tc>
        <w:tc>
          <w:tcPr>
            <w:tcW w:type="dxa" w:w="975"/>
          </w:tcPr>
          <w:p>
            <w:pPr>
              <w:spacing w:before="20" w:after="20"/>
            </w:pPr>
            <w:r>
              <w:rPr>
                <w:b w:val="0"/>
                <w:i w:val="0"/>
                <w:sz w:val="18"/>
              </w:rPr>
              <w:t>September 11</w:t>
            </w:r>
          </w:p>
        </w:tc>
        <w:tc>
          <w:tcPr>
            <w:tcW w:type="dxa" w:w="2400"/>
          </w:tcPr>
          <w:p>
            <w:pPr>
              <w:spacing w:before="20" w:after="20"/>
            </w:pPr>
            <w:r>
              <w:rPr>
                <w:b w:val="0"/>
                <w:i w:val="0"/>
                <w:sz w:val="18"/>
              </w:rPr>
              <w:t>WTC 1,2,7; controlled demolition thesis</w:t>
            </w:r>
          </w:p>
        </w:tc>
        <w:tc>
          <w:tcPr>
            <w:tcW w:type="dxa" w:w="2199"/>
          </w:tcPr>
          <w:p>
            <w:pPr>
              <w:spacing w:before="20" w:after="20"/>
            </w:pPr>
            <w:r>
              <w:rPr>
                <w:b w:val="0"/>
                <w:i w:val="0"/>
                <w:sz w:val="18"/>
              </w:rPr>
              <w:t>See 9/11 section below</w:t>
            </w:r>
          </w:p>
        </w:tc>
      </w:tr>
    </w:tbl>
    <w:p/>
    <w:p>
      <w:r>
        <w:rPr>
          <w:b w:val="0"/>
          <w:i w:val="0"/>
        </w:rPr>
        <w:t>Full catalogue: USS Liberty, Operation Gladio, Oklahoma City, King David Hotel, Lavon Affair, Operation Northwoods — see main article.</w:t>
      </w:r>
    </w:p>
    <w:p>
      <w:pPr>
        <w:pBdr>
          <w:bottom w:val="single" w:sz="6" w:space="1" w:color="CCCCCC"/>
        </w:pBdr>
      </w:pPr>
    </w:p>
    <w:p>
      <w:pPr>
        <w:pStyle w:val="Heading3"/>
        <w:keepNext/>
        <w:keepLines/>
      </w:pPr>
      <w:r>
        <w:t>9/11: Good-Actor Thesis (Sponsored)</w:t>
      </w:r>
    </w:p>
    <w:p>
      <w:r>
        <w:rPr>
          <w:b w:val="0"/>
          <w:i w:val="0"/>
        </w:rPr>
        <w:t xml:space="preserve">This timeline proposes: </w:t>
      </w:r>
      <w:r>
        <w:rPr>
          <w:b/>
          <w:i w:val="0"/>
        </w:rPr>
        <w:t xml:space="preserve">9/11 was a false flag executed </w:t>
      </w:r>
      <w:r>
        <w:rPr>
          <w:b/>
          <w:i/>
        </w:rPr>
        <w:t>against</w:t>
      </w:r>
      <w:r>
        <w:rPr>
          <w:b/>
          <w:i w:val="0"/>
        </w:rPr>
        <w:t xml:space="preserve"> the Deep State</w:t>
      </w:r>
      <w:r>
        <w:rPr>
          <w:b w:val="0"/>
          <w:i w:val="0"/>
        </w:rPr>
        <w:t xml:space="preserve">. Good actors pre-empted the slow-burn Holy War; destroyed WTC 7 (CIA secret station); converted script to public War on Terror. Sponsored hypotheses: controlled demolition; possible CGI plane footage. Advent Children parallel: bring crisis to centre, break conversion pipeline. Full analysis: </w:t>
      </w:r>
      <w:hyperlink r:id="rId224">
        <w:r>
          <w:rPr>
            <w:b w:val="0"/>
            <w:i w:val="0"/>
            <w:color w:val="B8860B"/>
          </w:rPr>
          <w:t>9/11 Investigation</w:t>
        </w:r>
      </w:hyperlink>
      <w:r>
        <w:rPr>
          <w:b w:val="0"/>
          <w:i w:val="0"/>
        </w:rPr>
        <w:t>.</w:t>
      </w:r>
    </w:p>
    <w:p>
      <w:pPr>
        <w:pBdr>
          <w:bottom w:val="single" w:sz="6" w:space="1" w:color="CCCCCC"/>
        </w:pBdr>
      </w:pPr>
    </w:p>
    <w:p>
      <w:pPr>
        <w:pStyle w:val="Heading3"/>
        <w:keepNext/>
        <w:keepLines/>
      </w:pPr>
      <w:r>
        <w:t>Pearl Harbor: Statements by Officials</w:t>
      </w:r>
    </w:p>
    <w:p>
      <w:r>
        <w:rPr>
          <w:b w:val="0"/>
          <w:i w:val="0"/>
        </w:rPr>
        <w:t>The following documented statements support the advance-knowledge thesis. See the main article for the operational summary (McCollum Memo, Purple code, missing carriers).</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Bdr>
          <w:bottom w:val="single" w:sz="6" w:space="1" w:color="CCCCCC"/>
        </w:pBdr>
      </w:pPr>
    </w:p>
    <w:p>
      <w:pPr>
        <w:pStyle w:val="Heading3"/>
        <w:keepNext/>
        <w:keepLines/>
      </w:pPr>
      <w:r>
        <w:t>Battle of Los Angeles (February 24–25, 1942)</w:t>
      </w:r>
    </w:p>
    <w:p>
      <w:r>
        <w:rPr>
          <w:b w:val="0"/>
          <w:i w:val="0"/>
        </w:rPr>
        <w:t xml:space="preserve">Whatever was in the sky over Los Angeles that night survived 1,400+ anti-aircraft rounds without damage, did not drop bombs, and was not Japanese. Japan confirmed post-war they flew no aircraft over Los Angeles. Five civilians died (three in car crashes, two of heart attacks). The official explanation — weather balloons — is the same explanation offered for Roswell five years later. (See </w:t>
      </w:r>
      <w:hyperlink r:id="rId225">
        <w:r>
          <w:rPr>
            <w:b w:val="0"/>
            <w:i w:val="0"/>
            <w:color w:val="B8860B"/>
          </w:rPr>
          <w:t>Mars Contacts Timeline</w:t>
        </w:r>
      </w:hyperlink>
      <w:r>
        <w:rPr>
          <w:b w:val="0"/>
          <w:i w:val="0"/>
        </w:rPr>
        <w:t>.)</w:t>
      </w:r>
    </w:p>
    <w:p>
      <w:pPr>
        <w:pBdr>
          <w:bottom w:val="single" w:sz="6" w:space="1" w:color="CCCCCC"/>
        </w:pBdr>
      </w:pPr>
    </w:p>
    <w:p>
      <w:pPr>
        <w:pStyle w:val="Heading3"/>
        <w:keepNext/>
        <w:keepLines/>
      </w:pPr>
      <w:r>
        <w:t>The Nuclear Question</w:t>
      </w:r>
    </w:p>
    <w:p>
      <w:r>
        <w:rPr>
          <w:b w:val="0"/>
          <w:i w:val="0"/>
        </w:rPr>
        <w:t xml:space="preserve">Before Hiroshima (August 6, 1945), sixty-six Japanese cities had been area-bombed with napalm. Tokyo alone (March 10, 1945): 100,000 killed, 270,000 buildings destroyed. Hiroshima and Nagasaki were </w:t>
      </w:r>
      <w:r>
        <w:rPr>
          <w:b/>
          <w:i w:val="0"/>
        </w:rPr>
        <w:t>deliberately left unbombed</w:t>
      </w:r>
      <w:r>
        <w:rPr>
          <w:b w:val="0"/>
          <w:i w:val="0"/>
        </w:rPr>
        <w:t xml:space="preserve"> prior to the atomic attacks to provide undamaged demonstration targets. Survivor symptoms — progressive wasting, generational effects — are more consistent with depleted uranium contamination than acute fission radiation. The Tsar Bomba (1961) may have served as a narrative countermeasure: having insisted fission bombs could incinerate cities, the West could not deny the Soviet claim of a fusion bomb, producing Mutually Assured Destruction — a strategic equilibrium.</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226">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Mark Selden, </w:t>
      </w:r>
      <w:hyperlink r:id="rId227">
        <w:r>
          <w:rPr>
            <w:b w:val="0"/>
            <w:i w:val="0"/>
            <w:color w:val="B8860B"/>
            <w:sz w:val="19"/>
          </w:rPr>
          <w:t>"A Forgotten Holocaust"</w:t>
        </w:r>
      </w:hyperlink>
      <w:r>
        <w:rPr>
          <w:b w:val="0"/>
          <w:i w:val="0"/>
          <w:sz w:val="19"/>
        </w:rPr>
        <w:t>, Asia Pacific Journal</w:t>
      </w:r>
    </w:p>
    <w:p>
      <w:pPr>
        <w:pStyle w:val="ListBullet"/>
        <w:spacing w:before="20" w:after="20"/>
      </w:pPr>
      <w:hyperlink r:id="rId228">
        <w:r>
          <w:rPr>
            <w:b w:val="0"/>
            <w:i w:val="0"/>
            <w:color w:val="B8860B"/>
            <w:sz w:val="19"/>
          </w:rPr>
          <w:t>Battle of Los Angeles</w:t>
        </w:r>
      </w:hyperlink>
      <w:r>
        <w:rPr>
          <w:b w:val="0"/>
          <w:i w:val="0"/>
          <w:sz w:val="19"/>
        </w:rPr>
        <w:t>, Wikipedia</w:t>
      </w:r>
    </w:p>
    <w:p>
      <w:pPr>
        <w:pStyle w:val="ListBullet"/>
        <w:spacing w:before="20" w:after="20"/>
      </w:pPr>
      <w:hyperlink r:id="rId229">
        <w:r>
          <w:rPr>
            <w:b w:val="0"/>
            <w:i w:val="0"/>
            <w:color w:val="B8860B"/>
            <w:sz w:val="19"/>
          </w:rPr>
          <w:t>FalseFlag.info: Pearl Harbor</w:t>
        </w:r>
      </w:hyperlink>
    </w:p>
    <w:p>
      <w:pPr>
        <w:pStyle w:val="ListBullet"/>
        <w:spacing w:before="20" w:after="20"/>
      </w:pPr>
      <w:hyperlink r:id="rId230">
        <w:r>
          <w:rPr>
            <w:b w:val="0"/>
            <w:i w:val="0"/>
            <w:color w:val="B8860B"/>
            <w:sz w:val="19"/>
          </w:rPr>
          <w:t>The Encyclopedia of False Flag Staged Operations</w:t>
        </w:r>
      </w:hyperlink>
    </w:p>
    <w:p/>
    <w:p>
      <w:pPr>
        <w:jc w:val="center"/>
      </w:pPr>
      <w:r>
        <w:rPr>
          <w:color w:val="B8860B"/>
          <w:sz w:val="24"/>
        </w:rPr>
        <w:t>— ✦ —</w:t>
      </w:r>
    </w:p>
    <w:p>
      <w:r>
        <w:rPr>
          <w:b w:val="0"/>
          <w:i w:val="0"/>
        </w:rPr>
        <w:t xml:space="preserve">This appendix collects the primary source evidence, references, and detailed analysis supporting the </w:t>
      </w:r>
      <w:hyperlink r:id="rId20">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3"/>
        <w:keepNext/>
        <w:keepLines/>
      </w:pPr>
      <w:r>
        <w:t>I. Pearl Harbor: The Evidence of Advance Knowledge</w:t>
      </w:r>
    </w:p>
    <w:p>
      <w:pPr>
        <w:pStyle w:val="Heading4"/>
        <w:keepNext/>
        <w:keepLines/>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231">
        <w:r>
          <w:rPr>
            <w:b w:val="0"/>
            <w:i w:val="0"/>
            <w:color w:val="B8860B"/>
          </w:rPr>
          <w:t>McCollum Memo</w:t>
        </w:r>
      </w:hyperlink>
      <w:r>
        <w:rPr>
          <w:b w:val="0"/>
          <w:i w:val="0"/>
        </w:rPr>
        <w:t>, National Archives.</w:t>
      </w:r>
    </w:p>
    <w:p>
      <w:pPr>
        <w:pStyle w:val="Heading4"/>
        <w:keepNext/>
        <w:keepLines/>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232">
        <w:r>
          <w:rPr>
            <w:b w:val="0"/>
            <w:i w:val="0"/>
            <w:color w:val="B8860B"/>
          </w:rPr>
          <w:t>Pearl Harbor advance-knowledge conspiracy theory</w:t>
        </w:r>
      </w:hyperlink>
      <w:r>
        <w:rPr>
          <w:b w:val="0"/>
          <w:i w:val="0"/>
        </w:rPr>
        <w:t>.</w:t>
      </w:r>
    </w:p>
    <w:p>
      <w:pPr>
        <w:pStyle w:val="Heading4"/>
        <w:keepNext/>
        <w:keepLines/>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4"/>
        <w:keepNext/>
        <w:keepLines/>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233">
        <w:r>
          <w:rPr>
            <w:b w:val="0"/>
            <w:i w:val="0"/>
            <w:color w:val="B8860B"/>
          </w:rPr>
          <w:t>ibiblio.org/pha/myths/Missing_Carriers</w:t>
        </w:r>
      </w:hyperlink>
      <w:r>
        <w:rPr>
          <w:b w:val="0"/>
          <w:i w:val="0"/>
        </w:rPr>
        <w:t>.</w:t>
      </w:r>
    </w:p>
    <w:p>
      <w:pPr>
        <w:pStyle w:val="Heading4"/>
        <w:keepNext/>
        <w:keepLines/>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3"/>
        <w:keepNext/>
        <w:keepLines/>
      </w:pPr>
      <w:r>
        <w:t>II. The Nuclear Question</w:t>
      </w:r>
    </w:p>
    <w:p>
      <w:pPr>
        <w:pStyle w:val="Heading4"/>
        <w:keepNext/>
        <w:keepLines/>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234">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227">
        <w:r>
          <w:rPr>
            <w:b w:val="0"/>
            <w:i w:val="0"/>
            <w:color w:val="B8860B"/>
            <w:sz w:val="19"/>
          </w:rPr>
          <w:t>"A Forgotten Holocaust"</w:t>
        </w:r>
      </w:hyperlink>
      <w:r>
        <w:rPr>
          <w:b w:val="0"/>
          <w:i w:val="0"/>
          <w:sz w:val="19"/>
        </w:rPr>
        <w:t xml:space="preserve"> — Asia Pacific Journal</w:t>
      </w:r>
    </w:p>
    <w:p>
      <w:pPr>
        <w:pStyle w:val="ListBullet"/>
        <w:spacing w:before="20" w:after="20"/>
      </w:pPr>
      <w:hyperlink r:id="rId235">
        <w:r>
          <w:rPr>
            <w:b w:val="0"/>
            <w:i w:val="0"/>
            <w:color w:val="B8860B"/>
            <w:sz w:val="19"/>
          </w:rPr>
          <w:t>heiwaco.tripod.com/bomb.htm</w:t>
        </w:r>
      </w:hyperlink>
    </w:p>
    <w:p>
      <w:pPr>
        <w:pStyle w:val="Heading4"/>
        <w:keepNext/>
        <w:keepLines/>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236">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4"/>
        <w:keepNext/>
        <w:keepLines/>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3"/>
        <w:keepNext/>
        <w:keepLines/>
      </w:pPr>
      <w:r>
        <w:t>III. The Battle of Los Angeles (February 24–25, 1942)</w:t>
      </w:r>
    </w:p>
    <w:p>
      <w:pPr>
        <w:pStyle w:val="Heading4"/>
        <w:keepNext/>
        <w:keepLines/>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4"/>
        <w:keepNext/>
        <w:keepLines/>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4"/>
        <w:keepNext/>
        <w:keepLines/>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4"/>
        <w:keepNext/>
        <w:keepLines/>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225">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3"/>
        <w:keepNext/>
        <w:keepLines/>
      </w:pPr>
      <w:r>
        <w:t>IV. The Encyclopedia of 20th-Century False Flags</w:t>
      </w:r>
    </w:p>
    <w:p>
      <w:pPr>
        <w:pStyle w:val="Heading4"/>
        <w:keepNext/>
        <w:keepLines/>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4"/>
        <w:keepNext/>
        <w:keepLines/>
      </w:pPr>
      <w:r>
        <w:t>Reichstag Fire (1933)</w:t>
      </w:r>
    </w:p>
    <w:p>
      <w:r>
        <w:rPr>
          <w:b w:val="0"/>
          <w:i w:val="0"/>
        </w:rPr>
        <w:t xml:space="preserve">The burning of the German parliament building was blamed on communist Marinus van der Lubbe. Hitler used it to suspend civil liberties via the </w:t>
      </w:r>
      <w:hyperlink r:id="rId237">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4"/>
        <w:keepNext/>
        <w:keepLines/>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4"/>
        <w:keepNext/>
        <w:keepLines/>
      </w:pPr>
      <w:r>
        <w:t>Gulf of Tonkin (1964)</w:t>
      </w:r>
    </w:p>
    <w:p>
      <w:r>
        <w:rPr>
          <w:b w:val="0"/>
          <w:i w:val="0"/>
        </w:rPr>
        <w:t xml:space="preserve">The alleged North Vietnamese attack on USS Maddox — used by LBJ to escalate the Vietnam War through the Gulf of Tonkin Resolution — was </w:t>
      </w:r>
      <w:hyperlink r:id="rId238">
        <w:r>
          <w:rPr>
            <w:b w:val="0"/>
            <w:i w:val="0"/>
            <w:color w:val="B8860B"/>
          </w:rPr>
          <w:t>later acknowledged to have been largely fabricated</w:t>
        </w:r>
      </w:hyperlink>
      <w:r>
        <w:rPr>
          <w:b w:val="0"/>
          <w:i w:val="0"/>
        </w:rPr>
        <w:t>. NSA documents declassified in 2005 confirmed the second attack never occurred.</w:t>
      </w:r>
    </w:p>
    <w:p>
      <w:pPr>
        <w:pStyle w:val="Heading4"/>
        <w:keepNext/>
        <w:keepLines/>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4"/>
        <w:keepNext/>
        <w:keepLines/>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4"/>
        <w:keepNext/>
        <w:keepLines/>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4"/>
        <w:keepNext/>
        <w:keepLines/>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4"/>
        <w:keepNext/>
        <w:keepLines/>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4"/>
        <w:keepNext/>
        <w:keepLines/>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4"/>
        <w:keepNext/>
        <w:keepLines/>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3"/>
        <w:keepNext/>
        <w:keepLines/>
      </w:pPr>
      <w:r>
        <w:t>V. Controlled Opposition Militant Groups</w:t>
      </w:r>
    </w:p>
    <w:p>
      <w:pPr>
        <w:pStyle w:val="Heading4"/>
        <w:keepNext/>
        <w:keepLines/>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4"/>
        <w:keepNext/>
        <w:keepLines/>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4"/>
        <w:keepNext/>
        <w:keepLines/>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3"/>
        <w:keepNext/>
        <w:keepLines/>
      </w:pPr>
      <w:r>
        <w:t>VI. Source Bibliography</w:t>
      </w:r>
    </w:p>
    <w:p>
      <w:pPr>
        <w:pStyle w:val="Heading4"/>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4"/>
        <w:keepNext/>
        <w:keepLines/>
      </w:pPr>
      <w:r>
        <w:t>Articles and Documents</w:t>
      </w:r>
    </w:p>
    <w:p>
      <w:pPr>
        <w:pStyle w:val="ListBullet"/>
        <w:spacing w:before="20" w:after="20"/>
      </w:pPr>
      <w:r>
        <w:rPr>
          <w:b w:val="0"/>
          <w:i w:val="0"/>
          <w:sz w:val="19"/>
        </w:rPr>
        <w:t xml:space="preserve">James Perloff, </w:t>
      </w:r>
      <w:hyperlink r:id="rId226">
        <w:r>
          <w:rPr>
            <w:b w:val="0"/>
            <w:i w:val="0"/>
            <w:color w:val="B8860B"/>
            <w:sz w:val="19"/>
          </w:rPr>
          <w:t>"Pearl Harbor: Roosevelt's 9/11"</w:t>
        </w:r>
      </w:hyperlink>
      <w:r>
        <w:rPr>
          <w:b w:val="0"/>
          <w:i w:val="0"/>
          <w:sz w:val="19"/>
        </w:rPr>
        <w:t xml:space="preserve"> (2014)</w:t>
      </w:r>
    </w:p>
    <w:p>
      <w:pPr>
        <w:pStyle w:val="ListBullet"/>
        <w:spacing w:before="20" w:after="20"/>
      </w:pPr>
      <w:hyperlink r:id="rId229">
        <w:r>
          <w:rPr>
            <w:b w:val="0"/>
            <w:i w:val="0"/>
            <w:color w:val="B8860B"/>
            <w:sz w:val="19"/>
          </w:rPr>
          <w:t>FalseFlag.info: Pearl Harbor</w:t>
        </w:r>
      </w:hyperlink>
    </w:p>
    <w:p>
      <w:pPr>
        <w:pStyle w:val="ListBullet"/>
        <w:spacing w:before="20" w:after="20"/>
      </w:pPr>
      <w:hyperlink r:id="rId230">
        <w:r>
          <w:rPr>
            <w:b w:val="0"/>
            <w:i w:val="0"/>
            <w:color w:val="B8860B"/>
            <w:sz w:val="19"/>
          </w:rPr>
          <w:t>The Encyclopedia of False Flag Staged Operations</w:t>
        </w:r>
      </w:hyperlink>
    </w:p>
    <w:p>
      <w:pPr>
        <w:pStyle w:val="ListBullet"/>
        <w:spacing w:before="20" w:after="20"/>
      </w:pPr>
      <w:hyperlink r:id="rId232">
        <w:r>
          <w:rPr>
            <w:b w:val="0"/>
            <w:i w:val="0"/>
            <w:color w:val="B8860B"/>
            <w:sz w:val="19"/>
          </w:rPr>
          <w:t>Pearl Harbor advance-knowledge conspiracy theory</w:t>
        </w:r>
      </w:hyperlink>
      <w:r>
        <w:rPr>
          <w:b w:val="0"/>
          <w:i w:val="0"/>
          <w:sz w:val="19"/>
        </w:rPr>
        <w:t>, Wikipedia</w:t>
      </w:r>
    </w:p>
    <w:p>
      <w:pPr>
        <w:pStyle w:val="ListBullet"/>
        <w:spacing w:before="20" w:after="20"/>
      </w:pPr>
      <w:hyperlink r:id="rId231">
        <w:r>
          <w:rPr>
            <w:b w:val="0"/>
            <w:i w:val="0"/>
            <w:color w:val="B8860B"/>
            <w:sz w:val="19"/>
          </w:rPr>
          <w:t>McCollum memo</w:t>
        </w:r>
      </w:hyperlink>
      <w:r>
        <w:rPr>
          <w:b w:val="0"/>
          <w:i w:val="0"/>
          <w:sz w:val="19"/>
        </w:rPr>
        <w:t>, Wikipedia</w:t>
      </w:r>
    </w:p>
    <w:p>
      <w:pPr>
        <w:pStyle w:val="ListBullet"/>
        <w:spacing w:before="20" w:after="20"/>
      </w:pPr>
      <w:hyperlink r:id="rId228">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227">
        <w:r>
          <w:rPr>
            <w:b w:val="0"/>
            <w:i w:val="0"/>
            <w:color w:val="B8860B"/>
            <w:sz w:val="19"/>
          </w:rPr>
          <w:t>"A Forgotten Holocaust"</w:t>
        </w:r>
      </w:hyperlink>
      <w:r>
        <w:rPr>
          <w:b w:val="0"/>
          <w:i w:val="0"/>
          <w:sz w:val="19"/>
        </w:rPr>
        <w:t>, Asia Pacific Journal</w:t>
      </w:r>
    </w:p>
    <w:p>
      <w:pPr>
        <w:pStyle w:val="ListBullet"/>
        <w:spacing w:before="20" w:after="20"/>
      </w:pPr>
      <w:hyperlink r:id="rId234">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239">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4"/>
        <w:keepNext/>
        <w:keepLines/>
      </w:pPr>
      <w:r>
        <w:t>Cross-References in This Timeline</w:t>
      </w:r>
    </w:p>
    <w:p>
      <w:pPr>
        <w:pStyle w:val="ListBullet"/>
        <w:spacing w:before="20" w:after="20"/>
      </w:pPr>
      <w:hyperlink r:id="rId15">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11">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192">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240">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225">
        <w:r>
          <w:rPr>
            <w:b w:val="0"/>
            <w:i w:val="0"/>
            <w:color w:val="B8860B"/>
            <w:sz w:val="19"/>
          </w:rPr>
          <w:t>Mars Contacts Timeline</w:t>
        </w:r>
      </w:hyperlink>
      <w:r>
        <w:rPr>
          <w:b w:val="0"/>
          <w:i w:val="0"/>
          <w:sz w:val="19"/>
        </w:rPr>
        <w:t xml:space="preserve"> — the Battle of Los Angeles in the context of anomalous aerial phenomena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Deep State and Empire</w:t>
      </w:r>
    </w:p>
    <w:p>
      <w:r>
        <w:rPr>
          <w:b w:val="0"/>
          <w:i w:val="0"/>
        </w:rPr>
        <w:t>Evidence for the breakup of the Hordian Empire, slave trades as fracture mechanism, and the British Empire as deep-state case studies.</w:t>
      </w:r>
    </w:p>
    <w:p>
      <w:pPr>
        <w:pStyle w:val="ListBullet"/>
        <w:spacing w:before="20" w:after="20"/>
      </w:pPr>
      <w:hyperlink r:id="rId32">
        <w:r>
          <w:rPr>
            <w:b w:val="0"/>
            <w:i w:val="0"/>
            <w:color w:val="B8860B"/>
            <w:sz w:val="19"/>
          </w:rPr>
          <w:t>Deep State breaks up the Hordian Empire</w:t>
        </w:r>
      </w:hyperlink>
    </w:p>
    <w:p>
      <w:pPr>
        <w:pStyle w:val="ListBullet"/>
        <w:spacing w:before="20" w:after="20"/>
      </w:pPr>
      <w:hyperlink r:id="rId33">
        <w:r>
          <w:rPr>
            <w:b w:val="0"/>
            <w:i w:val="0"/>
            <w:color w:val="B8860B"/>
            <w:sz w:val="19"/>
          </w:rPr>
          <w:t>Slave Trades: Evidence and Horde-Fracture Thesis</w:t>
        </w:r>
      </w:hyperlink>
    </w:p>
    <w:p>
      <w:pPr>
        <w:pStyle w:val="ListBullet"/>
        <w:spacing w:before="20" w:after="20"/>
      </w:pPr>
      <w:hyperlink r:id="rId34">
        <w:r>
          <w:rPr>
            <w:b w:val="0"/>
            <w:i w:val="0"/>
            <w:color w:val="B8860B"/>
            <w:sz w:val="19"/>
          </w:rPr>
          <w:t>British Empire as Deep State: Case Studies</w:t>
        </w:r>
      </w:hyperlink>
    </w:p>
    <w:p/>
    <w:p>
      <w:pPr>
        <w:jc w:val="center"/>
      </w:pPr>
      <w:r>
        <w:rPr>
          <w:color w:val="B8860B"/>
          <w:sz w:val="24"/>
        </w:rPr>
        <w:t>— ✦ —</w:t>
      </w:r>
    </w:p>
    <w:p>
      <w:r>
        <w:rPr>
          <w:b w:val="0"/>
          <w:i w:val="0"/>
        </w:rPr>
        <w:t xml:space="preserve">This appendix extends </w:t>
      </w:r>
      <w:hyperlink r:id="rId217">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41">
        <w:r>
          <w:rPr>
            <w:b w:val="0"/>
            <w:i w:val="0"/>
            <w:color w:val="B8860B"/>
          </w:rPr>
          <w:t>modernization campaign</w:t>
        </w:r>
      </w:hyperlink>
      <w:r>
        <w:rPr>
          <w:b w:val="0"/>
          <w:i w:val="0"/>
        </w:rPr>
        <w:t xml:space="preserve"> — reformed calendar and </w:t>
      </w:r>
      <w:hyperlink r:id="rId242">
        <w:r>
          <w:rPr>
            <w:b w:val="0"/>
            <w:i w:val="0"/>
            <w:color w:val="B8860B"/>
          </w:rPr>
          <w:t>alphabet</w:t>
        </w:r>
      </w:hyperlink>
      <w:r>
        <w:rPr>
          <w:b w:val="0"/>
          <w:i w:val="0"/>
        </w:rPr>
        <w:t xml:space="preserve">, moved capital to St Petersburg — pressured Orthodox Church's autonomy. </w:t>
      </w:r>
      <w:hyperlink r:id="rId243">
        <w:r>
          <w:rPr>
            <w:b w:val="0"/>
            <w:i w:val="0"/>
            <w:color w:val="B8860B"/>
          </w:rPr>
          <w:t>Anti-Russian Sentiment</w:t>
        </w:r>
      </w:hyperlink>
      <w:r>
        <w:rPr>
          <w:b w:val="0"/>
          <w:i w:val="0"/>
        </w:rPr>
        <w:t xml:space="preserve"> continues three centuries; </w:t>
      </w:r>
      <w:hyperlink r:id="rId244">
        <w:r>
          <w:rPr>
            <w:b w:val="0"/>
            <w:i w:val="0"/>
            <w:color w:val="B8860B"/>
          </w:rPr>
          <w:t>still active</w:t>
        </w:r>
      </w:hyperlink>
      <w:r>
        <w:rPr>
          <w:b w:val="0"/>
          <w:i w:val="0"/>
        </w:rPr>
        <w:t>.</w:t>
      </w:r>
    </w:p>
    <w:p>
      <w:pPr>
        <w:pStyle w:val="Heading3"/>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45">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46">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47">
        <w:r>
          <w:rPr>
            <w:b w:val="0"/>
            <w:i w:val="0"/>
            <w:color w:val="B8860B"/>
          </w:rPr>
          <w:t>religious schism</w:t>
        </w:r>
      </w:hyperlink>
      <w:r>
        <w:rPr>
          <w:b w:val="0"/>
          <w:i w:val="0"/>
        </w:rPr>
        <w:t xml:space="preserve">, </w:t>
      </w:r>
      <w:hyperlink r:id="rId248">
        <w:r>
          <w:rPr>
            <w:b w:val="0"/>
            <w:i w:val="0"/>
            <w:color w:val="B8860B"/>
          </w:rPr>
          <w:t>Inquisition</w:t>
        </w:r>
      </w:hyperlink>
      <w:r>
        <w:rPr>
          <w:b w:val="0"/>
          <w:i w:val="0"/>
        </w:rPr>
        <w:t xml:space="preserve">, </w:t>
      </w:r>
      <w:hyperlink r:id="rId201">
        <w:r>
          <w:rPr>
            <w:b w:val="0"/>
            <w:i w:val="0"/>
            <w:color w:val="B8860B"/>
          </w:rPr>
          <w:t>Latin</w:t>
        </w:r>
      </w:hyperlink>
      <w:r>
        <w:rPr>
          <w:b w:val="0"/>
          <w:i w:val="0"/>
        </w:rPr>
        <w:t xml:space="preserve">, </w:t>
      </w:r>
      <w:hyperlink r:id="rId219">
        <w:r>
          <w:rPr>
            <w:b w:val="0"/>
            <w:i w:val="0"/>
            <w:color w:val="B8860B"/>
          </w:rPr>
          <w:t>Romanov usurpers</w:t>
        </w:r>
      </w:hyperlink>
      <w:r>
        <w:rPr>
          <w:b w:val="0"/>
          <w:i w:val="0"/>
        </w:rPr>
        <w:t>. The silence was memory, not mystery.</w:t>
      </w:r>
    </w:p>
    <w:p>
      <w:pPr>
        <w:pStyle w:val="Heading3"/>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49">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3"/>
        <w:keepNext/>
        <w:keepLines/>
      </w:pPr>
      <w:r>
        <w:t>The Double-Headed Eagle as Crescent-and-Star</w:t>
      </w:r>
    </w:p>
    <w:p>
      <w:r>
        <w:rPr>
          <w:b w:val="0"/>
          <w:i w:val="0"/>
        </w:rPr>
        <w:t>Per Fomenko (</w:t>
      </w:r>
      <w:hyperlink r:id="rId249">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3"/>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50">
        <w:r>
          <w:rPr>
            <w:b w:val="0"/>
            <w:i w:val="0"/>
            <w:color w:val="B8860B"/>
          </w:rPr>
          <w:t>Ch.8 §1</w:t>
        </w:r>
      </w:hyperlink>
      <w:r>
        <w:rPr>
          <w:b w:val="0"/>
          <w:i w:val="0"/>
        </w:rPr>
        <w:t>)</w:t>
      </w:r>
    </w:p>
    <w:p/>
    <w:p>
      <w:pPr>
        <w:jc w:val="center"/>
      </w:pPr>
      <w:r>
        <w:rPr>
          <w:color w:val="B8860B"/>
          <w:sz w:val="24"/>
        </w:rPr>
        <w:t>— ✦ —</w:t>
      </w:r>
    </w:p>
    <w:p>
      <w:r>
        <w:rPr>
          <w:b w:val="0"/>
          <w:i w:val="0"/>
        </w:rPr>
        <w:t xml:space="preserve">This appendix extends </w:t>
      </w:r>
      <w:hyperlink r:id="rId217">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3"/>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3"/>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3"/>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51">
        <w:r>
          <w:rPr>
            <w:b w:val="0"/>
            <w:i w:val="0"/>
            <w:color w:val="B8860B"/>
          </w:rPr>
          <w:t>Romanov Seizure</w:t>
        </w:r>
      </w:hyperlink>
      <w:r>
        <w:rPr>
          <w:b w:val="0"/>
          <w:i w:val="0"/>
        </w:rPr>
        <w:t xml:space="preserve">, </w:t>
      </w:r>
      <w:hyperlink r:id="rId217">
        <w:r>
          <w:rPr>
            <w:b w:val="0"/>
            <w:i w:val="0"/>
            <w:color w:val="B8860B"/>
          </w:rPr>
          <w:t>Deep State breaks up the Hordian Empire</w:t>
        </w:r>
      </w:hyperlink>
      <w:r>
        <w:rPr>
          <w:b w:val="0"/>
          <w:i w:val="0"/>
        </w:rPr>
        <w:t xml:space="preserve">, </w:t>
      </w:r>
      <w:hyperlink r:id="rId240">
        <w:r>
          <w:rPr>
            <w:b w:val="0"/>
            <w:i w:val="0"/>
            <w:color w:val="B8860B"/>
          </w:rPr>
          <w:t>British Empire as Deep State</w:t>
        </w:r>
      </w:hyperlink>
      <w:r>
        <w:rPr>
          <w:b w:val="0"/>
          <w:i w:val="0"/>
        </w:rPr>
        <w:t>.</w:t>
      </w:r>
    </w:p>
    <w:p>
      <w:pPr>
        <w:pBdr>
          <w:bottom w:val="single" w:sz="6" w:space="1" w:color="CCCCCC"/>
        </w:pBdr>
      </w:pPr>
    </w:p>
    <w:p>
      <w:pPr>
        <w:pStyle w:val="Heading3"/>
        <w:keepNext/>
        <w:keepLines/>
      </w:pPr>
      <w:r>
        <w:t>Cross-References</w:t>
      </w:r>
    </w:p>
    <w:p>
      <w:pPr>
        <w:pStyle w:val="ListBullet"/>
        <w:spacing w:before="20" w:after="20"/>
      </w:pPr>
      <w:hyperlink r:id="rId34">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52">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25">
        <w:r>
          <w:rPr>
            <w:b w:val="0"/>
            <w:i w:val="0"/>
            <w:color w:val="B8860B"/>
            <w:sz w:val="19"/>
          </w:rPr>
          <w:t>Population Control</w:t>
        </w:r>
      </w:hyperlink>
      <w:r>
        <w:rPr>
          <w:b w:val="0"/>
          <w:i w:val="0"/>
          <w:sz w:val="19"/>
        </w:rPr>
        <w:t xml:space="preserve"> — Long-span thesis (1492+)</w:t>
      </w:r>
    </w:p>
    <w:p/>
    <w:p>
      <w:pPr>
        <w:jc w:val="center"/>
      </w:pPr>
      <w:r>
        <w:rPr>
          <w:color w:val="B8860B"/>
          <w:sz w:val="24"/>
        </w:rPr>
        <w:t>— ✦ —</w:t>
      </w:r>
    </w:p>
    <w:p>
      <w:r>
        <w:rPr>
          <w:b w:val="0"/>
          <w:i w:val="0"/>
        </w:rPr>
        <w:t xml:space="preserve">This appendix extends </w:t>
      </w:r>
      <w:hyperlink r:id="rId240">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53">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54">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20">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55">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17">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56">
        <w:r>
          <w:rPr>
            <w:b w:val="0"/>
            <w:i w:val="0"/>
            <w:color w:val="B8860B"/>
          </w:rPr>
          <w:t>Opium Wars</w:t>
        </w:r>
      </w:hyperlink>
      <w:r>
        <w:rPr>
          <w:b w:val="0"/>
          <w:i w:val="0"/>
        </w:rPr>
        <w:t xml:space="preserve"> broke Chinese sovereignty; </w:t>
      </w:r>
      <w:hyperlink r:id="rId257">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r>
        <w:rPr>
          <w:b w:val="0"/>
          <w:i w:val="0"/>
        </w:rPr>
      </w:r>
      <w:r>
        <w:rPr>
          <w:b/>
          <w:i w:val="0"/>
        </w:rPr>
        <w:t>Pitcairn Islands (1830s–present):</w:t>
      </w:r>
      <w:r>
        <w:rPr>
          <w:b w:val="0"/>
          <w:i w:val="0"/>
        </w:rPr>
        <w:t xml:space="preserve"> The UK overseas territory is a </w:t>
      </w:r>
      <w:r>
        <w:rPr>
          <w:b w:val="0"/>
          <w:i/>
        </w:rPr>
        <w:t>fast-track microcosm</w:t>
      </w:r>
      <w:r>
        <w:rPr>
          <w:b w:val="0"/>
          <w:i w:val="0"/>
        </w:rPr>
        <w:t xml:space="preserve"> of empire method at small scale. The whole community was lifted off the rock twice in the nineteenth century — 1831–1833 (Tahiti) and 1856 (Norfolk) with return waves — under British shipping, policy, and missionary administration: the same reshape-the-population-then-retell move used on larger colonies, with full time to sift lands, registers, and leadership before repopulating the narrative as timeless local culture. Mid-century </w:t>
      </w:r>
      <w:r>
        <w:rPr>
          <w:b w:val="0"/>
          <w:i/>
        </w:rPr>
        <w:t>Bounty</w:t>
      </w:r>
      <w:r>
        <w:rPr>
          <w:b w:val="0"/>
          <w:i w:val="0"/>
        </w:rPr>
        <w:t xml:space="preserve"> cinema foregrounded a tyrant </w:t>
      </w:r>
      <w:r>
        <w:rPr>
          <w:b/>
          <w:i w:val="0"/>
        </w:rPr>
        <w:t>Bligh</w:t>
      </w:r>
      <w:r>
        <w:rPr>
          <w:b w:val="0"/>
          <w:i w:val="0"/>
        </w:rPr>
        <w:t xml:space="preserve"> more than many books and naval records and sidelined </w:t>
      </w:r>
      <w:r>
        <w:rPr>
          <w:b/>
          <w:i w:val="0"/>
        </w:rPr>
        <w:t>Tahiti / desertion</w:t>
      </w:r>
      <w:r>
        <w:rPr>
          <w:b w:val="0"/>
          <w:i w:val="0"/>
        </w:rPr>
        <w:t xml:space="preserve"> as the mutiny’s motor; later packaging often stresses Pitcairners’ misery and “rescue” while </w:t>
      </w:r>
      <w:r>
        <w:rPr>
          <w:b/>
          <w:i w:val="0"/>
        </w:rPr>
        <w:t>voluntary returns</w:t>
      </w:r>
      <w:r>
        <w:rPr>
          <w:b w:val="0"/>
          <w:i w:val="0"/>
        </w:rPr>
        <w:t xml:space="preserve"> to the rock complicate that picture (</w:t>
      </w:r>
      <w:hyperlink r:id="rId258">
        <w:r>
          <w:rPr>
            <w:b w:val="0"/>
            <w:i w:val="0"/>
            <w:color w:val="B8860B"/>
          </w:rPr>
          <w:t>investigation §2.1</w:t>
        </w:r>
      </w:hyperlink>
      <w:r>
        <w:rPr>
          <w:b w:val="0"/>
          <w:i w:val="0"/>
        </w:rPr>
        <w:t xml:space="preserve">). From the 1833 and post-Norfolk returns onward, “pure mutineer isolation” is not something outside archives can take on trust. Crown law, governors, Auckland administration, Kent police, and Privy Council appeals gave London levers to divide islanders — men against women, kin against kin — through the 2004 and 2005 sexual-offences trials and later prosecutions, while press leaned island-first pathology and underplayed outsider and structural threads. Voyaging access, two resets, tiny population, and decades of underage sexual offending in the record (1950s imprisonments in secondary summaries; Operation Unique from 1999) sit poorly with Pitcairn as only a closed incest story. </w:t>
      </w:r>
      <w:r>
        <w:rPr>
          <w:b w:val="0"/>
          <w:i/>
        </w:rPr>
        <w:t>This chronology treats the territory as most likely having served sex trafficking or trafficking-equivalent exploitation</w:t>
      </w:r>
      <w:r>
        <w:rPr>
          <w:b w:val="0"/>
          <w:i w:val="0"/>
        </w:rPr>
        <w:t xml:space="preserve"> — crew, visitors, digital supply, UK legal theatre — for roughly the last eighty years, possibly longer into the post-reorganization twentieth century; court and UN language prefer “endemic abuse” over commercial trafficking, and the gap is left for evidence. Full argument: </w:t>
      </w:r>
      <w:hyperlink r:id="rId259">
        <w:r>
          <w:rPr>
            <w:b w:val="0"/>
            <w:i w:val="0"/>
            <w:color w:val="B8860B"/>
          </w:rPr>
          <w:t>Pitcairn: mutiny, sovereignty, and law</w:t>
        </w:r>
      </w:hyperlink>
      <w:r>
        <w:rPr>
          <w:b w:val="0"/>
          <w:i w:val="0"/>
        </w:rPr>
        <w:t xml:space="preserve"> in paradigm-threat-files; </w:t>
      </w:r>
      <w:hyperlink r:id="rId260">
        <w:r>
          <w:rPr>
            <w:b w:val="0"/>
            <w:i w:val="0"/>
            <w:color w:val="B8860B"/>
          </w:rPr>
          <w:t>timeline companion</w:t>
        </w:r>
      </w:hyperlink>
      <w:r>
        <w:rPr>
          <w:b w:val="0"/>
          <w:i w:val="0"/>
        </w:rPr>
        <w:t>.</w:t>
      </w:r>
    </w:p>
    <w:p/>
    <w:p>
      <w:pPr>
        <w:jc w:val="center"/>
      </w:pPr>
      <w:r>
        <w:rPr>
          <w:color w:val="B8860B"/>
          <w:sz w:val="24"/>
        </w:rPr>
        <w:t>— ✦ —</w:t>
      </w:r>
    </w:p>
    <w:p>
      <w:r>
        <w:rPr>
          <w:b w:val="0"/>
          <w:i w:val="0"/>
        </w:rPr>
        <w:t xml:space="preserve">The Jesuits — the </w:t>
      </w:r>
      <w:hyperlink r:id="rId261">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62">
        <w:r>
          <w:rPr>
            <w:b w:val="0"/>
            <w:i w:val="0"/>
            <w:color w:val="B8860B"/>
          </w:rPr>
          <w:t>Deep State redacts Christianity</w:t>
        </w:r>
      </w:hyperlink>
      <w:r>
        <w:rPr>
          <w:b w:val="0"/>
          <w:i w:val="0"/>
        </w:rPr>
        <w:t xml:space="preserve">. The nineteenth-century </w:t>
      </w:r>
      <w:r>
        <w:rPr>
          <w:b/>
          <w:i w:val="0"/>
        </w:rPr>
        <w:t>restoration, Protestant capture of maps, Jerusalem III, and the 324-year gap</w:t>
      </w:r>
      <w:r>
        <w:rPr>
          <w:b w:val="0"/>
          <w:i w:val="0"/>
        </w:rPr>
        <w:t xml:space="preserve"> thesis is book-facing in </w:t>
      </w:r>
      <w:hyperlink r:id="rId252">
        <w:r>
          <w:rPr>
            <w:b w:val="0"/>
            <w:i w:val="0"/>
            <w:color w:val="B8860B"/>
          </w:rPr>
          <w:t>Jesuit Restoration: Mission Pattern</w:t>
        </w:r>
      </w:hyperlink>
      <w:r>
        <w:rPr>
          <w:b w:val="0"/>
          <w:i w:val="0"/>
        </w:rPr>
        <w:t xml:space="preserve">; detail follows in the section </w:t>
      </w:r>
      <w:r>
        <w:rPr>
          <w:b/>
          <w:i w:val="0"/>
        </w:rPr>
        <w:t>1814 restoration and the Protestant capture of the archive</w:t>
      </w:r>
      <w:r>
        <w:rPr>
          <w:b w:val="0"/>
          <w:i w:val="0"/>
        </w:rPr>
        <w:t xml:space="preserve"> below.</w:t>
      </w:r>
    </w:p>
    <w:p>
      <w:pPr>
        <w:pStyle w:val="Heading3"/>
        <w:keepNext/>
        <w:keepLines/>
      </w:pPr>
      <w:r>
        <w:t>The Founding</w:t>
      </w:r>
    </w:p>
    <w:p>
      <w:r>
        <w:rPr>
          <w:b w:val="0"/>
          <w:i w:val="0"/>
        </w:rPr>
        <w:t xml:space="preserve">The Society of Jesus was established in 1534 by </w:t>
      </w:r>
      <w:hyperlink r:id="rId263">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64">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3"/>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3"/>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65">
        <w:r>
          <w:rPr>
            <w:b w:val="0"/>
            <w:i w:val="0"/>
            <w:color w:val="B8860B"/>
          </w:rPr>
          <w:t>military operations</w:t>
        </w:r>
      </w:hyperlink>
      <w:r>
        <w:rPr>
          <w:b w:val="0"/>
          <w:i w:val="0"/>
        </w:rPr>
        <w:t xml:space="preserve"> were deployed.</w:t>
      </w:r>
    </w:p>
    <w:p>
      <w:pPr>
        <w:pStyle w:val="Heading3"/>
        <w:keepNext/>
        <w:keepLines/>
      </w:pPr>
      <w:r>
        <w:t>Jesuits Reach America</w:t>
      </w:r>
    </w:p>
    <w:p>
      <w:r>
        <w:rPr>
          <w:b w:val="0"/>
          <w:i w:val="0"/>
        </w:rPr>
        <w:t xml:space="preserve">The 1492 Crusade carried Jesuits westward into Mesoamerica, where populations' astronomical knowledge often surpassed Europe's. The surviving </w:t>
      </w:r>
      <w:hyperlink r:id="rId266">
        <w:r>
          <w:rPr>
            <w:b w:val="0"/>
            <w:i w:val="0"/>
            <w:color w:val="B8860B"/>
          </w:rPr>
          <w:t>Maya codices</w:t>
        </w:r>
      </w:hyperlink>
      <w:r>
        <w:rPr>
          <w:b w:val="0"/>
          <w:i w:val="0"/>
        </w:rPr>
        <w:t xml:space="preserve"> exist because Jesuits and Franciscans preserved them while colonial administration destroyed the rest. </w:t>
      </w:r>
      <w:hyperlink r:id="rId267">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68">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Bdr>
          <w:bottom w:val="single" w:sz="6" w:space="1" w:color="CCCCCC"/>
        </w:pBdr>
      </w:pPr>
    </w:p>
    <w:p>
      <w:pPr>
        <w:pStyle w:val="Heading3"/>
        <w:keepNext/>
        <w:keepLines/>
      </w:pPr>
      <w:r>
        <w:t>1814 restoration and the Protestant capture of the archive</w:t>
      </w:r>
    </w:p>
    <w:p>
      <w:pPr>
        <w:pStyle w:val="Heading4"/>
        <w:keepNext/>
        <w:keepLines/>
      </w:pPr>
      <w:r>
        <w:t>What the missions actually built</w:t>
      </w:r>
    </w:p>
    <w:p>
      <w:r>
        <w:rPr>
          <w:b w:val="0"/>
          <w:i w:val="0"/>
        </w:rPr>
        <w:t xml:space="preserve">Across the Americas, Asia, and Africa, Jesuit missions combined conversion pressure with </w:t>
      </w:r>
      <w:r>
        <w:rPr>
          <w:b/>
          <w:i w:val="0"/>
        </w:rPr>
        <w:t>serious linguistics and ethnography</w:t>
      </w:r>
      <w:r>
        <w:rPr>
          <w:b w:val="0"/>
          <w:i w:val="0"/>
        </w:rPr>
        <w:t xml:space="preserve">: grammars, </w:t>
      </w:r>
      <w:r>
        <w:rPr>
          <w:b w:val="0"/>
          <w:i/>
        </w:rPr>
        <w:t>Relations</w:t>
      </w:r>
      <w:r>
        <w:rPr>
          <w:b w:val="0"/>
          <w:i w:val="0"/>
        </w:rPr>
        <w:t xml:space="preserve">, star knowledge, plant lore, and political sketch maps. Where time allowed, fathers often </w:t>
      </w:r>
      <w:r>
        <w:rPr>
          <w:b/>
          <w:i w:val="0"/>
        </w:rPr>
        <w:t>negotiated</w:t>
      </w:r>
      <w:r>
        <w:rPr>
          <w:b w:val="0"/>
          <w:i w:val="0"/>
        </w:rPr>
        <w:t xml:space="preserve"> local rites into a Catholic frame instead of smashing them on first contact. The honor of that work—whatever its complicity with empire—is that much of the archive preserves </w:t>
      </w:r>
      <w:r>
        <w:rPr>
          <w:b/>
          <w:i w:val="0"/>
        </w:rPr>
        <w:t>indigenous content</w:t>
      </w:r>
      <w:r>
        <w:rPr>
          <w:b w:val="0"/>
          <w:i w:val="0"/>
        </w:rPr>
        <w:t xml:space="preserve"> that later regimes preferred to forget.</w:t>
      </w:r>
    </w:p>
    <w:p>
      <w:pPr>
        <w:pStyle w:val="Heading4"/>
        <w:keepNext/>
        <w:keepLines/>
      </w:pPr>
      <w:r>
        <w:t>Hijack of the Russian–Jesuit synthesis</w:t>
      </w:r>
    </w:p>
    <w:p>
      <w:r>
        <w:rPr>
          <w:b w:val="0"/>
          <w:i w:val="0"/>
        </w:rPr>
        <w:t xml:space="preserve">This chronology holds that </w:t>
      </w:r>
      <w:r>
        <w:rPr>
          <w:b/>
          <w:i w:val="0"/>
        </w:rPr>
        <w:t>Protestant</w:t>
      </w:r>
      <w:r>
        <w:rPr>
          <w:b w:val="0"/>
          <w:i w:val="0"/>
        </w:rPr>
        <w:t xml:space="preserve"> scholarly and </w:t>
      </w:r>
      <w:r>
        <w:rPr>
          <w:b/>
          <w:i w:val="0"/>
        </w:rPr>
        <w:t>financial</w:t>
      </w:r>
      <w:r>
        <w:rPr>
          <w:b w:val="0"/>
          <w:i w:val="0"/>
        </w:rPr>
        <w:t xml:space="preserve"> networks did not merely disagree with Rome; they </w:t>
      </w:r>
      <w:r>
        <w:rPr>
          <w:b/>
          <w:i w:val="0"/>
        </w:rPr>
        <w:t>inherited</w:t>
      </w:r>
      <w:r>
        <w:rPr>
          <w:b w:val="0"/>
          <w:i w:val="0"/>
        </w:rPr>
        <w:t xml:space="preserve"> the practical output of the Romanov–Jesuit world—atlas plates, route knowledge, ethnographic files—after that output had been laundered through courts and trading houses. “Russian” cartography and chronography in the eighteenth century already mixed Horde, Romanov, and Jesuit labor; the nineteenth-century </w:t>
      </w:r>
      <w:r>
        <w:rPr>
          <w:b/>
          <w:i w:val="0"/>
        </w:rPr>
        <w:t>deep state</w:t>
      </w:r>
      <w:r>
        <w:rPr>
          <w:b w:val="0"/>
          <w:i w:val="0"/>
        </w:rPr>
        <w:t xml:space="preserve"> sat in a position to </w:t>
      </w:r>
      <w:r>
        <w:rPr>
          <w:b/>
          <w:i w:val="0"/>
        </w:rPr>
        <w:t>relabel</w:t>
      </w:r>
      <w:r>
        <w:rPr>
          <w:b w:val="0"/>
          <w:i w:val="0"/>
        </w:rPr>
        <w:t xml:space="preserve"> that synthesis as </w:t>
      </w:r>
      <w:r>
        <w:rPr>
          <w:b/>
          <w:i w:val="0"/>
        </w:rPr>
        <w:t>neutral science</w:t>
      </w:r>
      <w:r>
        <w:rPr>
          <w:b w:val="0"/>
          <w:i w:val="0"/>
        </w:rPr>
        <w:t xml:space="preserve"> while stripping its Hordian frame. The </w:t>
      </w:r>
      <w:r>
        <w:rPr>
          <w:b/>
          <w:i w:val="0"/>
        </w:rPr>
        <w:t>1814</w:t>
      </w:r>
      <w:r>
        <w:rPr>
          <w:b w:val="0"/>
          <w:i w:val="0"/>
        </w:rPr>
        <w:t xml:space="preserve"> restoration of the Society did not reverse that shift: it brought the Jesuits back </w:t>
      </w:r>
      <w:r>
        <w:rPr>
          <w:b/>
          <w:i w:val="0"/>
        </w:rPr>
        <w:t>under papal law</w:t>
      </w:r>
      <w:r>
        <w:rPr>
          <w:b w:val="0"/>
          <w:i w:val="0"/>
        </w:rPr>
        <w:t xml:space="preserve"> while leaving </w:t>
      </w:r>
      <w:r>
        <w:rPr>
          <w:b/>
          <w:i w:val="0"/>
        </w:rPr>
        <w:t>print culture, university chairs, and finance</w:t>
      </w:r>
      <w:r>
        <w:rPr>
          <w:b w:val="0"/>
          <w:i w:val="0"/>
        </w:rPr>
        <w:t xml:space="preserve"> largely in Protestant or latitudinarian hands. In this reading, restored provinces had to </w:t>
      </w:r>
      <w:r>
        <w:rPr>
          <w:b/>
          <w:i w:val="0"/>
        </w:rPr>
        <w:t>teach</w:t>
      </w:r>
      <w:r>
        <w:rPr>
          <w:b w:val="0"/>
          <w:i w:val="0"/>
        </w:rPr>
        <w:t xml:space="preserve"> and </w:t>
      </w:r>
      <w:r>
        <w:rPr>
          <w:b/>
          <w:i w:val="0"/>
        </w:rPr>
        <w:t>cite</w:t>
      </w:r>
      <w:r>
        <w:rPr>
          <w:b w:val="0"/>
          <w:i w:val="0"/>
        </w:rPr>
        <w:t xml:space="preserve"> within a landscape of </w:t>
      </w:r>
      <w:r>
        <w:rPr>
          <w:b/>
          <w:i w:val="0"/>
        </w:rPr>
        <w:t>Protestant-standard</w:t>
      </w:r>
      <w:r>
        <w:rPr>
          <w:b w:val="0"/>
          <w:i w:val="0"/>
        </w:rPr>
        <w:t xml:space="preserve"> histories and </w:t>
      </w:r>
      <w:r>
        <w:rPr>
          <w:b/>
          <w:i w:val="0"/>
        </w:rPr>
        <w:t>Protestant-edited</w:t>
      </w:r>
      <w:r>
        <w:rPr>
          <w:b w:val="0"/>
          <w:i w:val="0"/>
        </w:rPr>
        <w:t xml:space="preserve"> world maps, whatever Roman loyalty individual provincials maintained.</w:t>
      </w:r>
    </w:p>
    <w:p>
      <w:pPr>
        <w:pStyle w:val="Heading4"/>
        <w:keepNext/>
        <w:keepLines/>
      </w:pPr>
      <w:r>
        <w:t>Protestant-made Catholicism and the 324-year gap</w:t>
      </w:r>
    </w:p>
    <w:p>
      <w:r>
        <w:rPr>
          <w:b w:val="0"/>
          <w:i w:val="0"/>
        </w:rPr>
        <w:t xml:space="preserve">Pulling Jesuits and Catholic elites </w:t>
      </w:r>
      <w:r>
        <w:rPr>
          <w:b/>
          <w:i w:val="0"/>
        </w:rPr>
        <w:t>off</w:t>
      </w:r>
      <w:r>
        <w:rPr>
          <w:b w:val="0"/>
          <w:i w:val="0"/>
        </w:rPr>
        <w:t xml:space="preserve"> a Horde–Romanov </w:t>
      </w:r>
      <w:r>
        <w:rPr>
          <w:b/>
          <w:i w:val="0"/>
        </w:rPr>
        <w:t>source</w:t>
      </w:r>
      <w:r>
        <w:rPr>
          <w:b w:val="0"/>
          <w:i w:val="0"/>
        </w:rPr>
        <w:t xml:space="preserve"> and </w:t>
      </w:r>
      <w:r>
        <w:rPr>
          <w:b/>
          <w:i w:val="0"/>
        </w:rPr>
        <w:t>onto</w:t>
      </w:r>
      <w:r>
        <w:rPr>
          <w:b w:val="0"/>
          <w:i w:val="0"/>
        </w:rPr>
        <w:t xml:space="preserve"> a </w:t>
      </w:r>
      <w:r>
        <w:rPr>
          <w:b/>
          <w:i w:val="0"/>
        </w:rPr>
        <w:t>detached European aristocracy</w:t>
      </w:r>
      <w:r>
        <w:rPr>
          <w:b w:val="0"/>
          <w:i w:val="0"/>
        </w:rPr>
        <w:t xml:space="preserve">—university, curia-in-exile from that source, City-facing finance—was not a minor liturgical tweak. This chronology holds it was the </w:t>
      </w:r>
      <w:r>
        <w:rPr>
          <w:b/>
          <w:i w:val="0"/>
        </w:rPr>
        <w:t>method</w:t>
      </w:r>
      <w:r>
        <w:rPr>
          <w:b w:val="0"/>
          <w:i w:val="0"/>
        </w:rPr>
        <w:t xml:space="preserve"> by which </w:t>
      </w:r>
      <w:r>
        <w:rPr>
          <w:b/>
          <w:i w:val="0"/>
        </w:rPr>
        <w:t>Protestant</w:t>
      </w:r>
      <w:r>
        <w:rPr>
          <w:b w:val="0"/>
          <w:i w:val="0"/>
        </w:rPr>
        <w:t xml:space="preserve"> chronologists and patrons </w:t>
      </w:r>
      <w:r>
        <w:rPr>
          <w:b/>
          <w:i w:val="0"/>
        </w:rPr>
        <w:t>created</w:t>
      </w:r>
      <w:r>
        <w:rPr>
          <w:b w:val="0"/>
          <w:i w:val="0"/>
        </w:rPr>
        <w:t xml:space="preserve">, in historical effect, the </w:t>
      </w:r>
      <w:r>
        <w:rPr>
          <w:b/>
          <w:i w:val="0"/>
        </w:rPr>
        <w:t>Catholic Church the modern world recognizes</w:t>
      </w:r>
      <w:r>
        <w:rPr>
          <w:b w:val="0"/>
          <w:i w:val="0"/>
        </w:rPr>
        <w:t xml:space="preserve">: a Roman apparatus whose </w:t>
      </w:r>
      <w:r>
        <w:rPr>
          <w:b/>
          <w:i w:val="0"/>
        </w:rPr>
        <w:t>genealogy</w:t>
      </w:r>
      <w:r>
        <w:rPr>
          <w:b w:val="0"/>
          <w:i w:val="0"/>
        </w:rPr>
        <w:t xml:space="preserve"> had been </w:t>
      </w:r>
      <w:r>
        <w:rPr>
          <w:b/>
          <w:i w:val="0"/>
        </w:rPr>
        <w:t>severed</w:t>
      </w:r>
      <w:r>
        <w:rPr>
          <w:b w:val="0"/>
          <w:i w:val="0"/>
        </w:rPr>
        <w:t xml:space="preserve"> from the civilizational center that had fed its missions and maps, then </w:t>
      </w:r>
      <w:r>
        <w:rPr>
          <w:b/>
          <w:i w:val="0"/>
        </w:rPr>
        <w:t>re-narrated</w:t>
      </w:r>
      <w:r>
        <w:rPr>
          <w:b w:val="0"/>
          <w:i w:val="0"/>
        </w:rPr>
        <w:t xml:space="preserve"> inside Scaligerian time. The severing </w:t>
      </w:r>
      <w:r>
        <w:rPr>
          <w:b/>
          <w:i w:val="0"/>
        </w:rPr>
        <w:t>shows</w:t>
      </w:r>
      <w:r>
        <w:rPr>
          <w:b w:val="0"/>
          <w:i w:val="0"/>
        </w:rPr>
        <w:t xml:space="preserve"> in the record as a </w:t>
      </w:r>
      <w:r>
        <w:rPr>
          <w:b/>
          <w:i w:val="0"/>
        </w:rPr>
        <w:t>chronological wound</w:t>
      </w:r>
      <w:r>
        <w:rPr>
          <w:b w:val="0"/>
          <w:i w:val="0"/>
        </w:rPr>
        <w:t xml:space="preserve">: textbook history asks the papacy to </w:t>
      </w:r>
      <w:r>
        <w:rPr>
          <w:b/>
          <w:i w:val="0"/>
        </w:rPr>
        <w:t>bridge</w:t>
      </w:r>
      <w:r>
        <w:rPr>
          <w:b w:val="0"/>
          <w:i w:val="0"/>
        </w:rPr>
        <w:t xml:space="preserve"> centuries where </w:t>
      </w:r>
      <w:r>
        <w:rPr>
          <w:b/>
          <w:i w:val="0"/>
        </w:rPr>
        <w:t>no world empire</w:t>
      </w:r>
      <w:r>
        <w:rPr>
          <w:b w:val="0"/>
          <w:i w:val="0"/>
        </w:rPr>
        <w:t xml:space="preserve"> holds the line—only </w:t>
      </w:r>
      <w:r>
        <w:rPr>
          <w:b/>
          <w:i w:val="0"/>
        </w:rPr>
        <w:t>fragmentation</w:t>
      </w:r>
      <w:r>
        <w:rPr>
          <w:b w:val="0"/>
          <w:i w:val="0"/>
        </w:rPr>
        <w:t xml:space="preserve"> and </w:t>
      </w:r>
      <w:r>
        <w:rPr>
          <w:b/>
          <w:i w:val="0"/>
        </w:rPr>
        <w:t>chaos</w:t>
      </w:r>
      <w:r>
        <w:rPr>
          <w:b w:val="0"/>
          <w:i w:val="0"/>
        </w:rPr>
        <w:t xml:space="preserve"> on the Scaligerian page.</w:t>
      </w:r>
    </w:p>
    <w:p>
      <w:r>
        <w:rPr>
          <w:b w:val="0"/>
          <w:i w:val="0"/>
        </w:rPr>
        <w:t xml:space="preserve">The </w:t>
      </w:r>
      <w:r>
        <w:rPr>
          <w:b/>
          <w:i w:val="0"/>
        </w:rPr>
        <w:t>Scaligerian</w:t>
      </w:r>
      <w:r>
        <w:rPr>
          <w:b w:val="0"/>
          <w:i w:val="0"/>
        </w:rPr>
        <w:t xml:space="preserve"> textbooks place </w:t>
      </w:r>
      <w:r>
        <w:rPr>
          <w:b/>
          <w:i w:val="0"/>
        </w:rPr>
        <w:t>324 years</w:t>
      </w:r>
      <w:r>
        <w:rPr>
          <w:b w:val="0"/>
          <w:i w:val="0"/>
        </w:rPr>
        <w:t xml:space="preserve"> between the </w:t>
      </w:r>
      <w:r>
        <w:rPr>
          <w:b/>
          <w:i w:val="0"/>
        </w:rPr>
        <w:t>476 CE</w:t>
      </w:r>
      <w:r>
        <w:rPr>
          <w:b w:val="0"/>
          <w:i w:val="0"/>
        </w:rPr>
        <w:t xml:space="preserve"> convention for the end of the Western Roman Empire and </w:t>
      </w:r>
      <w:r>
        <w:rPr>
          <w:b/>
          <w:i w:val="0"/>
        </w:rPr>
        <w:t>800 CE</w:t>
      </w:r>
      <w:r>
        <w:rPr>
          <w:b w:val="0"/>
          <w:i w:val="0"/>
        </w:rPr>
        <w:t xml:space="preserve"> for Charlemagne’s imperial coronation—the </w:t>
      </w:r>
      <w:hyperlink r:id="rId269">
        <w:r>
          <w:rPr>
            <w:b w:val="0"/>
            <w:i w:val="0"/>
            <w:color w:val="B8860B"/>
          </w:rPr>
          <w:t>Carolingian</w:t>
        </w:r>
      </w:hyperlink>
      <w:r>
        <w:rPr>
          <w:b w:val="0"/>
          <w:i w:val="0"/>
        </w:rPr>
        <w:t xml:space="preserve"> restart. That interval is exactly long enough to </w:t>
      </w:r>
      <w:r>
        <w:rPr>
          <w:b/>
          <w:i w:val="0"/>
        </w:rPr>
        <w:t>erase</w:t>
      </w:r>
      <w:r>
        <w:rPr>
          <w:b w:val="0"/>
          <w:i w:val="0"/>
        </w:rPr>
        <w:t xml:space="preserve"> continuous imperial memory if the underlying ecumene was elsewhere. </w:t>
      </w:r>
      <w:r>
        <w:rPr>
          <w:b/>
          <w:i w:val="0"/>
        </w:rPr>
        <w:t>New Chronology</w:t>
      </w:r>
      <w:r>
        <w:rPr>
          <w:b w:val="0"/>
          <w:i w:val="0"/>
        </w:rPr>
        <w:t xml:space="preserve"> (see </w:t>
      </w:r>
      <w:hyperlink r:id="rId270">
        <w:r>
          <w:rPr>
            <w:b w:val="0"/>
            <w:i w:val="0"/>
            <w:color w:val="B8860B"/>
          </w:rPr>
          <w:t>Building the New Chronology</w:t>
        </w:r>
      </w:hyperlink>
      <w:r>
        <w:rPr>
          <w:b w:val="0"/>
          <w:i w:val="0"/>
        </w:rPr>
        <w:t xml:space="preserve">, </w:t>
      </w:r>
      <w:hyperlink r:id="rId56">
        <w:r>
          <w:rPr>
            <w:b w:val="0"/>
            <w:i w:val="0"/>
            <w:color w:val="B8860B"/>
          </w:rPr>
          <w:t>Fomenko</w:t>
        </w:r>
      </w:hyperlink>
      <w:r>
        <w:rPr>
          <w:b w:val="0"/>
          <w:i w:val="0"/>
        </w:rPr>
        <w:t xml:space="preserve">) often </w:t>
      </w:r>
      <w:r>
        <w:rPr>
          <w:b/>
          <w:i w:val="0"/>
        </w:rPr>
        <w:t>relocates</w:t>
      </w:r>
      <w:r>
        <w:rPr>
          <w:b w:val="0"/>
          <w:i w:val="0"/>
        </w:rPr>
        <w:t xml:space="preserve"> the same structural span so those events sit nearer </w:t>
      </w:r>
      <w:r>
        <w:rPr>
          <w:b/>
          <w:i w:val="0"/>
        </w:rPr>
        <w:t>c. 1476</w:t>
      </w:r>
      <w:r>
        <w:rPr>
          <w:b w:val="0"/>
          <w:i w:val="0"/>
        </w:rPr>
        <w:t xml:space="preserve"> and </w:t>
      </w:r>
      <w:r>
        <w:rPr>
          <w:b/>
          <w:i w:val="0"/>
        </w:rPr>
        <w:t>c. 1800 CE</w:t>
      </w:r>
      <w:r>
        <w:rPr>
          <w:b w:val="0"/>
          <w:i w:val="0"/>
        </w:rPr>
        <w:t xml:space="preserve"> (preserving the </w:t>
      </w:r>
      <w:r>
        <w:rPr>
          <w:b/>
          <w:i w:val="0"/>
        </w:rPr>
        <w:t>324-year</w:t>
      </w:r>
      <w:r>
        <w:rPr>
          <w:b w:val="0"/>
          <w:i w:val="0"/>
        </w:rPr>
        <w:t xml:space="preserve"> distance between the pair while shifting absolute dates). In either dating scheme, the </w:t>
      </w:r>
      <w:r>
        <w:rPr>
          <w:b/>
          <w:i w:val="0"/>
        </w:rPr>
        <w:t>middle</w:t>
      </w:r>
      <w:r>
        <w:rPr>
          <w:b w:val="0"/>
          <w:i w:val="0"/>
        </w:rPr>
        <w:t xml:space="preserve"> is portrayed as </w:t>
      </w:r>
      <w:r>
        <w:rPr>
          <w:b/>
          <w:i w:val="0"/>
        </w:rPr>
        <w:t>interregnum</w:t>
      </w:r>
      <w:r>
        <w:rPr>
          <w:b w:val="0"/>
          <w:i w:val="0"/>
        </w:rPr>
        <w:t xml:space="preserve">: no single world state, narrative </w:t>
      </w:r>
      <w:r>
        <w:rPr>
          <w:b/>
          <w:i w:val="0"/>
        </w:rPr>
        <w:t>darkness</w:t>
      </w:r>
      <w:r>
        <w:rPr>
          <w:b w:val="0"/>
          <w:i w:val="0"/>
        </w:rPr>
        <w:t xml:space="preserve">, papal–Frankish or national </w:t>
      </w:r>
      <w:r>
        <w:rPr>
          <w:b/>
          <w:i w:val="0"/>
        </w:rPr>
        <w:t>patchwork</w:t>
      </w:r>
      <w:r>
        <w:rPr>
          <w:b w:val="0"/>
          <w:i w:val="0"/>
        </w:rPr>
        <w:t xml:space="preserve">—the </w:t>
      </w:r>
      <w:r>
        <w:rPr>
          <w:b/>
          <w:i w:val="0"/>
        </w:rPr>
        <w:t>texture</w:t>
      </w:r>
      <w:r>
        <w:rPr>
          <w:b w:val="0"/>
          <w:i w:val="0"/>
        </w:rPr>
        <w:t xml:space="preserve"> of a Catholicism </w:t>
      </w:r>
      <w:r>
        <w:rPr>
          <w:b/>
          <w:i w:val="0"/>
        </w:rPr>
        <w:t>cut</w:t>
      </w:r>
      <w:r>
        <w:rPr>
          <w:b w:val="0"/>
          <w:i w:val="0"/>
        </w:rPr>
        <w:t xml:space="preserve"> from origin and </w:t>
      </w:r>
      <w:r>
        <w:rPr>
          <w:b/>
          <w:i w:val="0"/>
        </w:rPr>
        <w:t>pasted</w:t>
      </w:r>
      <w:r>
        <w:rPr>
          <w:b w:val="0"/>
          <w:i w:val="0"/>
        </w:rPr>
        <w:t xml:space="preserve"> into a Protestant-made past.</w:t>
      </w:r>
    </w:p>
    <w:p>
      <w:pPr>
        <w:pStyle w:val="Heading4"/>
        <w:keepNext/>
        <w:keepLines/>
      </w:pPr>
      <w:r>
        <w:t>Napoleon and the “military order” judgment</w:t>
      </w:r>
    </w:p>
    <w:p>
      <w:r>
        <w:rPr>
          <w:b w:val="0"/>
          <w:i w:val="0"/>
        </w:rPr>
        <w:t xml:space="preserve">Napoleon’s regimes </w:t>
      </w:r>
      <w:r>
        <w:rPr>
          <w:b/>
          <w:i w:val="0"/>
        </w:rPr>
        <w:t>expelled or restricted</w:t>
      </w:r>
      <w:r>
        <w:rPr>
          <w:b w:val="0"/>
          <w:i w:val="0"/>
        </w:rPr>
        <w:t xml:space="preserve"> the Jesuits and treated them as a </w:t>
      </w:r>
      <w:r>
        <w:rPr>
          <w:b/>
          <w:i w:val="0"/>
        </w:rPr>
        <w:t>security problem</w:t>
      </w:r>
      <w:r>
        <w:rPr>
          <w:b w:val="0"/>
          <w:i w:val="0"/>
        </w:rPr>
        <w:t xml:space="preserve">. Nineteenth-century polemic often quotes him along these lines: the Society is a </w:t>
      </w:r>
      <w:r>
        <w:rPr>
          <w:b/>
          <w:i w:val="0"/>
        </w:rPr>
        <w:t>military organization</w:t>
      </w:r>
      <w:r>
        <w:rPr>
          <w:b w:val="0"/>
          <w:i w:val="0"/>
        </w:rPr>
        <w:t xml:space="preserve">, not a religious order; its superior is a </w:t>
      </w:r>
      <w:r>
        <w:rPr>
          <w:b/>
          <w:i w:val="0"/>
        </w:rPr>
        <w:t>general</w:t>
      </w:r>
      <w:r>
        <w:rPr>
          <w:b w:val="0"/>
          <w:i w:val="0"/>
        </w:rPr>
        <w:t xml:space="preserve">, not an abbot; its object is </w:t>
      </w:r>
      <w:r>
        <w:rPr>
          <w:b/>
          <w:i w:val="0"/>
        </w:rPr>
        <w:t>power</w:t>
      </w:r>
      <w:r>
        <w:rPr>
          <w:b w:val="0"/>
          <w:i w:val="0"/>
        </w:rPr>
        <w:t>—</w:t>
      </w:r>
      <w:r>
        <w:rPr>
          <w:b/>
          <w:i w:val="0"/>
        </w:rPr>
        <w:t>absolute</w:t>
      </w:r>
      <w:r>
        <w:rPr>
          <w:b w:val="0"/>
          <w:i w:val="0"/>
        </w:rPr>
        <w:t xml:space="preserve">, </w:t>
      </w:r>
      <w:r>
        <w:rPr>
          <w:b/>
          <w:i w:val="0"/>
        </w:rPr>
        <w:t>universal</w:t>
      </w:r>
      <w:r>
        <w:rPr>
          <w:b w:val="0"/>
          <w:i w:val="0"/>
        </w:rPr>
        <w:t xml:space="preserve">—wielded through obedience to a </w:t>
      </w:r>
      <w:r>
        <w:rPr>
          <w:b/>
          <w:i w:val="0"/>
        </w:rPr>
        <w:t>single will</w:t>
      </w:r>
      <w:r>
        <w:rPr>
          <w:b w:val="0"/>
          <w:i w:val="0"/>
        </w:rPr>
        <w:t xml:space="preserve"> centered on the </w:t>
      </w:r>
      <w:r>
        <w:rPr>
          <w:b/>
          <w:i w:val="0"/>
        </w:rPr>
        <w:t>General in Rome</w:t>
      </w:r>
      <w:r>
        <w:rPr>
          <w:b w:val="0"/>
          <w:i w:val="0"/>
        </w:rPr>
        <w:t xml:space="preserve">; therefore it cannot be a safe partner for </w:t>
      </w:r>
      <w:r>
        <w:rPr>
          <w:b/>
          <w:i w:val="0"/>
        </w:rPr>
        <w:t>constituted civil authority</w:t>
      </w:r>
      <w:r>
        <w:rPr>
          <w:b w:val="0"/>
          <w:i w:val="0"/>
        </w:rPr>
        <w:t xml:space="preserve">. The exact wording is </w:t>
      </w:r>
      <w:r>
        <w:rPr>
          <w:b/>
          <w:i w:val="0"/>
        </w:rPr>
        <w:t>disputed</w:t>
      </w:r>
      <w:r>
        <w:rPr>
          <w:b w:val="0"/>
          <w:i w:val="0"/>
        </w:rPr>
        <w:t xml:space="preserve"> (many lines pass through English anthologies and anti-Jesuit literature), but the </w:t>
      </w:r>
      <w:r>
        <w:rPr>
          <w:b/>
          <w:i w:val="0"/>
        </w:rPr>
        <w:t>policy</w:t>
      </w:r>
      <w:r>
        <w:rPr>
          <w:b w:val="0"/>
          <w:i w:val="0"/>
        </w:rPr>
        <w:t xml:space="preserve"> is not: suspicion of the Society </w:t>
      </w:r>
      <w:r>
        <w:rPr>
          <w:b/>
          <w:i w:val="0"/>
        </w:rPr>
        <w:t>cleared space</w:t>
      </w:r>
      <w:r>
        <w:rPr>
          <w:b w:val="0"/>
          <w:i w:val="0"/>
        </w:rPr>
        <w:t xml:space="preserve"> for national churches and secular ministries to </w:t>
      </w:r>
      <w:r>
        <w:rPr>
          <w:b/>
          <w:i w:val="0"/>
        </w:rPr>
        <w:t>control</w:t>
      </w:r>
      <w:r>
        <w:rPr>
          <w:b w:val="0"/>
          <w:i w:val="0"/>
        </w:rPr>
        <w:t xml:space="preserve"> schools and archives </w:t>
      </w:r>
      <w:r>
        <w:rPr>
          <w:b/>
          <w:i w:val="0"/>
        </w:rPr>
        <w:t>while</w:t>
      </w:r>
      <w:r>
        <w:rPr>
          <w:b w:val="0"/>
          <w:i w:val="0"/>
        </w:rPr>
        <w:t xml:space="preserve"> Protestant editors advanced </w:t>
      </w:r>
      <w:r>
        <w:rPr>
          <w:b/>
          <w:i w:val="0"/>
        </w:rPr>
        <w:t>Scaligerian</w:t>
      </w:r>
      <w:r>
        <w:rPr>
          <w:b w:val="0"/>
          <w:i w:val="0"/>
        </w:rPr>
        <w:t xml:space="preserve"> chronology and new </w:t>
      </w:r>
      <w:r>
        <w:rPr>
          <w:b/>
          <w:i w:val="0"/>
        </w:rPr>
        <w:t>Holy Land</w:t>
      </w:r>
      <w:r>
        <w:rPr>
          <w:b w:val="0"/>
          <w:i w:val="0"/>
        </w:rPr>
        <w:t xml:space="preserve"> geography. For the chronology war itself, see </w:t>
      </w:r>
      <w:hyperlink r:id="rId221">
        <w:r>
          <w:rPr>
            <w:b w:val="0"/>
            <w:i w:val="0"/>
            <w:color w:val="B8860B"/>
          </w:rPr>
          <w:t>Deep State erases Russian Empire from all chronology</w:t>
        </w:r>
      </w:hyperlink>
      <w:r>
        <w:rPr>
          <w:b w:val="0"/>
          <w:i w:val="0"/>
        </w:rPr>
        <w:t>.</w:t>
      </w:r>
    </w:p>
    <w:p>
      <w:pPr>
        <w:pStyle w:val="Heading4"/>
        <w:keepNext/>
        <w:keepLines/>
      </w:pPr>
      <w:r>
        <w:t>1812 as tactical loss, strategic pivot</w:t>
      </w:r>
    </w:p>
    <w:p>
      <w:r>
        <w:rPr>
          <w:b w:val="0"/>
          <w:i w:val="0"/>
        </w:rPr>
        <w:t xml:space="preserve">The </w:t>
      </w:r>
      <w:r>
        <w:rPr>
          <w:b/>
          <w:i w:val="0"/>
        </w:rPr>
        <w:t>French</w:t>
      </w:r>
      <w:r>
        <w:rPr>
          <w:b w:val="0"/>
          <w:i w:val="0"/>
        </w:rPr>
        <w:t xml:space="preserve"> catastrophe in </w:t>
      </w:r>
      <w:r>
        <w:rPr>
          <w:b/>
          <w:i w:val="0"/>
        </w:rPr>
        <w:t>Russia</w:t>
      </w:r>
      <w:r>
        <w:rPr>
          <w:b w:val="0"/>
          <w:i w:val="0"/>
        </w:rPr>
        <w:t xml:space="preserve"> in 1812 was a </w:t>
      </w:r>
      <w:r>
        <w:rPr>
          <w:b/>
          <w:i w:val="0"/>
        </w:rPr>
        <w:t>material defeat</w:t>
      </w:r>
      <w:r>
        <w:rPr>
          <w:b w:val="0"/>
          <w:i w:val="0"/>
        </w:rPr>
        <w:t xml:space="preserve"> for the invasion the City-facing network had backed. This timeline treats such defeats as </w:t>
      </w:r>
      <w:r>
        <w:rPr>
          <w:b/>
          <w:i w:val="0"/>
        </w:rPr>
        <w:t>habitually convertible</w:t>
      </w:r>
      <w:r>
        <w:rPr>
          <w:b w:val="0"/>
          <w:i w:val="0"/>
        </w:rPr>
        <w:t xml:space="preserve">: a frozen army is a headline loss, but </w:t>
      </w:r>
      <w:r>
        <w:rPr>
          <w:b/>
          <w:i w:val="0"/>
        </w:rPr>
        <w:t>pilgrimage narrative</w:t>
      </w:r>
      <w:r>
        <w:rPr>
          <w:b w:val="0"/>
          <w:i w:val="0"/>
        </w:rPr>
        <w:t xml:space="preserve">, </w:t>
      </w:r>
      <w:r>
        <w:rPr>
          <w:b/>
          <w:i w:val="0"/>
        </w:rPr>
        <w:t>biblical geography</w:t>
      </w:r>
      <w:r>
        <w:rPr>
          <w:b w:val="0"/>
          <w:i w:val="0"/>
        </w:rPr>
        <w:t xml:space="preserve">, and </w:t>
      </w:r>
      <w:r>
        <w:rPr>
          <w:b/>
          <w:i w:val="0"/>
        </w:rPr>
        <w:t>orientalist scholarship</w:t>
      </w:r>
      <w:r>
        <w:rPr>
          <w:b w:val="0"/>
          <w:i w:val="0"/>
        </w:rPr>
        <w:t xml:space="preserve"> can still be </w:t>
      </w:r>
      <w:r>
        <w:rPr>
          <w:b/>
          <w:i w:val="0"/>
        </w:rPr>
        <w:t>steered</w:t>
      </w:r>
      <w:r>
        <w:rPr>
          <w:b w:val="0"/>
          <w:i w:val="0"/>
        </w:rPr>
        <w:t xml:space="preserve"> in the decades that follow. The </w:t>
      </w:r>
      <w:r>
        <w:rPr>
          <w:b/>
          <w:i w:val="0"/>
        </w:rPr>
        <w:t>burning of Moscow</w:t>
      </w:r>
      <w:r>
        <w:rPr>
          <w:b w:val="0"/>
          <w:i w:val="0"/>
        </w:rPr>
        <w:t>—</w:t>
      </w:r>
      <w:hyperlink r:id="rId166">
        <w:r>
          <w:rPr>
            <w:b w:val="0"/>
            <w:i w:val="0"/>
            <w:color w:val="B8860B"/>
          </w:rPr>
          <w:t>Aftermath of 1812</w:t>
        </w:r>
      </w:hyperlink>
      <w:r>
        <w:rPr>
          <w:b w:val="0"/>
          <w:i w:val="0"/>
        </w:rPr>
        <w:t xml:space="preserve">—denied the invader winter quarters </w:t>
      </w:r>
      <w:r>
        <w:rPr>
          <w:b/>
          <w:i w:val="0"/>
        </w:rPr>
        <w:t>and</w:t>
      </w:r>
      <w:r>
        <w:rPr>
          <w:b w:val="0"/>
          <w:i w:val="0"/>
        </w:rPr>
        <w:t xml:space="preserve"> destroyed a </w:t>
      </w:r>
      <w:r>
        <w:rPr>
          <w:b/>
          <w:i w:val="0"/>
        </w:rPr>
        <w:t>living Orthodox Jerusalem-pole</w:t>
      </w:r>
      <w:r>
        <w:rPr>
          <w:b w:val="0"/>
          <w:i w:val="0"/>
        </w:rPr>
        <w:t xml:space="preserve"> that might have </w:t>
      </w:r>
      <w:r>
        <w:rPr>
          <w:b/>
          <w:i w:val="0"/>
        </w:rPr>
        <w:t>contested</w:t>
      </w:r>
      <w:r>
        <w:rPr>
          <w:b w:val="0"/>
          <w:i w:val="0"/>
        </w:rPr>
        <w:t xml:space="preserve"> any rival sacred geography. Once that center had been </w:t>
      </w:r>
      <w:r>
        <w:rPr>
          <w:b/>
          <w:i w:val="0"/>
        </w:rPr>
        <w:t>reduced by its own defenders</w:t>
      </w:r>
      <w:r>
        <w:rPr>
          <w:b w:val="0"/>
          <w:i w:val="0"/>
        </w:rPr>
        <w:t xml:space="preserve">, a </w:t>
      </w:r>
      <w:r>
        <w:rPr>
          <w:b/>
          <w:i w:val="0"/>
        </w:rPr>
        <w:t>new Jerusalem</w:t>
      </w:r>
      <w:r>
        <w:rPr>
          <w:b w:val="0"/>
          <w:i w:val="0"/>
        </w:rPr>
        <w:t xml:space="preserve"> under </w:t>
      </w:r>
      <w:r>
        <w:rPr>
          <w:b/>
          <w:i w:val="0"/>
        </w:rPr>
        <w:t>Protestant</w:t>
      </w:r>
      <w:r>
        <w:rPr>
          <w:b w:val="0"/>
          <w:i w:val="0"/>
        </w:rPr>
        <w:t xml:space="preserve"> pilgrimage management—</w:t>
      </w:r>
      <w:r>
        <w:rPr>
          <w:b/>
          <w:i w:val="0"/>
        </w:rPr>
        <w:t>Jerusalem III</w:t>
      </w:r>
      <w:r>
        <w:rPr>
          <w:b w:val="0"/>
          <w:i w:val="0"/>
        </w:rPr>
        <w:t xml:space="preserve"> at the </w:t>
      </w:r>
      <w:hyperlink r:id="rId271">
        <w:r>
          <w:rPr>
            <w:b/>
            <w:i w:val="0"/>
            <w:color w:val="B8860B"/>
          </w:rPr>
          <w:t>Al-Aqsa</w:t>
        </w:r>
      </w:hyperlink>
      <w:r>
        <w:rPr>
          <w:b w:val="0"/>
          <w:i w:val="0"/>
        </w:rPr>
        <w:t xml:space="preserve"> platform in </w:t>
      </w:r>
      <w:r>
        <w:rPr>
          <w:b/>
          <w:i w:val="0"/>
        </w:rPr>
        <w:t>Palestine</w:t>
      </w:r>
      <w:r>
        <w:rPr>
          <w:b w:val="0"/>
          <w:i w:val="0"/>
        </w:rPr>
        <w:t xml:space="preserve">, with </w:t>
      </w:r>
      <w:r>
        <w:rPr>
          <w:b/>
          <w:i w:val="0"/>
        </w:rPr>
        <w:t>Constantinople / Czar-Grad</w:t>
      </w:r>
      <w:r>
        <w:rPr>
          <w:b w:val="0"/>
          <w:i w:val="0"/>
        </w:rPr>
        <w:t xml:space="preserve"> read as the </w:t>
      </w:r>
      <w:r>
        <w:rPr>
          <w:b/>
          <w:i w:val="0"/>
        </w:rPr>
        <w:t>ruined Biblical Jerusalem</w:t>
      </w:r>
      <w:r>
        <w:rPr>
          <w:b w:val="0"/>
          <w:i w:val="0"/>
        </w:rPr>
        <w:t xml:space="preserve"> along the tour route—could be </w:t>
      </w:r>
      <w:r>
        <w:rPr>
          <w:b/>
          <w:i w:val="0"/>
        </w:rPr>
        <w:t>installed</w:t>
      </w:r>
      <w:r>
        <w:rPr>
          <w:b w:val="0"/>
          <w:i w:val="0"/>
        </w:rPr>
        <w:t xml:space="preserve"> with </w:t>
      </w:r>
      <w:r>
        <w:rPr>
          <w:b/>
          <w:i w:val="0"/>
        </w:rPr>
        <w:t>fewer</w:t>
      </w:r>
      <w:r>
        <w:rPr>
          <w:b w:val="0"/>
          <w:i w:val="0"/>
        </w:rPr>
        <w:t xml:space="preserve"> credible eastern challengers left standing in stone.</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218">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72">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73">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5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74">
        <w:r>
          <w:rPr>
            <w:b w:val="0"/>
            <w:i w:val="0"/>
            <w:color w:val="B8860B"/>
            <w:sz w:val="19"/>
          </w:rPr>
          <w:t>Missionaries to Corporations</w:t>
        </w:r>
      </w:hyperlink>
    </w:p>
    <w:p/>
    <w:p>
      <w:pPr>
        <w:jc w:val="center"/>
      </w:pPr>
      <w:r>
        <w:rPr>
          <w:color w:val="B8860B"/>
          <w:sz w:val="24"/>
        </w:rPr>
        <w:t>— ✦ —</w:t>
      </w:r>
    </w:p>
    <w:p>
      <w:r>
        <w:rPr>
          <w:b w:val="0"/>
          <w:i w:val="0"/>
        </w:rPr>
        <w:t xml:space="preserve">This appendix extends </w:t>
      </w:r>
      <w:hyperlink r:id="rId27">
        <w:r>
          <w:rPr>
            <w:b w:val="0"/>
            <w:i w:val="0"/>
            <w:color w:val="B8860B"/>
          </w:rPr>
          <w:t>Napoleonic Wars</w:t>
        </w:r>
      </w:hyperlink>
      <w:r>
        <w:rPr>
          <w:b w:val="0"/>
          <w:i w:val="0"/>
        </w:rPr>
        <w:t xml:space="preserve"> and </w:t>
      </w:r>
      <w:hyperlink r:id="rId166">
        <w:r>
          <w:rPr>
            <w:b w:val="0"/>
            <w:i w:val="0"/>
            <w:color w:val="B8860B"/>
          </w:rPr>
          <w:t>Aftermath of 1812</w:t>
        </w:r>
      </w:hyperlink>
      <w:r>
        <w:rPr>
          <w:b w:val="0"/>
          <w:i w:val="0"/>
        </w:rPr>
        <w:t>.</w:t>
      </w:r>
    </w:p>
    <w:p>
      <w:pPr>
        <w:pBdr>
          <w:bottom w:val="single" w:sz="6" w:space="1" w:color="CCCCCC"/>
        </w:pBdr>
      </w:pPr>
    </w:p>
    <w:p>
      <w:pPr>
        <w:pStyle w:val="Heading3"/>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75">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3"/>
        <w:keepNext/>
        <w:keepLines/>
      </w:pPr>
      <w:r>
        <w:t>Napoleon's Egyptian Campaign (1798–1801)</w:t>
      </w:r>
    </w:p>
    <w:p>
      <w:r>
        <w:rPr>
          <w:b w:val="0"/>
          <w:i w:val="0"/>
        </w:rPr>
        <w:t xml:space="preserve">French scholars encountered ruins Scaligerian chronology claimed as "ancient Egypt" — producing the </w:t>
      </w:r>
      <w:hyperlink r:id="rId276">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3"/>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77">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3"/>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w:t>
      </w:r>
      <w:r>
        <w:rPr>
          <w:b/>
          <w:i w:val="0"/>
        </w:rPr>
        <w:t>massed, standardized artillery</w:t>
      </w:r>
      <w:r>
        <w:rPr>
          <w:b w:val="0"/>
          <w:i w:val="0"/>
        </w:rPr>
        <w:t xml:space="preserve"> (Gribeauval-era systems), </w:t>
      </w:r>
      <w:r>
        <w:rPr>
          <w:b/>
          <w:i w:val="0"/>
        </w:rPr>
        <w:t>doctrine</w:t>
      </w:r>
      <w:r>
        <w:rPr>
          <w:b w:val="0"/>
          <w:i w:val="0"/>
        </w:rPr>
        <w:t xml:space="preserve">, and — on the open record — </w:t>
      </w:r>
      <w:r>
        <w:rPr>
          <w:b/>
          <w:i w:val="0"/>
        </w:rPr>
        <w:t>tethered hydrogen balloons</w:t>
      </w:r>
      <w:r>
        <w:rPr>
          <w:b w:val="0"/>
          <w:i w:val="0"/>
        </w:rPr>
        <w:t xml:space="preserve"> for reconnaissance where the </w:t>
      </w:r>
      <w:hyperlink r:id="rId278">
        <w:r>
          <w:rPr>
            <w:b w:val="0"/>
            <w:i w:val="0"/>
            <w:color w:val="B8860B"/>
          </w:rPr>
          <w:t>Aerostatic Corps</w:t>
        </w:r>
      </w:hyperlink>
      <w:r>
        <w:rPr>
          <w:b w:val="0"/>
          <w:i w:val="0"/>
        </w:rPr>
        <w:t xml:space="preserve"> still operated. </w:t>
      </w:r>
      <w:r>
        <w:rPr>
          <w:b/>
          <w:i w:val="0"/>
        </w:rPr>
        <w:t>Plasma cannons</w:t>
      </w:r>
      <w:r>
        <w:rPr>
          <w:b w:val="0"/>
          <w:i w:val="0"/>
        </w:rPr>
        <w:t xml:space="preserve"> and </w:t>
      </w:r>
      <w:r>
        <w:rPr>
          <w:b/>
          <w:i w:val="0"/>
        </w:rPr>
        <w:t>plasma-based siege weapons</w:t>
      </w:r>
      <w:r>
        <w:rPr>
          <w:b w:val="0"/>
          <w:i w:val="0"/>
        </w:rPr>
        <w:t xml:space="preserve"> are </w:t>
      </w:r>
      <w:r>
        <w:rPr>
          <w:b/>
          <w:i w:val="0"/>
        </w:rPr>
        <w:t>excluded</w:t>
      </w:r>
      <w:r>
        <w:rPr>
          <w:b w:val="0"/>
          <w:i w:val="0"/>
        </w:rPr>
        <w:t xml:space="preserve"> from the Napoleonic picture: they would have exceeded what </w:t>
      </w:r>
      <w:r>
        <w:rPr>
          <w:b/>
          <w:i w:val="0"/>
        </w:rPr>
        <w:t>open</w:t>
      </w:r>
      <w:r>
        <w:rPr>
          <w:b w:val="0"/>
          <w:i w:val="0"/>
        </w:rPr>
        <w:t xml:space="preserve"> 19th-century science could operationalize, and military knowledge was </w:t>
      </w:r>
      <w:r>
        <w:rPr>
          <w:b/>
          <w:i w:val="0"/>
        </w:rPr>
        <w:t>already</w:t>
      </w:r>
      <w:r>
        <w:rPr>
          <w:b w:val="0"/>
          <w:i w:val="0"/>
        </w:rPr>
        <w:t xml:space="preserve"> moving behind </w:t>
      </w:r>
      <w:r>
        <w:rPr>
          <w:b/>
          <w:i w:val="0"/>
        </w:rPr>
        <w:t>compartmentalized</w:t>
      </w:r>
      <w:r>
        <w:rPr>
          <w:b w:val="0"/>
          <w:i w:val="0"/>
        </w:rPr>
        <w:t xml:space="preserve">, </w:t>
      </w:r>
      <w:r>
        <w:rPr>
          <w:b/>
          <w:i w:val="0"/>
        </w:rPr>
        <w:t>denied</w:t>
      </w:r>
      <w:r>
        <w:rPr>
          <w:b w:val="0"/>
          <w:i w:val="0"/>
        </w:rPr>
        <w:t xml:space="preserve"> channels — not into mass field pieces for a revolutionary army. Balloons on the public record are a weak match for </w:t>
      </w:r>
      <w:r>
        <w:rPr>
          <w:b/>
          <w:i w:val="0"/>
        </w:rPr>
        <w:t>offensive</w:t>
      </w:r>
      <w:r>
        <w:rPr>
          <w:b w:val="0"/>
          <w:i w:val="0"/>
        </w:rPr>
        <w:t xml:space="preserve"> strategic lift (slow, hard to maneuver, easily targeted); where logistics or legend imply crossing major barriers </w:t>
      </w:r>
      <w:r>
        <w:rPr>
          <w:b/>
          <w:i w:val="0"/>
        </w:rPr>
        <w:t>without</w:t>
      </w:r>
      <w:r>
        <w:rPr>
          <w:b w:val="0"/>
          <w:i w:val="0"/>
        </w:rPr>
        <w:t xml:space="preserve"> dragging the full siege train over every road, this chronology prefers </w:t>
      </w:r>
      <w:r>
        <w:rPr>
          <w:b/>
          <w:i w:val="0"/>
        </w:rPr>
        <w:t>classified anti-gravity or charged-mass platforms</w:t>
      </w:r>
      <w:r>
        <w:rPr>
          <w:b w:val="0"/>
          <w:i w:val="0"/>
        </w:rPr>
        <w:t xml:space="preserve"> — sturdy, stable, and less trivially shot down than a gas bag — over balloon warfare. Winter failure is developed under </w:t>
      </w:r>
      <w:r>
        <w:rPr>
          <w:b/>
          <w:i w:val="0"/>
        </w:rPr>
        <w:t>Lift platforms, winter occupation, and the Kremlin</w:t>
      </w:r>
      <w:r>
        <w:rPr>
          <w:b w:val="0"/>
          <w:i w:val="0"/>
        </w:rPr>
        <w:t xml:space="preserve"> below. Further threads: </w:t>
      </w:r>
      <w:r>
        <w:rPr>
          <w:b/>
          <w:i w:val="0"/>
        </w:rPr>
        <w:t>sound / resonant</w:t>
      </w:r>
      <w:r>
        <w:rPr>
          <w:b w:val="0"/>
          <w:i w:val="0"/>
        </w:rPr>
        <w:t xml:space="preserve"> ordnance, </w:t>
      </w:r>
      <w:r>
        <w:rPr>
          <w:b/>
          <w:i w:val="0"/>
        </w:rPr>
        <w:t>ether</w:t>
      </w:r>
      <w:r>
        <w:rPr>
          <w:b w:val="0"/>
          <w:i w:val="0"/>
        </w:rPr>
        <w:t xml:space="preserve"> or </w:t>
      </w:r>
      <w:r>
        <w:rPr>
          <w:b/>
          <w:i w:val="0"/>
        </w:rPr>
        <w:t>charged-mass lift</w:t>
      </w:r>
      <w:r>
        <w:rPr>
          <w:b w:val="0"/>
          <w:i w:val="0"/>
        </w:rPr>
        <w:t xml:space="preserve"> legends — see </w:t>
      </w:r>
      <w:hyperlink r:id="rId279">
        <w:r>
          <w:rPr>
            <w:b w:val="0"/>
            <w:i w:val="0"/>
            <w:color w:val="B8860B"/>
          </w:rPr>
          <w:t>/governance/war/investigations/napoleonic-advanced-artillery-airship-investigation.md</w:t>
        </w:r>
      </w:hyperlink>
      <w:r>
        <w:rPr>
          <w:b w:val="0"/>
          <w:i w:val="0"/>
        </w:rPr>
        <w:t xml:space="preserve">. The </w:t>
      </w:r>
      <w:hyperlink r:id="rId162">
        <w:r>
          <w:rPr>
            <w:b w:val="0"/>
            <w:i w:val="0"/>
            <w:color w:val="B8860B"/>
          </w:rPr>
          <w:t>Mars catastrophe / Pugachev</w:t>
        </w:r>
      </w:hyperlink>
      <w:r>
        <w:rPr>
          <w:b w:val="0"/>
          <w:i w:val="0"/>
        </w:rPr>
        <w:t xml:space="preserve"> thread remains a </w:t>
      </w:r>
      <w:r>
        <w:rPr>
          <w:b/>
          <w:i w:val="0"/>
        </w:rPr>
        <w:t>separate</w:t>
      </w:r>
      <w:r>
        <w:rPr>
          <w:b w:val="0"/>
          <w:i w:val="0"/>
        </w:rPr>
        <w:t xml:space="preserve"> timeline thesis until a dated chain ties it to French ORBAT in Russia.</w:t>
      </w:r>
    </w:p>
    <w:p>
      <w:pPr>
        <w:pBdr>
          <w:bottom w:val="single" w:sz="6" w:space="1" w:color="CCCCCC"/>
        </w:pBdr>
      </w:pPr>
    </w:p>
    <w:p>
      <w:pPr>
        <w:pStyle w:val="Heading3"/>
        <w:keepNext/>
        <w:keepLines/>
      </w:pPr>
      <w:r>
        <w:t>Lift platforms, winter occupation, and the Kremlin</w:t>
      </w:r>
    </w:p>
    <w:p>
      <w:r>
        <w:rPr>
          <w:b w:val="0"/>
          <w:i w:val="0"/>
        </w:rPr>
        <w:t xml:space="preserve">Speculative extension of the </w:t>
      </w:r>
      <w:hyperlink r:id="rId166">
        <w:r>
          <w:rPr>
            <w:b w:val="0"/>
            <w:i w:val="0"/>
            <w:color w:val="B8860B"/>
          </w:rPr>
          <w:t>Aftermath of 1812</w:t>
        </w:r>
      </w:hyperlink>
      <w:r>
        <w:rPr>
          <w:b w:val="0"/>
          <w:i w:val="0"/>
        </w:rPr>
        <w:t xml:space="preserve"> winter thesis.</w:t>
      </w:r>
    </w:p>
    <w:p>
      <w:pPr>
        <w:pStyle w:val="Heading4"/>
        <w:keepNext/>
        <w:keepLines/>
      </w:pPr>
      <w:r>
        <w:t>Balloons versus classified aerodynes</w:t>
      </w:r>
    </w:p>
    <w:p>
      <w:r>
        <w:rPr>
          <w:b w:val="0"/>
          <w:i w:val="0"/>
        </w:rPr>
        <w:t xml:space="preserve">Hydrogen balloons in the Revolutionary and Napoleonic armies were chiefly </w:t>
      </w:r>
      <w:r>
        <w:rPr>
          <w:b/>
          <w:i w:val="0"/>
        </w:rPr>
        <w:t>observation</w:t>
      </w:r>
      <w:r>
        <w:rPr>
          <w:b w:val="0"/>
          <w:i w:val="0"/>
        </w:rPr>
        <w:t xml:space="preserve"> assets: tethered or barely maneuverable envelopes. That profile is a poor fit for </w:t>
      </w:r>
      <w:r>
        <w:rPr>
          <w:b/>
          <w:i w:val="0"/>
        </w:rPr>
        <w:t>decisive</w:t>
      </w:r>
      <w:r>
        <w:rPr>
          <w:b w:val="0"/>
          <w:i w:val="0"/>
        </w:rPr>
        <w:t xml:space="preserve"> battlefield lift—large fabric targets, vulnerable to shot and fire, awkward to reposition under contest. If the French (or their hidden tier) moved </w:t>
      </w:r>
      <w:r>
        <w:rPr>
          <w:b/>
          <w:i w:val="0"/>
        </w:rPr>
        <w:t>heavy</w:t>
      </w:r>
      <w:r>
        <w:rPr>
          <w:b w:val="0"/>
          <w:i w:val="0"/>
        </w:rPr>
        <w:t xml:space="preserve"> capability across obstacles such as the Alps </w:t>
      </w:r>
      <w:r>
        <w:rPr>
          <w:b/>
          <w:i w:val="0"/>
        </w:rPr>
        <w:t>without</w:t>
      </w:r>
      <w:r>
        <w:rPr>
          <w:b w:val="0"/>
          <w:i w:val="0"/>
        </w:rPr>
        <w:t xml:space="preserve"> matching every classical tale of cannon dragged by road and mule, the open-record balloon is not the best analog. This chronology holds that </w:t>
      </w:r>
      <w:r>
        <w:rPr>
          <w:b/>
          <w:i w:val="0"/>
        </w:rPr>
        <w:t>secret military anti-gravity or dense-field lift</w:t>
      </w:r>
      <w:r>
        <w:rPr>
          <w:b w:val="0"/>
          <w:i w:val="0"/>
        </w:rPr>
        <w:t xml:space="preserve"> — hulls imagined as </w:t>
      </w:r>
      <w:r>
        <w:rPr>
          <w:b/>
          <w:i w:val="0"/>
        </w:rPr>
        <w:t>sturdy and stable</w:t>
      </w:r>
      <w:r>
        <w:rPr>
          <w:b w:val="0"/>
          <w:i w:val="0"/>
        </w:rPr>
        <w:t xml:space="preserve">, harder to negate than a balloon — is the more credible concealed complement to Gribeauval-era </w:t>
      </w:r>
      <w:r>
        <w:rPr>
          <w:b/>
          <w:i w:val="0"/>
        </w:rPr>
        <w:t>open</w:t>
      </w:r>
      <w:r>
        <w:rPr>
          <w:b w:val="0"/>
          <w:i w:val="0"/>
        </w:rPr>
        <w:t xml:space="preserve"> artillery, not dirigibles-as-we-imagine-them for line combat.</w:t>
      </w:r>
    </w:p>
    <w:p>
      <w:pPr>
        <w:pStyle w:val="Heading4"/>
        <w:keepNext/>
        <w:keepLines/>
      </w:pPr>
      <w:r>
        <w:t>Winter: debarking and occupation</w:t>
      </w:r>
    </w:p>
    <w:p>
      <w:r>
        <w:rPr>
          <w:b w:val="0"/>
          <w:i w:val="0"/>
        </w:rPr>
        <w:t xml:space="preserve">Russian winter need </w:t>
      </w:r>
      <w:r>
        <w:rPr>
          <w:b/>
          <w:i w:val="0"/>
        </w:rPr>
        <w:t>not</w:t>
      </w:r>
      <w:r>
        <w:rPr>
          <w:b w:val="0"/>
          <w:i w:val="0"/>
        </w:rPr>
        <w:t xml:space="preserve"> have </w:t>
      </w:r>
      <w:r>
        <w:rPr>
          <w:b/>
          <w:i w:val="0"/>
        </w:rPr>
        <w:t>grounded</w:t>
      </w:r>
      <w:r>
        <w:rPr>
          <w:b w:val="0"/>
          <w:i w:val="0"/>
        </w:rPr>
        <w:t xml:space="preserve"> such craft in the simple sense of killing lift or freezing machinery alone. The sharper bottleneck is </w:t>
      </w:r>
      <w:r>
        <w:rPr>
          <w:b/>
          <w:i w:val="0"/>
        </w:rPr>
        <w:t>occupation</w:t>
      </w:r>
      <w:r>
        <w:rPr>
          <w:b w:val="0"/>
          <w:i w:val="0"/>
        </w:rPr>
        <w:t xml:space="preserve">: holding Russia requires men on the ground—patrols, foraging, garrisons, intimidation of elites. Crews who could survive </w:t>
      </w:r>
      <w:r>
        <w:rPr>
          <w:b/>
          <w:i w:val="0"/>
        </w:rPr>
        <w:t>inside</w:t>
      </w:r>
      <w:r>
        <w:rPr>
          <w:b w:val="0"/>
          <w:i w:val="0"/>
        </w:rPr>
        <w:t xml:space="preserve"> a hull may still have </w:t>
      </w:r>
      <w:r>
        <w:rPr>
          <w:b/>
          <w:i w:val="0"/>
        </w:rPr>
        <w:t>feared leaving</w:t>
      </w:r>
      <w:r>
        <w:rPr>
          <w:b w:val="0"/>
          <w:i w:val="0"/>
        </w:rPr>
        <w:t xml:space="preserve"> it for temperatures and partisan country the cabin did not temper. Platforms probably were </w:t>
      </w:r>
      <w:r>
        <w:rPr>
          <w:b/>
          <w:i w:val="0"/>
        </w:rPr>
        <w:t>not engineered</w:t>
      </w:r>
      <w:r>
        <w:rPr>
          <w:b w:val="0"/>
          <w:i w:val="0"/>
        </w:rPr>
        <w:t xml:space="preserve"> for months of </w:t>
      </w:r>
      <w:r>
        <w:rPr>
          <w:b/>
          <w:i w:val="0"/>
        </w:rPr>
        <w:t>extreme-cold</w:t>
      </w:r>
      <w:r>
        <w:rPr>
          <w:b w:val="0"/>
          <w:i w:val="0"/>
        </w:rPr>
        <w:t xml:space="preserve"> habitation (heating, seals, logistics of life support) even if they still </w:t>
      </w:r>
      <w:r>
        <w:rPr>
          <w:b/>
          <w:i w:val="0"/>
        </w:rPr>
        <w:t>flew</w:t>
      </w:r>
      <w:r>
        <w:rPr>
          <w:b w:val="0"/>
          <w:i w:val="0"/>
        </w:rPr>
        <w:t xml:space="preserve">. </w:t>
      </w:r>
      <w:r>
        <w:rPr>
          <w:b/>
          <w:i w:val="0"/>
        </w:rPr>
        <w:t>Air superiority</w:t>
      </w:r>
      <w:r>
        <w:rPr>
          <w:b w:val="0"/>
          <w:i w:val="0"/>
        </w:rPr>
        <w:t xml:space="preserve"> in that frame does not substitute for stone walls and winter stores; it cannot </w:t>
      </w:r>
      <w:r>
        <w:rPr>
          <w:b/>
          <w:i w:val="0"/>
        </w:rPr>
        <w:t>govern</w:t>
      </w:r>
      <w:r>
        <w:rPr>
          <w:b w:val="0"/>
          <w:i w:val="0"/>
        </w:rPr>
        <w:t xml:space="preserve"> a city from altitude while soldiers freeze the moment they step out.</w:t>
      </w:r>
    </w:p>
    <w:p>
      <w:pPr>
        <w:pStyle w:val="Heading4"/>
        <w:keepNext/>
        <w:keepLines/>
      </w:pPr>
      <w:r>
        <w:t>Kremlin as winter redoubt</w:t>
      </w:r>
    </w:p>
    <w:p>
      <w:r>
        <w:rPr>
          <w:b w:val="0"/>
          <w:i w:val="0"/>
        </w:rPr>
        <w:t xml:space="preserve">Scorched Moscow was not only a civilizational gesture. The </w:t>
      </w:r>
      <w:r>
        <w:rPr>
          <w:b/>
          <w:i w:val="0"/>
        </w:rPr>
        <w:t>Kremlin</w:t>
      </w:r>
      <w:r>
        <w:rPr>
          <w:b w:val="0"/>
          <w:i w:val="0"/>
        </w:rPr>
        <w:t xml:space="preserve"> offered </w:t>
      </w:r>
      <w:r>
        <w:rPr>
          <w:b/>
          <w:i w:val="0"/>
        </w:rPr>
        <w:t>fortified stone</w:t>
      </w:r>
      <w:r>
        <w:rPr>
          <w:b w:val="0"/>
          <w:i w:val="0"/>
        </w:rPr>
        <w:t xml:space="preserve">, enclosure, and interior volume suited to </w:t>
      </w:r>
      <w:r>
        <w:rPr>
          <w:b/>
          <w:i w:val="0"/>
        </w:rPr>
        <w:t>wintering</w:t>
      </w:r>
      <w:r>
        <w:rPr>
          <w:b w:val="0"/>
          <w:i w:val="0"/>
        </w:rPr>
        <w:t xml:space="preserve"> a large force—windbreak, defense, and a plausible path to </w:t>
      </w:r>
      <w:r>
        <w:rPr>
          <w:b/>
          <w:i w:val="0"/>
        </w:rPr>
        <w:t>outlast</w:t>
      </w:r>
      <w:r>
        <w:rPr>
          <w:b w:val="0"/>
          <w:i w:val="0"/>
        </w:rPr>
        <w:t xml:space="preserve"> the season </w:t>
      </w:r>
      <w:r>
        <w:rPr>
          <w:b/>
          <w:i w:val="0"/>
        </w:rPr>
        <w:t>inside the walls</w:t>
      </w:r>
      <w:r>
        <w:rPr>
          <w:b w:val="0"/>
          <w:i w:val="0"/>
        </w:rPr>
        <w:t xml:space="preserve"> rather than in open bivouac. Denying Napoleon an intact citadel and capital removed the last </w:t>
      </w:r>
      <w:r>
        <w:rPr>
          <w:b/>
          <w:i w:val="0"/>
        </w:rPr>
        <w:t>lodgment</w:t>
      </w:r>
      <w:r>
        <w:rPr>
          <w:b w:val="0"/>
          <w:i w:val="0"/>
        </w:rPr>
        <w:t xml:space="preserve"> that might have turned a September entry into a spring still holding Moscow. See </w:t>
      </w:r>
      <w:hyperlink r:id="rId166">
        <w:r>
          <w:rPr>
            <w:b w:val="0"/>
            <w:i w:val="0"/>
            <w:color w:val="B8860B"/>
          </w:rPr>
          <w:t>Aftermath of 1812</w:t>
        </w:r>
      </w:hyperlink>
      <w:r>
        <w:rPr>
          <w:b w:val="0"/>
          <w:i w:val="0"/>
        </w:rPr>
        <w:t xml:space="preserve"> for the book-facing summary.</w:t>
      </w:r>
    </w:p>
    <w:p>
      <w:pPr>
        <w:pStyle w:val="Heading2"/>
        <w:keepNext/>
        <w:keepLines/>
      </w:pPr>
      <w:r>
        <w:t>Napoleon invades Russia — Reverse Crusade I</w:t>
      </w:r>
    </w:p>
    <w:p>
      <w:r>
        <w:rPr>
          <w:b w:val="0"/>
          <w:i w:val="0"/>
        </w:rPr>
        <w:t xml:space="preserve">This appendix extends </w:t>
      </w:r>
      <w:hyperlink r:id="rId27">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80">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166">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81">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 xml:space="preserve">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w:t>
      </w:r>
      <w:r>
        <w:rPr>
          <w:b/>
          <w:i w:val="0"/>
        </w:rPr>
        <w:t>The Kremlin</w:t>
      </w:r>
      <w:r>
        <w:rPr>
          <w:b w:val="0"/>
          <w:i w:val="0"/>
        </w:rPr>
        <w:t xml:space="preserve"> in particular would have given an occupier </w:t>
      </w:r>
      <w:r>
        <w:rPr>
          <w:b/>
          <w:i w:val="0"/>
        </w:rPr>
        <w:t>walled winter quarters</w:t>
      </w:r>
      <w:r>
        <w:rPr>
          <w:b w:val="0"/>
          <w:i w:val="0"/>
        </w:rPr>
        <w:t xml:space="preserve">; its loss with the wider burn closed off the most credible way to </w:t>
      </w:r>
      <w:r>
        <w:rPr>
          <w:b/>
          <w:i w:val="0"/>
        </w:rPr>
        <w:t>hold</w:t>
      </w:r>
      <w:r>
        <w:rPr>
          <w:b w:val="0"/>
          <w:i w:val="0"/>
        </w:rPr>
        <w:t xml:space="preserve"> the capital through the cold.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82">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163">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w:t>
      </w:r>
      <w:r>
        <w:rPr>
          <w:b/>
          <w:i w:val="0"/>
        </w:rPr>
        <w:t>edge</w:t>
      </w:r>
      <w:r>
        <w:rPr>
          <w:b w:val="0"/>
          <w:i w:val="0"/>
        </w:rPr>
        <w:t xml:space="preserve"> the French relied on — artillery tempo, supply calculus, possibly </w:t>
      </w:r>
      <w:r>
        <w:rPr>
          <w:b/>
          <w:i w:val="0"/>
        </w:rPr>
        <w:t>classified lift</w:t>
      </w:r>
      <w:r>
        <w:rPr>
          <w:b w:val="0"/>
          <w:i w:val="0"/>
        </w:rPr>
        <w:t xml:space="preserve"> alongside </w:t>
      </w:r>
      <w:r>
        <w:rPr>
          <w:b/>
          <w:i w:val="0"/>
        </w:rPr>
        <w:t>observation balloons</w:t>
      </w:r>
      <w:r>
        <w:rPr>
          <w:b w:val="0"/>
          <w:i w:val="0"/>
        </w:rPr>
        <w:t xml:space="preserve"> on the public record — met </w:t>
      </w:r>
      <w:r>
        <w:rPr>
          <w:b/>
          <w:i w:val="0"/>
        </w:rPr>
        <w:t>logistics collapse</w:t>
      </w:r>
      <w:r>
        <w:rPr>
          <w:b w:val="0"/>
          <w:i w:val="0"/>
        </w:rPr>
        <w:t xml:space="preserve">, </w:t>
      </w:r>
      <w:r>
        <w:rPr>
          <w:b/>
          <w:i w:val="0"/>
        </w:rPr>
        <w:t>extreme cold</w:t>
      </w:r>
      <w:r>
        <w:rPr>
          <w:b w:val="0"/>
          <w:i w:val="0"/>
        </w:rPr>
        <w:t xml:space="preserve">, and the </w:t>
      </w:r>
      <w:r>
        <w:rPr>
          <w:b/>
          <w:i w:val="0"/>
        </w:rPr>
        <w:t>impossibility of occupation from the air</w:t>
      </w:r>
      <w:r>
        <w:rPr>
          <w:b w:val="0"/>
          <w:i w:val="0"/>
        </w:rPr>
        <w:t xml:space="preserve"> once crews could not safely </w:t>
      </w:r>
      <w:r>
        <w:rPr>
          <w:b/>
          <w:i w:val="0"/>
        </w:rPr>
        <w:t>hold</w:t>
      </w:r>
      <w:r>
        <w:rPr>
          <w:b w:val="0"/>
          <w:i w:val="0"/>
        </w:rPr>
        <w:t xml:space="preserve"> ground or </w:t>
      </w:r>
      <w:r>
        <w:rPr>
          <w:b/>
          <w:i w:val="0"/>
        </w:rPr>
        <w:t>winter in stone</w:t>
      </w:r>
      <w:r>
        <w:rPr>
          <w:b w:val="0"/>
          <w:i w:val="0"/>
        </w:rPr>
        <w:t xml:space="preserve">. That failure is consistent with </w:t>
      </w:r>
      <w:r>
        <w:rPr>
          <w:b/>
          <w:i w:val="0"/>
        </w:rPr>
        <w:t>overextension</w:t>
      </w:r>
      <w:r>
        <w:rPr>
          <w:b w:val="0"/>
          <w:i w:val="0"/>
        </w:rPr>
        <w:t xml:space="preserve"> and </w:t>
      </w:r>
      <w:r>
        <w:rPr>
          <w:b/>
          <w:i w:val="0"/>
        </w:rPr>
        <w:t>climate</w:t>
      </w:r>
      <w:r>
        <w:rPr>
          <w:b w:val="0"/>
          <w:i w:val="0"/>
        </w:rPr>
        <w:t xml:space="preserve"> without </w:t>
      </w:r>
      <w:r>
        <w:rPr>
          <w:b/>
          <w:i w:val="0"/>
        </w:rPr>
        <w:t>plasma</w:t>
      </w:r>
      <w:r>
        <w:rPr>
          <w:b w:val="0"/>
          <w:i w:val="0"/>
        </w:rPr>
        <w:t xml:space="preserve"> weapons (which this timeline does not assign to 1812). For lift, Kremlin-as-redoubt, and crew exposure, see </w:t>
      </w:r>
      <w:r>
        <w:rPr>
          <w:b/>
          <w:i w:val="0"/>
        </w:rPr>
        <w:t>Lift platforms, winter occupation, and the Kremlin</w:t>
      </w:r>
      <w:r>
        <w:rPr>
          <w:b w:val="0"/>
          <w:i w:val="0"/>
        </w:rPr>
        <w:t xml:space="preserve"> above; for </w:t>
      </w:r>
      <w:r>
        <w:rPr>
          <w:b/>
          <w:i w:val="0"/>
        </w:rPr>
        <w:t>sound</w:t>
      </w:r>
      <w:r>
        <w:rPr>
          <w:b w:val="0"/>
          <w:i w:val="0"/>
        </w:rPr>
        <w:t xml:space="preserve"> ordnance and investigation links, see </w:t>
      </w:r>
      <w:hyperlink r:id="rId279">
        <w:r>
          <w:rPr>
            <w:b w:val="0"/>
            <w:i w:val="0"/>
            <w:color w:val="B8860B"/>
          </w:rPr>
          <w:t>/governance/war/investigations/napoleonic-advanced-artillery-airship-investigation.md</w:t>
        </w:r>
      </w:hyperlink>
      <w:r>
        <w:rPr>
          <w:b w:val="0"/>
          <w:i w:val="0"/>
        </w:rPr>
        <w:t xml:space="preserve">. For the war's deeper financial context, see </w:t>
      </w:r>
      <w:hyperlink r:id="rId166">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83">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166">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Reverse Crusades and Modern Wars</w:t>
      </w:r>
    </w:p>
    <w:p>
      <w:r>
        <w:rPr>
          <w:b w:val="0"/>
          <w:i w:val="0"/>
        </w:rPr>
        <w:t>Structural comparison of the four Reverse Crusades and extended evidence for 20th–21st century geopolitical continuity.</w:t>
      </w:r>
    </w:p>
    <w:p>
      <w:pPr>
        <w:pStyle w:val="ListBullet"/>
        <w:spacing w:before="20" w:after="20"/>
      </w:pPr>
      <w:hyperlink r:id="rId42">
        <w:r>
          <w:rPr>
            <w:b w:val="0"/>
            <w:i w:val="0"/>
            <w:color w:val="B8860B"/>
            <w:sz w:val="19"/>
          </w:rPr>
          <w:t>The Four Reverse Crusades: A Structural Comparison</w:t>
        </w:r>
      </w:hyperlink>
    </w:p>
    <w:p>
      <w:pPr>
        <w:pStyle w:val="ListBullet"/>
        <w:spacing w:before="20" w:after="20"/>
      </w:pPr>
      <w:hyperlink r:id="rId43">
        <w:r>
          <w:rPr>
            <w:b w:val="0"/>
            <w:i w:val="0"/>
            <w:color w:val="B8860B"/>
            <w:sz w:val="19"/>
          </w:rPr>
          <w:t>21st Century Geopolitics: Europe's War and America's Escalation Machine</w:t>
        </w:r>
      </w:hyperlink>
    </w:p>
    <w:p>
      <w:pPr>
        <w:pStyle w:val="ListBullet"/>
        <w:spacing w:before="20" w:after="20"/>
      </w:pPr>
      <w:hyperlink r:id="rId44">
        <w:r>
          <w:rPr>
            <w:b w:val="0"/>
            <w:i w:val="0"/>
            <w:color w:val="B8860B"/>
            <w:sz w:val="19"/>
          </w:rPr>
          <w:t>World War II Aftermath</w:t>
        </w:r>
      </w:hyperlink>
    </w:p>
    <w:p/>
    <w:p>
      <w:pPr>
        <w:jc w:val="center"/>
      </w:pPr>
      <w:r>
        <w:rPr>
          <w:color w:val="B8860B"/>
          <w:sz w:val="24"/>
        </w:rPr>
        <w:t>— ✦ —</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3"/>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3"/>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3"/>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3"/>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r>
        <w:rPr>
          <w:b w:val="0"/>
          <w:i w:val="0"/>
        </w:rPr>
        <w:t xml:space="preserve">After </w:t>
      </w:r>
      <w:r>
        <w:rPr>
          <w:b/>
          <w:i w:val="0"/>
        </w:rPr>
        <w:t>1945</w:t>
      </w:r>
      <w:r>
        <w:rPr>
          <w:b w:val="0"/>
          <w:i w:val="0"/>
        </w:rPr>
        <w:t xml:space="preserve">, the pan-European </w:t>
      </w:r>
      <w:r>
        <w:rPr>
          <w:b/>
          <w:i w:val="0"/>
        </w:rPr>
        <w:t>invasion</w:t>
      </w:r>
      <w:r>
        <w:rPr>
          <w:b w:val="0"/>
          <w:i w:val="0"/>
        </w:rPr>
        <w:t xml:space="preserve"> of Russia failed again; the West still </w:t>
      </w:r>
      <w:r>
        <w:rPr>
          <w:b/>
          <w:i w:val="0"/>
        </w:rPr>
        <w:t>extracted</w:t>
      </w:r>
      <w:r>
        <w:rPr>
          <w:b w:val="0"/>
          <w:i w:val="0"/>
        </w:rPr>
        <w:t xml:space="preserve"> German war capacity (Paperclip, Gehlen, Ratlines) and folded it into </w:t>
      </w:r>
      <w:r>
        <w:rPr>
          <w:b/>
          <w:i w:val="0"/>
        </w:rPr>
        <w:t>encirclement</w:t>
      </w:r>
      <w:r>
        <w:rPr>
          <w:b w:val="0"/>
          <w:i w:val="0"/>
        </w:rPr>
        <w:t xml:space="preserve"> and </w:t>
      </w:r>
      <w:r>
        <w:rPr>
          <w:b/>
          <w:i w:val="0"/>
        </w:rPr>
        <w:t>intelligence</w:t>
      </w:r>
      <w:r>
        <w:rPr>
          <w:b w:val="0"/>
          <w:i w:val="0"/>
        </w:rPr>
        <w:t xml:space="preserve"> against the USSR — the same strategic goal in a new costume. </w:t>
      </w:r>
      <w:hyperlink r:id="rId284">
        <w:r>
          <w:rPr>
            <w:b w:val="0"/>
            <w:i w:val="0"/>
            <w:color w:val="B8860B"/>
          </w:rPr>
          <w:t>Operation Paperclip, Nazi continuity, and the WWII narrative</w:t>
        </w:r>
      </w:hyperlink>
      <w:r>
        <w:rPr>
          <w:b w:val="0"/>
          <w:i w:val="0"/>
        </w:rPr>
        <w:t xml:space="preserve"> ties that postwar re-tasking to this pattern.</w:t>
      </w:r>
    </w:p>
    <w:p>
      <w:hyperlink r:id="rId285">
        <w:r>
          <w:rPr>
            <w:b w:val="0"/>
            <w:i w:val="0"/>
            <w:color w:val="B8860B"/>
          </w:rPr>
          <w:t>See: Reverse Crusades Comparison</w:t>
        </w:r>
      </w:hyperlink>
      <w:r>
        <w:rPr>
          <w:b w:val="0"/>
          <w:i w:val="0"/>
        </w:rPr>
        <w:t xml:space="preserve"> for the full investigation including alliance timelines, Parvus–Lenin funding, and the Warburg network.</w:t>
      </w:r>
    </w:p>
    <w:p/>
    <w:p>
      <w:pPr>
        <w:jc w:val="center"/>
      </w:pPr>
      <w:r>
        <w:rPr>
          <w:color w:val="B8860B"/>
          <w:sz w:val="24"/>
        </w:rPr>
        <w:t>— ✦ —</w:t>
      </w:r>
    </w:p>
    <w:p>
      <w:r>
        <w:rPr>
          <w:b w:val="0"/>
          <w:i w:val="0"/>
        </w:rPr>
        <w:t xml:space="preserve">Extended evidence for </w:t>
      </w:r>
      <w:hyperlink r:id="rId286">
        <w:r>
          <w:rPr>
            <w:b w:val="0"/>
            <w:i w:val="0"/>
            <w:color w:val="B8860B"/>
          </w:rPr>
          <w:t>The Final Struggle: Reverse Crusade IV</w:t>
        </w:r>
      </w:hyperlink>
      <w:r>
        <w:rPr>
          <w:b w:val="0"/>
          <w:i w:val="0"/>
        </w:rPr>
        <w:t>. The "unified West" rested on a handful of operators.</w:t>
      </w:r>
    </w:p>
    <w:p>
      <w:pPr>
        <w:pStyle w:val="Heading3"/>
        <w:keepNext/>
        <w:keepLines/>
      </w:pPr>
      <w:r>
        <w:t>Europe's War: Six Operators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Six people steered a continent of 450 million into economic and military confrontation — no public referendum on escalation held anywhere.</w:t>
      </w:r>
    </w:p>
    <w:p>
      <w:pPr>
        <w:pStyle w:val="Heading3"/>
        <w:keepNext/>
        <w:keepLines/>
      </w:pPr>
      <w:r>
        <w:t>America's Escalation Machine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rPr>
                <w:rFonts w:ascii="Libre Franklin" w:hAnsi="Libre Franklin"/>
                <w:b/>
                <w:sz w:val="18"/>
              </w:rPr>
              <w:t>Name</w:t>
            </w:r>
          </w:p>
        </w:tc>
        <w:tc>
          <w:tcPr>
            <w:tcW w:type="dxa" w:w="1166"/>
            <w:shd w:val="clear" w:color="auto" w:fill="F0F0F0"/>
          </w:tcPr>
          <w:p>
            <w:pPr>
              <w:spacing w:before="20" w:after="20"/>
              <w:jc w:val="center"/>
            </w:pPr>
            <w:r>
              <w:rPr>
                <w:rFonts w:ascii="Libre Franklin" w:hAnsi="Libre Franklin"/>
                <w:b/>
                <w:sz w:val="18"/>
              </w:rPr>
              <w:t>Position</w:t>
            </w:r>
          </w:p>
        </w:tc>
        <w:tc>
          <w:tcPr>
            <w:tcW w:type="dxa" w:w="4364"/>
            <w:shd w:val="clear" w:color="auto" w:fill="F0F0F0"/>
          </w:tcPr>
          <w:p>
            <w:pPr>
              <w:spacing w:before="20" w:after="20"/>
              <w:jc w:val="center"/>
            </w:pPr>
            <w:r>
              <w:rPr>
                <w:rFonts w:ascii="Libre Franklin" w:hAnsi="Libre Franklin"/>
                <w:b/>
                <w:sz w:val="18"/>
              </w:rPr>
              <w:t>Role in Escalation</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rPr>
                <w:b w:val="0"/>
                <w:i w:val="0"/>
                <w:sz w:val="18"/>
              </w:rPr>
              <w:t>"For as long as it takes"; Harris presidency would have meant unbroken escalation</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rPr>
          <w:b w:val="0"/>
          <w:i w:val="0"/>
        </w:rPr>
        <w:t xml:space="preserve">In November 2024, Biden authorised ATACMS strikes deep into Russian territory </w:t>
      </w:r>
      <w:r>
        <w:rPr>
          <w:b w:val="0"/>
          <w:i/>
        </w:rPr>
        <w:t>after losing the election</w:t>
      </w:r>
      <w:r>
        <w:rPr>
          <w:b w:val="0"/>
          <w:i w:val="0"/>
        </w:rPr>
        <w:t xml:space="preserve"> — during a lame-duck period. The margin between proxy war and nuclear exchange was one election.</w:t>
      </w:r>
    </w:p>
    <w:p/>
    <w:p>
      <w:pPr>
        <w:jc w:val="center"/>
      </w:pPr>
      <w:r>
        <w:rPr>
          <w:color w:val="B8860B"/>
          <w:sz w:val="24"/>
        </w:rPr>
        <w:t>— ✦ —</w:t>
      </w:r>
    </w:p>
    <w:p>
      <w:r>
        <w:rPr>
          <w:b w:val="0"/>
          <w:i w:val="0"/>
        </w:rPr>
        <w:t xml:space="preserve">Extended evidence for </w:t>
      </w:r>
      <w:hyperlink r:id="rId287">
        <w:r>
          <w:rPr>
            <w:b w:val="0"/>
            <w:i w:val="0"/>
            <w:color w:val="B8860B"/>
          </w:rPr>
          <w:t>World War II: Reverse Crusade III</w:t>
        </w:r>
      </w:hyperlink>
      <w:r>
        <w:rPr>
          <w:b w:val="0"/>
          <w:i w:val="0"/>
        </w:rPr>
        <w:t>: architectural erasure, German evacuation thesis, Vril question, Mars testimony, and twin-tower biological control investigation.</w:t>
      </w:r>
    </w:p>
    <w:p>
      <w:pPr>
        <w:pStyle w:val="Heading3"/>
        <w:keepNext/>
        <w:keepLines/>
      </w:pPr>
      <w:r>
        <w:t>The Destruction of Old-World Architecture</w:t>
      </w:r>
    </w:p>
    <w:p>
      <w:r>
        <w:rPr>
          <w:b w:val="0"/>
          <w:i w:val="0"/>
        </w:rPr>
        <w:t xml:space="preserve">Allied firebombing targeted irreplaceable pre-modern architecture — Dresden, Hamburg, Cologne, Tokyo, Osaka. The </w:t>
      </w:r>
      <w:hyperlink r:id="rId288">
        <w:r>
          <w:rPr>
            <w:b w:val="0"/>
            <w:i w:val="0"/>
            <w:color w:val="B8860B"/>
          </w:rPr>
          <w:t>Mudflood thesis</w:t>
        </w:r>
      </w:hyperlink>
      <w:r>
        <w:rPr>
          <w:b w:val="0"/>
          <w:i w:val="0"/>
        </w:rPr>
        <w:t xml:space="preserve"> documents Tartarian-style buildings with buried first floors and anomalous construction. WW2 completed what the Expositions began: razed entire cities, replaced with modernist concrete. See Howdie Mickoski, </w:t>
      </w:r>
      <w:r>
        <w:rPr>
          <w:b w:val="0"/>
          <w:i/>
        </w:rPr>
        <w:t>Exposing the Expositions</w:t>
      </w:r>
      <w:r>
        <w:rPr>
          <w:b w:val="0"/>
          <w:i w:val="0"/>
        </w:rPr>
        <w:t>.</w:t>
      </w:r>
    </w:p>
    <w:p>
      <w:pPr>
        <w:pStyle w:val="Heading3"/>
        <w:keepNext/>
        <w:keepLines/>
      </w:pPr>
      <w:r>
        <w:t>The German Evacuation Thesis</w:t>
      </w:r>
    </w:p>
    <w:p>
      <w:r>
        <w:rPr>
          <w:b w:val="0"/>
          <w:i w:val="0"/>
        </w:rPr>
      </w:r>
      <w:r>
        <w:rPr>
          <w:b/>
          <w:i w:val="0"/>
        </w:rPr>
        <w:t>Neuschwabenland / Base 211</w:t>
      </w:r>
      <w:r>
        <w:rPr>
          <w:b w:val="0"/>
          <w:i w:val="0"/>
        </w:rPr>
        <w:t xml:space="preserve"> — 1938–39 German Antarctic expedition; alternative account holds Base 211 established. </w:t>
      </w:r>
      <w:r>
        <w:rPr>
          <w:b/>
          <w:i w:val="0"/>
        </w:rPr>
        <w:t>Operation Highjump (1946–47)</w:t>
      </w:r>
      <w:r>
        <w:rPr>
          <w:b w:val="0"/>
          <w:i w:val="0"/>
        </w:rPr>
        <w:t xml:space="preserve"> — Byrd deployed 4,700 personnel, 13 ships, 33 aircraft. Byrd (El Mercurio, March 1947): </w:t>
      </w:r>
      <w:r>
        <w:rPr>
          <w:b w:val="0"/>
          <w:i/>
        </w:rPr>
        <w:t>"In case of a new war, the continental US would be attacked by flying objects which could fly from pole to pole at incredible speeds."</w:t>
      </w:r>
      <w:r>
        <w:rPr>
          <w:b w:val="0"/>
          <w:i w:val="0"/>
        </w:rPr>
        <w:t xml:space="preserve"> Karl Unger letter (U-209) — unverified. German evacuation narrative points to inner Earth and Mars.</w:t>
      </w:r>
    </w:p>
    <w:p>
      <w:pPr>
        <w:pStyle w:val="Heading3"/>
        <w:keepNext/>
        <w:keepLines/>
      </w:pPr>
      <w:r>
        <w:t>The Vril Question</w:t>
      </w:r>
    </w:p>
    <w:p>
      <w:r>
        <w:rPr>
          <w:b w:val="0"/>
          <w:i w:val="0"/>
        </w:rPr>
        <w:t xml:space="preserve">Vril Society — no Nazi-era documents survive. Name from Bulwer-Lytton's </w:t>
      </w:r>
      <w:r>
        <w:rPr>
          <w:b w:val="0"/>
          <w:i/>
        </w:rPr>
        <w:t>The Coming Race</w:t>
      </w:r>
      <w:r>
        <w:rPr>
          <w:b w:val="0"/>
          <w:i w:val="0"/>
        </w:rPr>
        <w:t xml:space="preserve"> (1871). </w:t>
      </w:r>
      <w:r>
        <w:rPr>
          <w:b/>
          <w:i w:val="0"/>
        </w:rPr>
        <w:t>Tempelhofgesellschaft</w:t>
      </w:r>
      <w:r>
        <w:rPr>
          <w:b w:val="0"/>
          <w:i w:val="0"/>
        </w:rPr>
        <w:t xml:space="preserve"> — Ettl and Ratthofer's 1992 documentary </w:t>
      </w:r>
      <w:r>
        <w:rPr>
          <w:b w:val="0"/>
          <w:i/>
        </w:rPr>
        <w:t>UFO — Geheimnisse des 3. Reichs</w:t>
      </w:r>
      <w:r>
        <w:rPr>
          <w:b w:val="0"/>
          <w:i w:val="0"/>
        </w:rPr>
        <w:t xml:space="preserve">; presented as factual. </w:t>
      </w:r>
      <w:r>
        <w:rPr>
          <w:b/>
          <w:i w:val="0"/>
        </w:rPr>
        <w:t>Denazification evidence gap</w:t>
      </w:r>
      <w:r>
        <w:rPr>
          <w:b w:val="0"/>
          <w:i w:val="0"/>
        </w:rPr>
        <w:t xml:space="preserve"> — Ahnenerbe destroyed paperwork; files pulped at Freimann; Control Council Order No. 4; BND shredded files (2007).</w:t>
      </w:r>
    </w:p>
    <w:p>
      <w:pPr>
        <w:pStyle w:val="Heading3"/>
        <w:keepNext/>
        <w:keepLines/>
      </w:pPr>
      <w:r>
        <w:t>Mars Testimony</w:t>
      </w:r>
    </w:p>
    <w:p>
      <w:r>
        <w:rPr>
          <w:b w:val="0"/>
          <w:i w:val="0"/>
        </w:rPr>
        <w:t xml:space="preserve">Telegram SSP veteran: </w:t>
      </w:r>
      <w:r>
        <w:rPr>
          <w:b w:val="0"/>
          <w:i/>
        </w:rPr>
        <w:t>"We have bases and big factory there... There are also multiple German bases but I never visited them."</w:t>
      </w:r>
      <w:r>
        <w:rPr>
          <w:b w:val="0"/>
          <w:i w:val="0"/>
        </w:rPr>
        <w:t xml:space="preserve"> Aligns with Len Kasten's </w:t>
      </w:r>
      <w:r>
        <w:rPr>
          <w:b w:val="0"/>
          <w:i/>
        </w:rPr>
        <w:t>Dark Fleet</w:t>
      </w:r>
      <w:r>
        <w:rPr>
          <w:b w:val="0"/>
          <w:i w:val="0"/>
        </w:rPr>
        <w:t xml:space="preserve">, Landig's </w:t>
      </w:r>
      <w:r>
        <w:rPr>
          <w:b w:val="0"/>
          <w:i/>
        </w:rPr>
        <w:t>Thule Trilogy</w:t>
      </w:r>
      <w:r>
        <w:rPr>
          <w:b w:val="0"/>
          <w:i w:val="0"/>
        </w:rPr>
        <w:t xml:space="preserve"> (1971).</w:t>
      </w:r>
    </w:p>
    <w:p>
      <w:pPr>
        <w:pStyle w:val="Heading3"/>
        <w:keepNext/>
        <w:keepLines/>
      </w:pPr>
      <w:r>
        <w:t>Twin-Tower Biological Control (Open Investigation)</w:t>
      </w:r>
    </w:p>
    <w:p>
      <w:r>
        <w:rPr>
          <w:b w:val="0"/>
          <w:i w:val="0"/>
        </w:rPr>
        <w:t xml:space="preserve">Telegram testimony describes twin biological implants, serpent-like growth, single-eye interface — parallel to pharaonic uraeus, caduceus (De Grazia: ka-controller). Science fiction encoding: Bulwer-Lytton, Lovecraft "From Beyond"/"The Mound," Card </w:t>
      </w:r>
      <w:r>
        <w:rPr>
          <w:b w:val="0"/>
          <w:i/>
        </w:rPr>
        <w:t>Ender's Game</w:t>
      </w:r>
      <w:r>
        <w:rPr>
          <w:b w:val="0"/>
          <w:i w:val="0"/>
        </w:rPr>
        <w:t xml:space="preserve">, Cronenberg </w:t>
      </w:r>
      <w:r>
        <w:rPr>
          <w:b w:val="0"/>
          <w:i/>
        </w:rPr>
        <w:t>Scanners</w:t>
      </w:r>
      <w:r>
        <w:rPr>
          <w:b w:val="0"/>
          <w:i w:val="0"/>
        </w:rPr>
        <w:t xml:space="preserve">, </w:t>
      </w:r>
      <w:r>
        <w:rPr>
          <w:b w:val="0"/>
          <w:i/>
        </w:rPr>
        <w:t>Babylon 5</w:t>
      </w:r>
      <w:r>
        <w:rPr>
          <w:b w:val="0"/>
          <w:i w:val="0"/>
        </w:rPr>
        <w:t xml:space="preserve">, </w:t>
      </w:r>
      <w:r>
        <w:rPr>
          <w:b w:val="0"/>
          <w:i/>
        </w:rPr>
        <w:t>Stranger Things</w:t>
      </w:r>
      <w:r>
        <w:rPr>
          <w:b w:val="0"/>
          <w:i w:val="0"/>
        </w:rPr>
        <w:t xml:space="preserve">. See </w:t>
      </w:r>
      <w:hyperlink r:id="rId289">
        <w:r>
          <w:rPr>
            <w:b w:val="0"/>
            <w:i w:val="0"/>
            <w:color w:val="B8860B"/>
          </w:rPr>
          <w:t>Vril Society Investigation</w:t>
        </w:r>
      </w:hyperlink>
      <w:r>
        <w:rPr>
          <w:b w:val="0"/>
          <w:i w:val="0"/>
        </w:rPr>
        <w:t xml:space="preserve"> | </w:t>
      </w:r>
      <w:hyperlink r:id="rId285">
        <w:r>
          <w:rPr>
            <w:b w:val="0"/>
            <w:i w:val="0"/>
            <w:color w:val="B8860B"/>
          </w:rPr>
          <w:t>Reverse Crusades Comparison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Suppressed Science and Technology</w:t>
      </w:r>
    </w:p>
    <w:p>
      <w:r>
        <w:rPr>
          <w:b w:val="0"/>
          <w:i w:val="0"/>
        </w:rPr>
        <w:t>Extended evidence for suppressed or marginalized science and technology, from Soviet historiography to energy.</w:t>
      </w:r>
    </w:p>
    <w:p>
      <w:pPr>
        <w:pStyle w:val="ListBullet"/>
        <w:spacing w:before="20" w:after="20"/>
      </w:pPr>
      <w:hyperlink r:id="rId23">
        <w:r>
          <w:rPr>
            <w:b w:val="0"/>
            <w:i w:val="0"/>
            <w:color w:val="B8860B"/>
            <w:sz w:val="19"/>
          </w:rPr>
          <w:t>Soviet Historiography: Bogdanov and Suppressed Science</w:t>
        </w:r>
      </w:hyperlink>
    </w:p>
    <w:p>
      <w:pPr>
        <w:pStyle w:val="ListBullet"/>
        <w:spacing w:before="20" w:after="20"/>
      </w:pPr>
      <w:hyperlink r:id="rId24">
        <w:r>
          <w:rPr>
            <w:b w:val="0"/>
            <w:i w:val="0"/>
            <w:color w:val="B8860B"/>
            <w:sz w:val="19"/>
          </w:rPr>
          <w:t>Suppressed Energy Technology: A Cross-Reference</w:t>
        </w:r>
      </w:hyperlink>
    </w:p>
    <w:p/>
    <w:p>
      <w:pPr>
        <w:jc w:val="center"/>
      </w:pPr>
      <w:r>
        <w:rPr>
          <w:color w:val="B8860B"/>
          <w:sz w:val="24"/>
        </w:rPr>
        <w:t>— ✦ —</w:t>
      </w:r>
    </w:p>
    <w:p>
      <w:r>
        <w:rPr>
          <w:b w:val="0"/>
          <w:i w:val="0"/>
        </w:rPr>
        <w:t xml:space="preserve">This appendix extends </w:t>
      </w:r>
      <w:hyperlink r:id="rId23">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jc w:val="center"/>
      </w:pPr>
      <w:r>
        <w:rPr>
          <w:color w:val="B8860B"/>
          <w:sz w:val="24"/>
        </w:rPr>
        <w:t>— ✦ —</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3"/>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4"/>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3"/>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On this reading, suppression of the aether is the master key — engineering and classification, not a single debunking experiment.</w:t>
      </w:r>
    </w:p>
    <w:p>
      <w:pPr>
        <w:pBdr>
          <w:bottom w:val="single" w:sz="6" w:space="1" w:color="CCCCCC"/>
        </w:pBdr>
      </w:pPr>
    </w:p>
    <w:p>
      <w:pPr>
        <w:pStyle w:val="Heading3"/>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52">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290">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290">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291">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292">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225">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293">
              <w:r>
                <w:rPr>
                  <w:b w:val="0"/>
                  <w:i w:val="0"/>
                  <w:color w:val="B8860B"/>
                  <w:sz w:val="18"/>
                </w:rPr>
                <w:t>Nuclear Energy &amp; the Bomb</w:t>
              </w:r>
            </w:hyperlink>
          </w:p>
        </w:tc>
      </w:tr>
    </w:tbl>
    <w:p/>
    <w:p>
      <w:pPr>
        <w:pBdr>
          <w:bottom w:val="single" w:sz="6" w:space="1" w:color="CCCCCC"/>
        </w:pBdr>
      </w:pPr>
    </w:p>
    <w:p>
      <w:pPr>
        <w:pStyle w:val="Heading3"/>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294">
        <w:r>
          <w:rPr>
            <w:b w:val="0"/>
            <w:i w:val="0"/>
            <w:color w:val="B8860B"/>
            <w:sz w:val="19"/>
          </w:rPr>
          <w:t>Weather Modification Investigation</w:t>
        </w:r>
      </w:hyperlink>
    </w:p>
    <w:p>
      <w:pPr>
        <w:pBdr>
          <w:bottom w:val="single" w:sz="6" w:space="1" w:color="CCCCCC"/>
        </w:pBdr>
      </w:pPr>
    </w:p>
    <w:p>
      <w:pPr>
        <w:pStyle w:val="Heading3"/>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295">
        <w:r>
          <w:rPr>
            <w:b w:val="0"/>
            <w:i w:val="0"/>
            <w:color w:val="B8860B"/>
            <w:sz w:val="19"/>
          </w:rPr>
          <w:t>Havana Syndrome Investigation</w:t>
        </w:r>
      </w:hyperlink>
    </w:p>
    <w:p>
      <w:pPr>
        <w:pBdr>
          <w:bottom w:val="single" w:sz="6" w:space="1" w:color="CCCCCC"/>
        </w:pBdr>
      </w:pPr>
    </w:p>
    <w:p>
      <w:pPr>
        <w:pStyle w:val="Heading3"/>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Our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296">
        <w:r>
          <w:rPr>
            <w:b w:val="0"/>
            <w:i w:val="0"/>
            <w:color w:val="B8860B"/>
            <w:sz w:val="19"/>
          </w:rPr>
          <w:t>CERN &amp; Portal Technology Investigation</w:t>
        </w:r>
      </w:hyperlink>
    </w:p>
    <w:p>
      <w:pPr>
        <w:pBdr>
          <w:bottom w:val="single" w:sz="6" w:space="1" w:color="CCCCCC"/>
        </w:pBdr>
      </w:pPr>
    </w:p>
    <w:p>
      <w:pPr>
        <w:pStyle w:val="Heading3"/>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3"/>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r>
      <w:r>
        <w:rPr>
          <w:b/>
          <w:i w:val="0"/>
        </w:rPr>
        <w:t>Mars and the stock market.</w:t>
      </w:r>
      <w:r>
        <w:rPr>
          <w:b w:val="0"/>
          <w:i w:val="0"/>
        </w:rPr>
        <w:t xml:space="preserve"> A separate line of inquiry documents statistical correlations between Mars orbital position (specifically, Mars within 30° of the lunar node) and Dow Jones performance since 1896. When Mars is </w:t>
      </w:r>
      <w:r>
        <w:rPr>
          <w:b w:val="0"/>
          <w:i/>
        </w:rPr>
        <w:t>not</w:t>
      </w:r>
      <w:r>
        <w:rPr>
          <w:b w:val="0"/>
          <w:i w:val="0"/>
        </w:rPr>
        <w:t xml:space="preserve"> at the nodal longitude, the Dow has risen ~721%; when Mars </w:t>
      </w:r>
      <w:r>
        <w:rPr>
          <w:b w:val="0"/>
          <w:i/>
        </w:rPr>
        <w:t>is</w:t>
      </w:r>
      <w:r>
        <w:rPr>
          <w:b w:val="0"/>
          <w:i w:val="0"/>
        </w:rPr>
        <w:t xml:space="preserve"> at the node, the rise is ~136% — with major crashes clustering in nodal periods. The interpretation: if Mars–Earth coupling exists (plasma/Birkeland currents along the ecliptic), the nodal configuration may open a "harvest window" when controllers collect tribute, rotate personnel, and consolidate power. See the </w:t>
      </w:r>
      <w:hyperlink r:id="rId297">
        <w:r>
          <w:rPr>
            <w:b w:val="0"/>
            <w:i w:val="0"/>
            <w:color w:val="B8860B"/>
          </w:rPr>
          <w:t>Mars–Stock Market Investigation</w:t>
        </w:r>
      </w:hyperlink>
      <w:r>
        <w:rPr>
          <w:b w:val="0"/>
          <w:i w:val="0"/>
        </w:rPr>
        <w:t xml:space="preserve"> for data, sources, and the </w:t>
      </w:r>
      <w:r>
        <w:rPr>
          <w:b w:val="0"/>
          <w:i/>
        </w:rPr>
        <w:t>Ares Le Mandat</w:t>
      </w:r>
      <w:r>
        <w:rPr>
          <w:b w:val="0"/>
          <w:i w:val="0"/>
        </w:rPr>
        <w:t xml:space="preserve"> appendix.</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298">
        <w:r>
          <w:rPr>
            <w:b w:val="0"/>
            <w:i w:val="0"/>
            <w:color w:val="B8860B"/>
            <w:sz w:val="19"/>
          </w:rPr>
          <w:t>Remote Viewing as Aether Physics</w:t>
        </w:r>
      </w:hyperlink>
    </w:p>
    <w:p>
      <w:pPr>
        <w:pBdr>
          <w:bottom w:val="single" w:sz="6" w:space="1" w:color="CCCCCC"/>
        </w:pBdr>
      </w:pPr>
    </w:p>
    <w:p>
      <w:pPr>
        <w:pStyle w:val="Heading3"/>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299">
        <w:r>
          <w:rPr>
            <w:b w:val="0"/>
            <w:i w:val="0"/>
            <w:color w:val="B8860B"/>
            <w:sz w:val="19"/>
          </w:rPr>
          <w:t>Nuclear Weapons Investigation</w:t>
        </w:r>
      </w:hyperlink>
    </w:p>
    <w:p>
      <w:pPr>
        <w:pBdr>
          <w:bottom w:val="single" w:sz="6" w:space="1" w:color="CCCCCC"/>
        </w:pBdr>
      </w:pPr>
    </w:p>
    <w:p>
      <w:pPr>
        <w:pStyle w:val="Heading3"/>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3"/>
        <w:keepNext/>
        <w:keepLines/>
      </w:pPr>
      <w:r>
        <w:t>Cross-References</w:t>
      </w:r>
    </w:p>
    <w:p>
      <w:pPr>
        <w:pStyle w:val="ListBullet"/>
        <w:spacing w:before="20" w:after="20"/>
      </w:pPr>
      <w:hyperlink r:id="rId152">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68">
        <w:r>
          <w:rPr>
            <w:b w:val="0"/>
            <w:i w:val="0"/>
            <w:color w:val="B8860B"/>
            <w:sz w:val="19"/>
          </w:rPr>
          <w:t>Pyramids: Myths vs Reality</w:t>
        </w:r>
      </w:hyperlink>
      <w:r>
        <w:rPr>
          <w:b w:val="0"/>
          <w:i w:val="0"/>
          <w:sz w:val="19"/>
        </w:rPr>
        <w:t xml:space="preserve"> — artificial Bifröst / medium-based transport (Rainbow Bridge imagery)</w:t>
      </w:r>
    </w:p>
    <w:p>
      <w:pPr>
        <w:pStyle w:val="ListBullet"/>
        <w:spacing w:before="20" w:after="20"/>
      </w:pPr>
      <w:hyperlink r:id="rId290">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291">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292">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293">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225">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300">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15">
        <w:r>
          <w:rPr>
            <w:b w:val="0"/>
            <w:i w:val="0"/>
            <w:color w:val="B8860B"/>
            <w:sz w:val="19"/>
          </w:rPr>
          <w:t>Operation Mockingbird</w:t>
        </w:r>
      </w:hyperlink>
      <w:r>
        <w:rPr>
          <w:b w:val="0"/>
          <w:i w:val="0"/>
          <w:sz w:val="19"/>
        </w:rPr>
        <w:t xml:space="preserve"> — institutional narrative control</w:t>
      </w:r>
    </w:p>
    <w:p>
      <w:pPr>
        <w:pStyle w:val="Heading4"/>
        <w:keepNext/>
        <w:keepLines/>
      </w:pPr>
      <w:r>
        <w:t>Investigations</w:t>
      </w:r>
    </w:p>
    <w:p>
      <w:pPr>
        <w:pStyle w:val="ListBullet"/>
        <w:spacing w:before="20" w:after="20"/>
      </w:pPr>
      <w:hyperlink r:id="rId294">
        <w:r>
          <w:rPr>
            <w:b w:val="0"/>
            <w:i w:val="0"/>
            <w:color w:val="B8860B"/>
            <w:sz w:val="19"/>
          </w:rPr>
          <w:t>Weather Modification Investigation</w:t>
        </w:r>
      </w:hyperlink>
    </w:p>
    <w:p>
      <w:pPr>
        <w:pStyle w:val="ListBullet"/>
        <w:spacing w:before="20" w:after="20"/>
      </w:pPr>
      <w:hyperlink r:id="rId295">
        <w:r>
          <w:rPr>
            <w:b w:val="0"/>
            <w:i w:val="0"/>
            <w:color w:val="B8860B"/>
            <w:sz w:val="19"/>
          </w:rPr>
          <w:t>Havana Syndrome Investigation</w:t>
        </w:r>
      </w:hyperlink>
    </w:p>
    <w:p>
      <w:pPr>
        <w:pStyle w:val="ListBullet"/>
        <w:spacing w:before="20" w:after="20"/>
      </w:pPr>
      <w:hyperlink r:id="rId296">
        <w:r>
          <w:rPr>
            <w:b w:val="0"/>
            <w:i w:val="0"/>
            <w:color w:val="B8860B"/>
            <w:sz w:val="19"/>
          </w:rPr>
          <w:t>CERN &amp; Portal Technology</w:t>
        </w:r>
      </w:hyperlink>
    </w:p>
    <w:p>
      <w:pPr>
        <w:pStyle w:val="ListBullet"/>
        <w:spacing w:before="20" w:after="20"/>
      </w:pPr>
      <w:hyperlink r:id="rId301">
        <w:r>
          <w:rPr>
            <w:b w:val="0"/>
            <w:i w:val="0"/>
            <w:color w:val="B8860B"/>
            <w:sz w:val="19"/>
          </w:rPr>
          <w:t>The Burden of Proof: Aether Debate</w:t>
        </w:r>
      </w:hyperlink>
    </w:p>
    <w:p>
      <w:pPr>
        <w:pStyle w:val="ListBullet"/>
        <w:spacing w:before="20" w:after="20"/>
      </w:pPr>
      <w:hyperlink r:id="rId299">
        <w:r>
          <w:rPr>
            <w:b w:val="0"/>
            <w:i w:val="0"/>
            <w:color w:val="B8860B"/>
            <w:sz w:val="19"/>
          </w:rPr>
          <w:t>Nuclear Weapons Investigation</w:t>
        </w:r>
      </w:hyperlink>
    </w:p>
    <w:p>
      <w:pPr>
        <w:pStyle w:val="ListBullet"/>
        <w:spacing w:before="20" w:after="20"/>
      </w:pPr>
      <w:hyperlink r:id="rId298">
        <w:r>
          <w:rPr>
            <w:b w:val="0"/>
            <w:i w:val="0"/>
            <w:color w:val="B8860B"/>
            <w:sz w:val="19"/>
          </w:rPr>
          <w:t>Remote Viewing as Aether Physics</w:t>
        </w:r>
      </w:hyperlink>
    </w:p>
    <w:p>
      <w:pPr>
        <w:pStyle w:val="ListBullet"/>
        <w:spacing w:before="20" w:after="20"/>
      </w:pPr>
      <w:hyperlink r:id="rId302">
        <w:r>
          <w:rPr>
            <w:b w:val="0"/>
            <w:i w:val="0"/>
            <w:color w:val="B8860B"/>
            <w:sz w:val="19"/>
          </w:rPr>
          <w:t>SAFIRE Project Archive</w:t>
        </w:r>
      </w:hyperlink>
    </w:p>
    <w:p>
      <w:pPr>
        <w:pStyle w:val="ListBullet"/>
        <w:spacing w:before="20" w:after="20"/>
      </w:pPr>
      <w:hyperlink r:id="rId297">
        <w:r>
          <w:rPr>
            <w:b w:val="0"/>
            <w:i w:val="0"/>
            <w:color w:val="B8860B"/>
            <w:sz w:val="19"/>
          </w:rPr>
          <w:t>Mars–Stock Market Correlation</w:t>
        </w:r>
      </w:hyperlink>
      <w:r>
        <w:rPr>
          <w:b w:val="0"/>
          <w:i w:val="0"/>
          <w:sz w:val="19"/>
        </w:rPr>
        <w:t xml:space="preserve"> — Dow Jones and Mars at lunar node</w:t>
      </w:r>
    </w:p>
    <w:p/>
    <w:p>
      <w:pPr>
        <w:jc w:val="center"/>
      </w:pPr>
      <w:r>
        <w:rPr>
          <w:color w:val="B8860B"/>
          <w:sz w:val="24"/>
        </w:rPr>
        <w:t>— ✦ —</w:t>
      </w:r>
    </w:p>
    <w:p>
      <w:pPr>
        <w:pBdr>
          <w:bottom w:val="single" w:sz="6" w:space="1" w:color="CCCCCC"/>
        </w:pBdr>
      </w:pPr>
    </w:p>
    <w:p>
      <w:pPr>
        <w:pStyle w:val="Heading3"/>
        <w:keepNext/>
        <w:keepLines/>
      </w:pPr>
      <w:r>
        <w:t>id: evt-einstein-1905-aether-theoretical-physics-appendix</w:t>
      </w:r>
    </w:p>
    <w:p>
      <w:r>
        <w:rPr>
          <w:b w:val="0"/>
          <w:i w:val="0"/>
        </w:rPr>
        <w:t xml:space="preserve">Supplementary note for </w:t>
      </w:r>
      <w:hyperlink r:id="rId152">
        <w:r>
          <w:rPr>
            <w:b w:val="0"/>
            <w:i w:val="0"/>
            <w:color w:val="B8860B"/>
          </w:rPr>
          <w:t>Suppression of Maxwell &amp; the Aether</w:t>
        </w:r>
      </w:hyperlink>
      <w:r>
        <w:rPr>
          <w:b w:val="0"/>
          <w:i w:val="0"/>
        </w:rPr>
        <w:t>. Main book voice stays neutral; this appendix carries the explicit thesis.</w:t>
      </w:r>
    </w:p>
    <w:p>
      <w:pPr>
        <w:pBdr>
          <w:bottom w:val="single" w:sz="6" w:space="1" w:color="CCCCCC"/>
        </w:pBdr>
      </w:pPr>
    </w:p>
    <w:p>
      <w:pPr>
        <w:pStyle w:val="Heading3"/>
        <w:keepNext/>
        <w:keepLines/>
      </w:pPr>
      <w:r>
        <w:t>What this appendix is arguing</w:t>
      </w:r>
    </w:p>
    <w:p>
      <w:r>
        <w:rPr>
          <w:b w:val="0"/>
          <w:i w:val="0"/>
        </w:rPr>
        <w:t>Author's thesis: For the vocabulary used in this investigation, Einstein is not filed under “experimental scientist” or “engineer-physicist.” The job title “theoretical physicist,” as it hardened after 1905, names a conceptual–mathematical track where neither rigorous bench proof nor engineering payout is required for career or textbook adoption—equations and consensus can stand in for both.</w:t>
      </w:r>
    </w:p>
    <w:p>
      <w:r>
        <w:rPr>
          <w:b w:val="0"/>
          <w:i w:val="0"/>
        </w:rPr>
        <w:t>Albert Einstein in 1905 was not functioning as a laboratory scientist in the sense that Maxwell, Tesla, or Heaviside’s tradition implies—claims tethered to repeatable bench demonstration and hardware. He was a Swiss patent examiner with formal training, publishing mathematical–conceptual papers. The 1905 package—including E = mc² and the special-relativity kinematics—did the institutional work of retiring the luminiferous aether from respectable discourse without replacing it, in the same move, with a medium model that engineers could treat like Maxwell’s dielectric substrate. In the reading advanced here, that is the real break: ether out, proof optional in.</w:t>
      </w:r>
    </w:p>
    <w:p>
      <w:r>
        <w:rPr>
          <w:b w:val="0"/>
          <w:i w:val="0"/>
        </w:rPr>
        <w:t>Einstein did not “prove” special or general relativity in the sense of a single decisive, adversarial lab protocol comparable to “build this motor and measure torque.” What followed was consensus formation, mathematical elegance, and selective observation—while Einstein’s own hesitations and reversals (on cosmology, quantum completeness, unified field hopes, and even ether language in his 1920 Leiden lecture, where he allowed that general relativity attributes physical properties to space) were flattened by followers and textbooks into a hagiography of certainty. The Leiden gesture is often omitted or neutered in popular accounts because it complicates the story of “Einstein killed the ether forever.”</w:t>
      </w:r>
    </w:p>
    <w:p>
      <w:pPr>
        <w:pBdr>
          <w:bottom w:val="single" w:sz="6" w:space="1" w:color="CCCCCC"/>
        </w:pBdr>
      </w:pPr>
    </w:p>
    <w:p>
      <w:pPr>
        <w:pStyle w:val="Heading3"/>
        <w:keepNext/>
        <w:keepLines/>
      </w:pPr>
      <w:r>
        <w:t>“Theoretical physicist” as a different game</w:t>
      </w:r>
    </w:p>
    <w:p>
      <w:r>
        <w:rPr>
          <w:b w:val="0"/>
          <w:i w:val="0"/>
        </w:rPr>
        <w:t>Theoretical physicist, in the 20th-century institutional sense, names a conceptual–mathematical specialty where falsification by cheap tabletop experiment is often impossible and where peer prestige can substitute for engineering delivery. That is not the same job as industrial electrodynamics. In this investigation’s vocabulary, conflating the two under one honorific “scientist” obscures the epistemic downgrade: structures can live in textbooks as solutions to field equations with minimal independent bench checks.</w:t>
      </w:r>
    </w:p>
    <w:p>
      <w:pPr>
        <w:pBdr>
          <w:bottom w:val="single" w:sz="6" w:space="1" w:color="CCCCCC"/>
        </w:pBdr>
      </w:pPr>
    </w:p>
    <w:p>
      <w:pPr>
        <w:pStyle w:val="Heading3"/>
        <w:keepNext/>
        <w:keepLines/>
      </w:pPr>
      <w:r>
        <w:t>Einstein as controlled opposition in the Maxwell–aether war</w:t>
      </w:r>
    </w:p>
    <w:p>
      <w:r>
        <w:rPr>
          <w:b w:val="0"/>
          <w:i w:val="0"/>
        </w:rPr>
        <w:t xml:space="preserve">Author's thesis: Einstein functioned as controlled opposition in the fight over Maxwell’s medium: he absorbed dissent against naive mechanical ether while blocking return to a substantive aether picture usable by engineers and classified programmes. The visible “revolution” was safe for institutions: it discredited the 19th-century luminiferous frame without restoring Tesla–Heaviside–quaternion richness or declassified medium physics. For the general pattern—heterodox physics managed so the public gets a weak or incomplete version—see </w:t>
      </w:r>
      <w:hyperlink r:id="rId303">
        <w:r>
          <w:rPr>
            <w:b w:val="0"/>
            <w:i w:val="0"/>
            <w:color w:val="B8860B"/>
          </w:rPr>
          <w:t>Controlled Opposition: Appendix</w:t>
        </w:r>
      </w:hyperlink>
      <w:r>
        <w:rPr>
          <w:b w:val="0"/>
          <w:i w:val="0"/>
        </w:rPr>
        <w:t xml:space="preserve"> and </w:t>
      </w:r>
      <w:hyperlink r:id="rId14">
        <w:r>
          <w:rPr>
            <w:b w:val="0"/>
            <w:i w:val="0"/>
            <w:color w:val="B8860B"/>
          </w:rPr>
          <w:t>Thunderbolts: Managed Disclosure</w:t>
        </w:r>
      </w:hyperlink>
      <w:r>
        <w:rPr>
          <w:b w:val="0"/>
          <w:i w:val="0"/>
        </w:rPr>
        <w:t>.</w:t>
      </w:r>
    </w:p>
    <w:p>
      <w:r>
        <w:rPr>
          <w:b w:val="0"/>
          <w:i w:val="0"/>
        </w:rPr>
        <w:t>This is not a claim that every equation bearing Einstein’s name is worthless; it is a claim about institutional function: who benefited when medium-based Maxwell was replaced by empty-space formalism and tensor cosmology.</w:t>
      </w:r>
    </w:p>
    <w:p>
      <w:pPr>
        <w:pBdr>
          <w:bottom w:val="single" w:sz="6" w:space="1" w:color="CCCCCC"/>
        </w:pBdr>
      </w:pPr>
    </w:p>
    <w:p>
      <w:pPr>
        <w:pStyle w:val="Heading3"/>
        <w:keepNext/>
        <w:keepLines/>
      </w:pPr>
      <w:r>
        <w:t>What, on this reading, “Einstein” actually installed</w:t>
      </w:r>
    </w:p>
    <w:p>
      <w:r>
        <w:rPr>
          <w:b w:val="0"/>
          <w:i w:val="0"/>
        </w:rPr>
        <w:t>The lasting legacy—the part that defines his historical role in this reconstruction—is not a single constant in a notebook but a licence structure:</w:t>
      </w:r>
    </w:p>
    <w:p>
      <w:r>
        <w:rPr>
          <w:b w:val="0"/>
          <w:i w:val="0"/>
        </w:rPr>
        <w:t>After 1905, orthodox physics could normalize in textbooks, with little popular resistance:</w:t>
      </w:r>
    </w:p>
    <w:p>
      <w:pPr>
        <w:pStyle w:val="ListBullet"/>
        <w:spacing w:before="20" w:after="20"/>
      </w:pPr>
      <w:r>
        <w:rPr>
          <w:b w:val="0"/>
          <w:i w:val="0"/>
          <w:sz w:val="19"/>
        </w:rPr>
        <w:t>Black holes — metric singularities extrapolated far beyond the lab</w:t>
      </w:r>
    </w:p>
    <w:p>
      <w:pPr>
        <w:pStyle w:val="ListBullet"/>
        <w:spacing w:before="20" w:after="20"/>
      </w:pPr>
      <w:r>
        <w:rPr>
          <w:b w:val="0"/>
          <w:i w:val="0"/>
          <w:sz w:val="19"/>
        </w:rPr>
        <w:t>Big Bang cosmology — narrative closure on model-dependent foundations</w:t>
      </w:r>
    </w:p>
    <w:p>
      <w:pPr>
        <w:pStyle w:val="ListBullet"/>
        <w:spacing w:before="20" w:after="20"/>
      </w:pPr>
      <w:r>
        <w:rPr>
          <w:b w:val="0"/>
          <w:i w:val="0"/>
          <w:sz w:val="19"/>
        </w:rPr>
        <w:t>Dark matter / dark energy — placeholders carrying mass–energy budget without laboratory substance</w:t>
      </w:r>
    </w:p>
    <w:p>
      <w:pPr>
        <w:pStyle w:val="ListBullet"/>
        <w:spacing w:before="20" w:after="20"/>
      </w:pPr>
      <w:r>
        <w:rPr>
          <w:b w:val="0"/>
          <w:i w:val="0"/>
          <w:sz w:val="19"/>
        </w:rPr>
        <w:t>Time travel and closed timelike curves — mathematically entertained as physics</w:t>
      </w:r>
    </w:p>
    <w:p>
      <w:pPr>
        <w:pStyle w:val="ListBullet"/>
        <w:spacing w:before="20" w:after="20"/>
      </w:pPr>
      <w:r>
        <w:rPr>
          <w:b w:val="0"/>
          <w:i w:val="0"/>
          <w:sz w:val="19"/>
        </w:rPr>
        <w:t>Extra dimensions — string/brane programmes as professional career paths</w:t>
      </w:r>
    </w:p>
    <w:p>
      <w:r>
        <w:rPr>
          <w:b w:val="0"/>
          <w:i w:val="0"/>
        </w:rPr>
        <w:t>These need not be equally speculative item-for-item; the common thread is high mathematics + low-cost bench accountability compared to wireless power or plasma discharge engineering. Once the ether was humiliated out of the classroom, the Overton window for unfalsifiable cosmology widened. That is what this appendix means by Einstein’s defining contribution in the managed-narrative sense.</w:t>
      </w:r>
    </w:p>
    <w:p>
      <w:pPr>
        <w:pBdr>
          <w:bottom w:val="single" w:sz="6" w:space="1" w:color="CCCCCC"/>
        </w:pBdr>
      </w:pPr>
    </w:p>
    <w:p>
      <w:pPr>
        <w:pStyle w:val="Heading3"/>
        <w:keepNext/>
        <w:keepLines/>
      </w:pPr>
      <w:r>
        <w:t>Doubts the hagiography downplays (avenues for investigation)</w:t>
      </w:r>
    </w:p>
    <w:p>
      <w:pPr>
        <w:pStyle w:val="ListBullet"/>
        <w:spacing w:before="20" w:after="20"/>
      </w:pPr>
      <w:r>
        <w:rPr>
          <w:b w:val="0"/>
          <w:i w:val="0"/>
          <w:sz w:val="19"/>
        </w:rPr>
        <w:t>Einstein’s correspondence — unease with quantum completeness, second thoughts on cosmological models, tension between field programme and observation</w:t>
      </w:r>
    </w:p>
    <w:p>
      <w:pPr>
        <w:pStyle w:val="ListBullet"/>
        <w:spacing w:before="20" w:after="20"/>
      </w:pPr>
      <w:r>
        <w:rPr>
          <w:b w:val="0"/>
          <w:i w:val="0"/>
          <w:sz w:val="19"/>
        </w:rPr>
        <w:t>1920 Leiden — space endowed with physical qualities; “ether” rehabilitated in words while Maxwell’s engineering medium stayed taboo</w:t>
      </w:r>
    </w:p>
    <w:p>
      <w:pPr>
        <w:pStyle w:val="ListBullet"/>
        <w:spacing w:before="20" w:after="20"/>
      </w:pPr>
      <w:r>
        <w:rPr>
          <w:b w:val="0"/>
          <w:i w:val="0"/>
          <w:sz w:val="19"/>
        </w:rPr>
        <w:t>Priority and publicity — Poincaré, Lorentz, Hilbert (GR); the personality cult as distraction from institutional capture</w:t>
      </w:r>
    </w:p>
    <w:p>
      <w:r>
        <w:rPr>
          <w:b w:val="0"/>
          <w:i w:val="0"/>
        </w:rPr>
        <w:t xml:space="preserve">Investigation stub: expand with dated quotations, primary citations, and cross-links to </w:t>
      </w:r>
      <w:r>
        <w:rPr>
          <w:rFonts w:ascii="JetBrains Mono" w:hAnsi="JetBrains Mono"/>
          <w:sz w:val="20"/>
        </w:rPr>
        <w:t>paradigm-threat-files</w:t>
      </w:r>
      <w:r>
        <w:rPr>
          <w:b w:val="0"/>
          <w:i w:val="0"/>
        </w:rPr>
        <w:t xml:space="preserve"> investigations when filed.</w:t>
      </w:r>
    </w:p>
    <w:p>
      <w:pPr>
        <w:pBdr>
          <w:bottom w:val="single" w:sz="6" w:space="1" w:color="CCCCCC"/>
        </w:pBdr>
      </w:pPr>
    </w:p>
    <w:p>
      <w:pPr>
        <w:pStyle w:val="Heading3"/>
        <w:keepNext/>
        <w:keepLines/>
      </w:pPr>
      <w:r>
        <w:t>See also</w:t>
      </w:r>
    </w:p>
    <w:p>
      <w:pPr>
        <w:pStyle w:val="ListBullet"/>
        <w:spacing w:before="20" w:after="20"/>
      </w:pPr>
      <w:hyperlink r:id="rId152">
        <w:r>
          <w:rPr>
            <w:b w:val="0"/>
            <w:i w:val="0"/>
            <w:color w:val="B8860B"/>
            <w:sz w:val="19"/>
          </w:rPr>
          <w:t>Suppression of Maxwell &amp; the Aether</w:t>
        </w:r>
      </w:hyperlink>
    </w:p>
    <w:p>
      <w:pPr>
        <w:pStyle w:val="ListBullet"/>
        <w:spacing w:before="20" w:after="20"/>
      </w:pPr>
      <w:hyperlink r:id="rId24">
        <w:r>
          <w:rPr>
            <w:b w:val="0"/>
            <w:i w:val="0"/>
            <w:color w:val="B8860B"/>
            <w:sz w:val="19"/>
          </w:rPr>
          <w:t>Suppressed Energy Technology: A Cross-Reference</w:t>
        </w:r>
      </w:hyperlink>
    </w:p>
    <w:p>
      <w:pPr>
        <w:pStyle w:val="ListBullet"/>
        <w:spacing w:before="20" w:after="20"/>
      </w:pPr>
      <w:hyperlink r:id="rId292">
        <w:r>
          <w:rPr>
            <w:b w:val="0"/>
            <w:i w:val="0"/>
            <w:color w:val="B8860B"/>
            <w:sz w:val="19"/>
          </w:rPr>
          <w:t>Challenging Established Physics</w:t>
        </w:r>
      </w:hyperlink>
    </w:p>
    <w:p>
      <w:pPr>
        <w:pStyle w:val="ListBullet"/>
        <w:spacing w:before="20" w:after="20"/>
      </w:pPr>
      <w:hyperlink r:id="rId301">
        <w:r>
          <w:rPr>
            <w:b w:val="0"/>
            <w:i w:val="0"/>
            <w:color w:val="B8860B"/>
            <w:sz w:val="19"/>
          </w:rPr>
          <w:t>Burden of Proof: Aether Debate</w:t>
        </w:r>
      </w:hyperlink>
    </w:p>
    <w:p>
      <w:pPr>
        <w:pStyle w:val="ListBullet"/>
        <w:spacing w:before="20" w:after="20"/>
      </w:pPr>
      <w:hyperlink r:id="rId303">
        <w:r>
          <w:rPr>
            <w:b w:val="0"/>
            <w:i w:val="0"/>
            <w:color w:val="B8860B"/>
            <w:sz w:val="19"/>
          </w:rPr>
          <w:t>Controlled Opposition: Appendix</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Population Control and Displacement</w:t>
      </w:r>
    </w:p>
    <w:p>
      <w:r>
        <w:rPr>
          <w:b w:val="0"/>
          <w:i w:val="0"/>
        </w:rPr>
        <w:t>Timelines and evidence for population control and mass displacement (Orphan Trains, Trail of Tears, Siberian exile) referenced in the main timeline.</w:t>
      </w:r>
    </w:p>
    <w:p>
      <w:pPr>
        <w:pStyle w:val="ListBullet"/>
        <w:spacing w:before="20" w:after="20"/>
      </w:pPr>
      <w:hyperlink r:id="rId25">
        <w:r>
          <w:rPr>
            <w:b w:val="0"/>
            <w:i w:val="0"/>
            <w:color w:val="B8860B"/>
            <w:sz w:val="19"/>
          </w:rPr>
          <w:t>Population Control: A Timeline (15th–21st Centuries)</w:t>
        </w:r>
      </w:hyperlink>
    </w:p>
    <w:p>
      <w:pPr>
        <w:pStyle w:val="ListBullet"/>
        <w:spacing w:before="20" w:after="20"/>
      </w:pPr>
      <w:hyperlink r:id="rId26">
        <w:r>
          <w:rPr>
            <w:b w:val="0"/>
            <w:i w:val="0"/>
            <w:color w:val="B8860B"/>
            <w:sz w:val="19"/>
          </w:rPr>
          <w:t>Orphan Trains, Trail of Tears, Siberian Exile — Extended Evidence</w:t>
        </w:r>
      </w:hyperlink>
    </w:p>
    <w:p>
      <w:pPr>
        <w:pStyle w:val="ListBullet"/>
        <w:spacing w:before="20" w:after="20"/>
      </w:pPr>
      <w:hyperlink r:id="rId36">
        <w:r>
          <w:rPr>
            <w:b w:val="0"/>
            <w:i w:val="0"/>
            <w:color w:val="B8860B"/>
            <w:sz w:val="19"/>
          </w:rPr>
          <w:t>Slow ecological collapse — MFEE through Donner era</w:t>
        </w:r>
      </w:hyperlink>
      <w:r>
        <w:rPr>
          <w:b w:val="0"/>
          <w:i w:val="0"/>
          <w:sz w:val="19"/>
        </w:rPr>
        <w:t xml:space="preserve"> — open investigation: delayed biosphere stress after MFEE as possible context for displacement and famine waves</w:t>
      </w:r>
    </w:p>
    <w:p/>
    <w:p>
      <w:pPr>
        <w:jc w:val="center"/>
      </w:pPr>
      <w:r>
        <w:rPr>
          <w:color w:val="B8860B"/>
          <w:sz w:val="24"/>
        </w:rPr>
        <w:t>— ✦ —</w:t>
      </w:r>
    </w:p>
    <w:p>
      <w:r>
        <w:rPr>
          <w:b w:val="0"/>
          <w:i w:val="0"/>
        </w:rPr>
        <w:t xml:space="preserve">This appendix expands on </w:t>
      </w:r>
      <w:hyperlink r:id="rId25">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3"/>
        <w:keepNext/>
        <w:keepLines/>
      </w:pPr>
      <w:r>
        <w:t>15th Century: The First Man-Made Apocalypse</w:t>
      </w:r>
    </w:p>
    <w:p>
      <w:r>
        <w:rPr>
          <w:b w:val="0"/>
          <w:i w:val="0"/>
        </w:rPr>
      </w:r>
      <w:hyperlink r:id="rId304">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3"/>
        <w:keepNext/>
        <w:keepLines/>
      </w:pPr>
      <w:r>
        <w:t>17th Century: Predicted Apocalypse and Displacement</w:t>
      </w:r>
    </w:p>
    <w:p>
      <w:r>
        <w:rPr>
          <w:b w:val="0"/>
          <w:i w:val="0"/>
        </w:rPr>
      </w:r>
      <w:hyperlink r:id="rId305">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This chronology treats 1666 as a </w:t>
      </w:r>
      <w:r>
        <w:rPr>
          <w:b/>
          <w:i w:val="0"/>
        </w:rPr>
        <w:t>climax of the Deep State</w:t>
      </w:r>
      <w:r>
        <w:rPr>
          <w:b w:val="0"/>
          <w:i w:val="0"/>
        </w:rPr>
        <w:t xml:space="preserve">: a public trained to expect </w:t>
      </w:r>
      <w:r>
        <w:rPr>
          <w:b w:val="0"/>
          <w:i/>
        </w:rPr>
        <w:t>God</w:t>
      </w:r>
      <w:r>
        <w:rPr>
          <w:b w:val="0"/>
          <w:i w:val="0"/>
        </w:rPr>
        <w:t xml:space="preserve"> or </w:t>
      </w:r>
      <w:r>
        <w:rPr>
          <w:b w:val="0"/>
          <w:i/>
        </w:rPr>
        <w:t>Jesus</w:t>
      </w:r>
      <w:r>
        <w:rPr>
          <w:b w:val="0"/>
          <w:i w:val="0"/>
        </w:rPr>
        <w:t xml:space="preserve"> in apocalyptic fire instead saw fiduciary and canonical machinery advance—</w:t>
      </w:r>
      <w:r>
        <w:rPr>
          <w:b/>
          <w:i w:val="0"/>
        </w:rPr>
        <w:t>the Beast</w:t>
      </w:r>
      <w:r>
        <w:rPr>
          <w:b w:val="0"/>
          <w:i w:val="0"/>
        </w:rPr>
        <w:t xml:space="preserve"> in sacred dress—after which the same continuity could risk </w:t>
      </w:r>
      <w:r>
        <w:rPr>
          <w:b/>
          <w:i w:val="0"/>
        </w:rPr>
        <w:t>visible</w:t>
      </w:r>
      <w:r>
        <w:rPr>
          <w:b w:val="0"/>
          <w:i w:val="0"/>
        </w:rPr>
        <w:t xml:space="preserve"> pyramidal branding in later centuries while still working </w:t>
      </w:r>
      <w:r>
        <w:rPr>
          <w:b/>
          <w:i w:val="0"/>
        </w:rPr>
        <w:t>deeply</w:t>
      </w:r>
      <w:r>
        <w:rPr>
          <w:b w:val="0"/>
          <w:i w:val="0"/>
        </w:rPr>
        <w:t xml:space="preserve"> through institutions and suppressed knowledge (see the main article).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3"/>
        <w:keepNext/>
        <w:keepLines/>
      </w:pPr>
      <w:r>
        <w:t>19th–20th Century: Institutional Suppression</w:t>
      </w:r>
    </w:p>
    <w:p>
      <w:r>
        <w:rPr>
          <w:b w:val="0"/>
          <w:i w:val="0"/>
        </w:rPr>
      </w:r>
      <w:hyperlink r:id="rId153">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26">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3"/>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3"/>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3"/>
        <w:keepNext/>
        <w:keepLines/>
      </w:pPr>
      <w:r>
        <w:t>Cross-References</w:t>
      </w:r>
    </w:p>
    <w:p>
      <w:pPr>
        <w:pStyle w:val="ListBullet"/>
        <w:spacing w:before="20" w:after="20"/>
      </w:pPr>
      <w:hyperlink r:id="rId25">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304">
        <w:r>
          <w:rPr>
            <w:b w:val="0"/>
            <w:i w:val="0"/>
            <w:color w:val="B8860B"/>
            <w:sz w:val="19"/>
          </w:rPr>
          <w:t>The Apocalypse Crusade</w:t>
        </w:r>
      </w:hyperlink>
    </w:p>
    <w:p>
      <w:pPr>
        <w:pStyle w:val="ListBullet"/>
        <w:spacing w:before="20" w:after="20"/>
      </w:pPr>
      <w:hyperlink r:id="rId305">
        <w:r>
          <w:rPr>
            <w:b w:val="0"/>
            <w:i w:val="0"/>
            <w:color w:val="B8860B"/>
            <w:sz w:val="19"/>
          </w:rPr>
          <w:t>London Burns to the Ground</w:t>
        </w:r>
      </w:hyperlink>
    </w:p>
    <w:p>
      <w:pPr>
        <w:pStyle w:val="ListBullet"/>
        <w:spacing w:before="20" w:after="20"/>
      </w:pPr>
      <w:hyperlink r:id="rId153">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The MudFlood and World Cataclysm</w:t>
      </w:r>
    </w:p>
    <w:p>
      <w:r>
        <w:rPr>
          <w:b w:val="0"/>
          <w:i w:val="0"/>
        </w:rPr>
        <w:t xml:space="preserve">This appendix extends </w:t>
      </w:r>
      <w:hyperlink r:id="rId163">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and Mesoamerican (Maya, Aztec) populations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Mainstream history pushes the "Maya collapse" to 800–900 CE to deny this recent genocide. (See </w:t>
      </w:r>
      <w:hyperlink r:id="rId306">
        <w:r>
          <w:rPr>
            <w:b w:val="0"/>
            <w:i w:val="0"/>
            <w:color w:val="B8860B"/>
          </w:rPr>
          <w:t>The Trail of Tears: A Century-Long Erasure</w:t>
        </w:r>
      </w:hyperlink>
      <w:r>
        <w:rPr>
          <w:b w:val="0"/>
          <w:i w:val="0"/>
        </w:rPr>
        <w:t xml:space="preserve"> and </w:t>
      </w:r>
      <w:hyperlink r:id="rId307">
        <w:r>
          <w:rPr>
            <w:b w:val="0"/>
            <w:i w:val="0"/>
            <w:color w:val="B8860B"/>
          </w:rPr>
          <w:t>Common Questions: Maya civilization collapse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Pr>
        <w:pStyle w:val="Heading2"/>
        <w:keepNext/>
        <w:keepLines/>
      </w:pPr>
      <w:r>
        <w:t>Chronology investigations (open)</w:t>
      </w:r>
    </w:p>
    <w:p>
      <w:pPr>
        <w:pStyle w:val="ListBullet"/>
        <w:spacing w:before="20" w:after="20"/>
      </w:pPr>
      <w:hyperlink r:id="rId36">
        <w:r>
          <w:rPr>
            <w:b w:val="0"/>
            <w:i w:val="0"/>
            <w:color w:val="B8860B"/>
            <w:sz w:val="19"/>
          </w:rPr>
          <w:t>Slow ecological collapse — MFEE through Donner era</w:t>
        </w:r>
      </w:hyperlink>
      <w:r>
        <w:rPr>
          <w:b w:val="0"/>
          <w:i w:val="0"/>
          <w:sz w:val="19"/>
        </w:rPr>
        <w:t xml:space="preserve"> — delayed trophic stress, Trail of Tears / orphan trains as correlates, Donner Party and Irish famine as late pulses; full write-up in paradigm-threat-files.</w:t>
      </w:r>
    </w:p>
    <w:p>
      <w:pPr>
        <w:pStyle w:val="ListBullet"/>
        <w:spacing w:before="20" w:after="20"/>
      </w:pPr>
      <w:hyperlink r:id="rId37">
        <w:r>
          <w:rPr>
            <w:b w:val="0"/>
            <w:i w:val="0"/>
            <w:color w:val="B8860B"/>
            <w:sz w:val="19"/>
          </w:rPr>
          <w:t>“New World” naming, MFEE, and colonization memory</w:t>
        </w:r>
      </w:hyperlink>
      <w:r>
        <w:rPr>
          <w:b w:val="0"/>
          <w:i w:val="0"/>
          <w:sz w:val="19"/>
        </w:rPr>
        <w:t xml:space="preserve"> — </w:t>
      </w:r>
      <w:r>
        <w:rPr>
          <w:b w:val="0"/>
          <w:i/>
          <w:sz w:val="19"/>
        </w:rPr>
        <w:t>Mundus Novus</w:t>
      </w:r>
      <w:r>
        <w:rPr>
          <w:b w:val="0"/>
          <w:i w:val="0"/>
          <w:sz w:val="19"/>
        </w:rPr>
        <w:t xml:space="preserve"> / “New” toponyms vs post-catastrophe repopulation and Columbus-era narrative splice; full write-up in paradigm-threat-files.</w:t>
      </w:r>
    </w:p>
    <w:p/>
    <w:p>
      <w:pPr>
        <w:jc w:val="center"/>
      </w:pPr>
      <w:r>
        <w:rPr>
          <w:color w:val="B8860B"/>
          <w:sz w:val="24"/>
        </w:rPr>
        <w:t>— ✦ —</w:t>
      </w:r>
    </w:p>
    <w:p>
      <w:r>
        <w:rPr>
          <w:b w:val="0"/>
          <w:i w:val="0"/>
        </w:rPr>
        <w:t xml:space="preserve">This appendix extends </w:t>
      </w:r>
      <w:hyperlink r:id="rId306">
        <w:r>
          <w:rPr>
            <w:b w:val="0"/>
            <w:i w:val="0"/>
            <w:color w:val="B8860B"/>
          </w:rPr>
          <w:t>The Trail of Tears: A Century-Long Erasure (1758–1839+)</w:t>
        </w:r>
      </w:hyperlink>
      <w:r>
        <w:rPr>
          <w:b w:val="0"/>
          <w:i w:val="0"/>
        </w:rPr>
        <w:t xml:space="preserve"> and </w:t>
      </w:r>
      <w:hyperlink r:id="rId26">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163">
        <w:r>
          <w:rPr>
            <w:b w:val="0"/>
            <w:i w:val="0"/>
            <w:color w:val="B8860B"/>
          </w:rPr>
          <w:t>MudFlood Energetic Event</w:t>
        </w:r>
      </w:hyperlink>
      <w:r>
        <w:rPr>
          <w:b w:val="0"/>
          <w:i w:val="0"/>
        </w:rPr>
        <w:t xml:space="preserve"> (~1774) — </w:t>
      </w:r>
      <w:r>
        <w:rPr>
          <w:b/>
          <w:i w:val="0"/>
        </w:rPr>
        <w:t xml:space="preserve">see the primary article: </w:t>
      </w:r>
      <w:hyperlink r:id="rId306">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26">
        <w:r>
          <w:rPr>
            <w:b w:val="0"/>
            <w:i w:val="0"/>
            <w:color w:val="B8860B"/>
          </w:rPr>
          <w:t>Orphan Trains, Trail of Tears, and Exile to Siberia</w:t>
        </w:r>
      </w:hyperlink>
      <w:r>
        <w:rPr>
          <w:b w:val="0"/>
          <w:i w:val="0"/>
        </w:rPr>
        <w:t>.</w:t>
      </w:r>
    </w:p>
    <w:p>
      <w:pPr>
        <w:pBdr>
          <w:bottom w:val="single" w:sz="6" w:space="1" w:color="CCCCCC"/>
        </w:pBdr>
      </w:pPr>
    </w:p>
    <w:p>
      <w:pPr>
        <w:pStyle w:val="Heading3"/>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3"/>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3"/>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163">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3"/>
        <w:keepNext/>
        <w:keepLines/>
      </w:pPr>
      <w:r>
        <w:t>See Also</w:t>
      </w:r>
    </w:p>
    <w:p>
      <w:pPr>
        <w:pStyle w:val="ListBullet"/>
        <w:spacing w:before="20" w:after="20"/>
      </w:pPr>
      <w:hyperlink r:id="rId306">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26">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160">
        <w:r>
          <w:rPr>
            <w:b w:val="0"/>
            <w:i w:val="0"/>
            <w:color w:val="B8860B"/>
            <w:sz w:val="19"/>
          </w:rPr>
          <w:t>Pugachev Rebellion</w:t>
        </w:r>
      </w:hyperlink>
      <w:r>
        <w:rPr>
          <w:b w:val="0"/>
          <w:i w:val="0"/>
          <w:sz w:val="19"/>
        </w:rPr>
        <w:t xml:space="preserve"> | </w:t>
      </w:r>
      <w:hyperlink r:id="rId163">
        <w:r>
          <w:rPr>
            <w:b w:val="0"/>
            <w:i w:val="0"/>
            <w:color w:val="B8860B"/>
            <w:sz w:val="19"/>
          </w:rPr>
          <w:t>MudFlood</w:t>
        </w:r>
      </w:hyperlink>
    </w:p>
    <w:p>
      <w:pPr>
        <w:pStyle w:val="ListBullet"/>
        <w:spacing w:before="20" w:after="20"/>
      </w:pPr>
      <w:hyperlink r:id="rId308">
        <w:r>
          <w:rPr>
            <w:b w:val="0"/>
            <w:i w:val="0"/>
            <w:color w:val="B8860B"/>
            <w:sz w:val="19"/>
          </w:rPr>
          <w:t>Orphan Trains Investigation</w:t>
        </w:r>
      </w:hyperlink>
    </w:p>
    <w:p>
      <w:pPr>
        <w:pStyle w:val="ListBullet"/>
        <w:spacing w:before="20" w:after="20"/>
      </w:pPr>
      <w:hyperlink r:id="rId307">
        <w:r>
          <w:rPr>
            <w:b w:val="0"/>
            <w:i w:val="0"/>
            <w:color w:val="B8860B"/>
            <w:sz w:val="19"/>
          </w:rPr>
          <w:t>Common Questions: Maya civilization collapse</w:t>
        </w:r>
      </w:hyperlink>
      <w:r>
        <w:rPr>
          <w:b w:val="0"/>
          <w:i w:val="0"/>
          <w:sz w:val="19"/>
        </w:rPr>
        <w:t xml:space="preserve"> — redacted history, pyramids, Catholic takeover, genocide denial</w:t>
      </w:r>
    </w:p>
    <w:p/>
    <w:p>
      <w:pPr>
        <w:jc w:val="center"/>
      </w:pPr>
      <w:r>
        <w:rPr>
          <w:color w:val="B8860B"/>
          <w:sz w:val="24"/>
        </w:rPr>
        <w:t>— ✦ —</w:t>
      </w:r>
    </w:p>
    <w:p>
      <w:pPr>
        <w:pBdr>
          <w:bottom w:val="single" w:sz="6" w:space="1" w:color="CCCCCC"/>
        </w:pBdr>
      </w:pPr>
    </w:p>
    <w:p>
      <w:r>
        <w:rPr>
          <w:b w:val="0"/>
          <w:i w:val="0"/>
        </w:rPr>
        <w:t>related_events:</w:t>
      </w:r>
    </w:p>
    <w:p>
      <w:pPr>
        <w:pStyle w:val="ListBullet"/>
        <w:spacing w:before="20" w:after="20"/>
      </w:pPr>
      <w:r>
        <w:rPr>
          <w:b w:val="0"/>
          <w:i w:val="0"/>
          <w:sz w:val="19"/>
        </w:rPr>
        <w:t>evt-the-mudflood-world-cataclysm</w:t>
      </w:r>
    </w:p>
    <w:p>
      <w:pPr>
        <w:pStyle w:val="ListBullet"/>
        <w:spacing w:before="20" w:after="20"/>
      </w:pPr>
      <w:r>
        <w:rPr>
          <w:b w:val="0"/>
          <w:i w:val="0"/>
          <w:sz w:val="19"/>
        </w:rPr>
        <w:t>evt-mudflood-evidence</w:t>
      </w:r>
    </w:p>
    <w:p>
      <w:pPr>
        <w:pStyle w:val="ListBullet"/>
        <w:spacing w:before="20" w:after="20"/>
      </w:pPr>
      <w:r>
        <w:rPr>
          <w:b w:val="0"/>
          <w:i w:val="0"/>
          <w:sz w:val="19"/>
        </w:rPr>
        <w:t>evt-orphan-trains-trail-of-tears-evidence</w:t>
      </w:r>
    </w:p>
    <w:p>
      <w:pPr>
        <w:pStyle w:val="ListBullet"/>
        <w:spacing w:before="20" w:after="20"/>
      </w:pPr>
      <w:r>
        <w:rPr>
          <w:b w:val="0"/>
          <w:i w:val="0"/>
          <w:sz w:val="19"/>
        </w:rPr>
        <w:t>evt-trail-tears-century-long-erasure</w:t>
      </w:r>
    </w:p>
    <w:p>
      <w:pPr>
        <w:pBdr>
          <w:bottom w:val="single" w:sz="6" w:space="1" w:color="CCCCCC"/>
        </w:pBdr>
      </w:pPr>
    </w:p>
    <w:p>
      <w:r>
        <w:rPr>
          <w:b w:val="0"/>
          <w:i w:val="0"/>
        </w:rPr>
        <w:t xml:space="preserve">This appendix summarizes an </w:t>
      </w:r>
      <w:r>
        <w:rPr>
          <w:b/>
          <w:i w:val="0"/>
        </w:rPr>
        <w:t>open investigation</w:t>
      </w:r>
      <w:r>
        <w:rPr>
          <w:b w:val="0"/>
          <w:i w:val="0"/>
        </w:rPr>
        <w:t xml:space="preserve"> in paradigm-threat-files: a </w:t>
      </w:r>
      <w:r>
        <w:rPr>
          <w:b/>
          <w:i w:val="0"/>
        </w:rPr>
        <w:t>possible</w:t>
      </w:r>
      <w:r>
        <w:rPr>
          <w:b w:val="0"/>
          <w:i w:val="0"/>
        </w:rPr>
        <w:t xml:space="preserve"> decades-long biological aftershock after the acute </w:t>
      </w:r>
      <w:hyperlink r:id="rId163">
        <w:r>
          <w:rPr>
            <w:b w:val="0"/>
            <w:i w:val="0"/>
            <w:color w:val="B8860B"/>
          </w:rPr>
          <w:t>MudFlood Energetic Event</w:t>
        </w:r>
      </w:hyperlink>
      <w:r>
        <w:rPr>
          <w:b w:val="0"/>
          <w:i w:val="0"/>
        </w:rPr>
        <w:t xml:space="preserve"> (~1774 CE), running into the </w:t>
      </w:r>
      <w:r>
        <w:rPr>
          <w:b/>
          <w:i w:val="0"/>
        </w:rPr>
        <w:t>1840s–50s</w:t>
      </w:r>
      <w:r>
        <w:rPr>
          <w:b w:val="0"/>
          <w:i w:val="0"/>
        </w:rPr>
        <w:t>.</w:t>
      </w:r>
    </w:p>
    <w:p>
      <w:r>
        <w:rPr>
          <w:b w:val="0"/>
          <w:i w:val="0"/>
        </w:rPr>
        <w:t xml:space="preserve">The thesis is </w:t>
      </w:r>
      <w:r>
        <w:rPr>
          <w:b/>
          <w:i w:val="0"/>
        </w:rPr>
        <w:t>not</w:t>
      </w:r>
      <w:r>
        <w:rPr>
          <w:b w:val="0"/>
          <w:i w:val="0"/>
        </w:rPr>
        <w:t xml:space="preserve"> that every disaster of the period was natural. It asks whether </w:t>
      </w:r>
      <w:r>
        <w:rPr>
          <w:b/>
          <w:i w:val="0"/>
        </w:rPr>
        <w:t>trophic collapse</w:t>
      </w:r>
      <w:r>
        <w:rPr>
          <w:b w:val="0"/>
          <w:i w:val="0"/>
        </w:rPr>
        <w:t xml:space="preserve"> could </w:t>
      </w:r>
      <w:r>
        <w:rPr>
          <w:b/>
          <w:i w:val="0"/>
        </w:rPr>
        <w:t>lag</w:t>
      </w:r>
      <w:r>
        <w:rPr>
          <w:b w:val="0"/>
          <w:i w:val="0"/>
        </w:rPr>
        <w:t xml:space="preserve"> the mud burial: soil biota and invertebrates first, then birds and game, then crops and herds, with </w:t>
      </w:r>
      <w:r>
        <w:rPr>
          <w:b/>
          <w:i w:val="0"/>
        </w:rPr>
        <w:t>humans</w:t>
      </w:r>
      <w:r>
        <w:rPr>
          <w:b w:val="0"/>
          <w:i w:val="0"/>
        </w:rPr>
        <w:t xml:space="preserve"> lasting longest on </w:t>
      </w:r>
      <w:r>
        <w:rPr>
          <w:b/>
          <w:i w:val="0"/>
        </w:rPr>
        <w:t>stored food, rationing, and consolidation</w:t>
      </w:r>
      <w:r>
        <w:rPr>
          <w:b w:val="0"/>
          <w:i w:val="0"/>
        </w:rPr>
        <w:t xml:space="preserve">. </w:t>
      </w:r>
      <w:r>
        <w:rPr>
          <w:b/>
          <w:i w:val="0"/>
        </w:rPr>
        <w:t>Cannibalism</w:t>
      </w:r>
      <w:r>
        <w:rPr>
          <w:b w:val="0"/>
          <w:i w:val="0"/>
        </w:rPr>
        <w:t xml:space="preserve"> (e.g. </w:t>
      </w:r>
      <w:hyperlink r:id="rId309">
        <w:r>
          <w:rPr>
            <w:b w:val="0"/>
            <w:i w:val="0"/>
            <w:color w:val="B8860B"/>
          </w:rPr>
          <w:t>Donner Party</w:t>
        </w:r>
      </w:hyperlink>
      <w:r>
        <w:rPr>
          <w:b w:val="0"/>
          <w:i w:val="0"/>
        </w:rPr>
        <w:t xml:space="preserve">, 1846–47) is treated as a </w:t>
      </w:r>
      <w:r>
        <w:rPr>
          <w:b/>
          <w:i w:val="0"/>
        </w:rPr>
        <w:t>terminal</w:t>
      </w:r>
      <w:r>
        <w:rPr>
          <w:b w:val="0"/>
          <w:i w:val="0"/>
        </w:rPr>
        <w:t xml:space="preserve"> phase after other options fail. </w:t>
      </w:r>
      <w:r>
        <w:rPr>
          <w:b/>
          <w:i w:val="0"/>
        </w:rPr>
        <w:t>Trail of Tears</w:t>
      </w:r>
      <w:r>
        <w:rPr>
          <w:b w:val="0"/>
          <w:i w:val="0"/>
        </w:rPr>
        <w:t xml:space="preserve">, </w:t>
      </w:r>
      <w:r>
        <w:rPr>
          <w:b/>
          <w:i w:val="0"/>
        </w:rPr>
        <w:t>orphan trains</w:t>
      </w:r>
      <w:r>
        <w:rPr>
          <w:b w:val="0"/>
          <w:i w:val="0"/>
        </w:rPr>
        <w:t xml:space="preserve">, and the </w:t>
      </w:r>
      <w:r>
        <w:rPr>
          <w:b/>
          <w:i w:val="0"/>
        </w:rPr>
        <w:t>Irish Great Famine</w:t>
      </w:r>
      <w:r>
        <w:rPr>
          <w:b w:val="0"/>
          <w:i w:val="0"/>
        </w:rPr>
        <w:t xml:space="preserve"> appear as </w:t>
      </w:r>
      <w:r>
        <w:rPr>
          <w:b/>
          <w:i w:val="0"/>
        </w:rPr>
        <w:t>correlates</w:t>
      </w:r>
      <w:r>
        <w:rPr>
          <w:b w:val="0"/>
          <w:i w:val="0"/>
        </w:rPr>
        <w:t xml:space="preserve"> — the last also readable as </w:t>
      </w:r>
      <w:r>
        <w:rPr>
          <w:b/>
          <w:i w:val="0"/>
        </w:rPr>
        <w:t>genocide-by-logistics</w:t>
      </w:r>
      <w:r>
        <w:rPr>
          <w:b w:val="0"/>
          <w:i w:val="0"/>
        </w:rPr>
        <w:t xml:space="preserve"> if food routes were closed during late stress.</w:t>
      </w:r>
    </w:p>
    <w:p>
      <w:r>
        <w:rPr>
          <w:b w:val="0"/>
          <w:i w:val="0"/>
        </w:rPr>
        <w:t xml:space="preserve">The Donner episode is often bracketed with the Forlorn Hope (1846–47), the snowshoe party that split off to fetch help and left a short, well-documented trail of starvation, killing, and cannibalism among the dead. The Lost ’49ers (1849), seeking a shortcut to the diggings, were driven into the Death Valley country and died chiefly of thirst and exposure until outside relief arrived—a parallel “wrong turn” disaster without the Sierra snow narrative. Many 1840s–50s trains that fell behind and met early winter in the Sierra or Rockies starved on a smaller scale; cannibalism at sea under famine (e.g. </w:t>
      </w:r>
      <w:r>
        <w:rPr>
          <w:b w:val="0"/>
          <w:i/>
        </w:rPr>
        <w:t>Essex</w:t>
      </w:r>
      <w:r>
        <w:rPr>
          <w:b w:val="0"/>
          <w:i w:val="0"/>
        </w:rPr>
        <w:t>, 1820) shows the same last resort predating the overland gold rush.</w:t>
      </w:r>
    </w:p>
    <w:p>
      <w:r>
        <w:rPr>
          <w:b w:val="0"/>
          <w:i w:val="0"/>
        </w:rPr>
      </w:r>
      <w:r>
        <w:rPr>
          <w:b/>
          <w:i w:val="0"/>
        </w:rPr>
        <w:t>Full investigation (sources, boundaries, open questions):</w:t>
      </w:r>
      <w:r>
        <w:rPr>
          <w:b w:val="0"/>
          <w:i w:val="0"/>
        </w:rPr>
        <w:t xml:space="preserve"> </w:t>
      </w:r>
      <w:hyperlink r:id="rId310">
        <w:r>
          <w:rPr>
            <w:b w:val="0"/>
            <w:i w:val="0"/>
            <w:color w:val="B8860B"/>
          </w:rPr>
          <w:t>/history/chronology/investigations/slow-ecological-collapse-mfee-through-donner-era.md</w:t>
        </w:r>
      </w:hyperlink>
    </w:p>
    <w:p>
      <w:r>
        <w:rPr>
          <w:b w:val="0"/>
          <w:i w:val="0"/>
        </w:rPr>
      </w:r>
      <w:r>
        <w:rPr>
          <w:b/>
          <w:i w:val="0"/>
        </w:rPr>
        <w:t>Timeline context:</w:t>
      </w:r>
      <w:r>
        <w:rPr>
          <w:b w:val="0"/>
          <w:i w:val="0"/>
        </w:rPr>
        <w:t xml:space="preserve"> </w:t>
      </w:r>
      <w:hyperlink r:id="rId35">
        <w:r>
          <w:rPr>
            <w:b w:val="0"/>
            <w:i w:val="0"/>
            <w:color w:val="B8860B"/>
          </w:rPr>
          <w:t>MudFlood: Extended Evidence</w:t>
        </w:r>
      </w:hyperlink>
      <w:r>
        <w:rPr>
          <w:b w:val="0"/>
          <w:i w:val="0"/>
        </w:rPr>
        <w:t xml:space="preserve"> · </w:t>
      </w:r>
      <w:hyperlink r:id="rId26">
        <w:r>
          <w:rPr>
            <w:b w:val="0"/>
            <w:i w:val="0"/>
            <w:color w:val="B8860B"/>
          </w:rPr>
          <w:t>Orphan trains &amp; Trail of Tears — extended</w:t>
        </w:r>
      </w:hyperlink>
      <w:r>
        <w:rPr>
          <w:b w:val="0"/>
          <w:i w:val="0"/>
        </w:rPr>
        <w:t xml:space="preserve"> · </w:t>
      </w:r>
      <w:hyperlink r:id="rId306">
        <w:r>
          <w:rPr>
            <w:b w:val="0"/>
            <w:i w:val="0"/>
            <w:color w:val="B8860B"/>
          </w:rPr>
          <w:t>Trail of Tears: century-long erasure</w:t>
        </w:r>
      </w:hyperlink>
    </w:p>
    <w:p>
      <w:r>
        <w:rPr>
          <w:b w:val="0"/>
          <w:i w:val="0"/>
        </w:rPr>
      </w:r>
      <w:r>
        <w:rPr>
          <w:b/>
          <w:i w:val="0"/>
        </w:rPr>
        <w:t>Literature check:</w:t>
      </w:r>
      <w:r>
        <w:rPr>
          <w:b w:val="0"/>
          <w:i w:val="0"/>
        </w:rPr>
        <w:t xml:space="preserve"> A 2026-03-23 sweep for online scholarly sources found </w:t>
      </w:r>
      <w:r>
        <w:rPr>
          <w:b/>
          <w:i w:val="0"/>
        </w:rPr>
        <w:t>no support</w:t>
      </w:r>
      <w:r>
        <w:rPr>
          <w:b w:val="0"/>
          <w:i w:val="0"/>
        </w:rPr>
        <w:t xml:space="preserve"> for an MFEE-specific global trophic lag; </w:t>
      </w:r>
      <w:r>
        <w:rPr>
          <w:b/>
          <w:i w:val="0"/>
        </w:rPr>
        <w:t>partial analogies</w:t>
      </w:r>
      <w:r>
        <w:rPr>
          <w:b w:val="0"/>
          <w:i w:val="0"/>
        </w:rPr>
        <w:t xml:space="preserve"> (volcanic recovery, Tambora 1816, Irish famine policy debate) and gaps are documented under </w:t>
      </w:r>
      <w:r>
        <w:rPr>
          <w:b/>
          <w:i w:val="0"/>
        </w:rPr>
        <w:t>§ External literature search</w:t>
      </w:r>
      <w:r>
        <w:rPr>
          <w:b w:val="0"/>
          <w:i w:val="0"/>
        </w:rPr>
        <w:t xml:space="preserve"> in the paradigm-threat-files investigation linked above.</w:t>
      </w:r>
    </w:p>
    <w:p/>
    <w:p>
      <w:pPr>
        <w:jc w:val="center"/>
      </w:pPr>
      <w:r>
        <w:rPr>
          <w:color w:val="B8860B"/>
          <w:sz w:val="24"/>
        </w:rPr>
        <w:t>— ✦ —</w:t>
      </w:r>
    </w:p>
    <w:p>
      <w:pPr>
        <w:pBdr>
          <w:bottom w:val="single" w:sz="6" w:space="1" w:color="CCCCCC"/>
        </w:pBdr>
      </w:pPr>
    </w:p>
    <w:p>
      <w:r>
        <w:rPr>
          <w:b w:val="0"/>
          <w:i w:val="0"/>
        </w:rPr>
        <w:t>related_events:</w:t>
      </w:r>
    </w:p>
    <w:p>
      <w:pPr>
        <w:pStyle w:val="ListBullet"/>
        <w:spacing w:before="20" w:after="20"/>
      </w:pPr>
      <w:r>
        <w:rPr>
          <w:b w:val="0"/>
          <w:i w:val="0"/>
          <w:sz w:val="19"/>
        </w:rPr>
        <w:t>evt-the-mudflood-world-cataclysm</w:t>
      </w:r>
    </w:p>
    <w:p>
      <w:pPr>
        <w:pStyle w:val="ListBullet"/>
        <w:spacing w:before="20" w:after="20"/>
      </w:pPr>
      <w:r>
        <w:rPr>
          <w:b w:val="0"/>
          <w:i w:val="0"/>
          <w:sz w:val="19"/>
        </w:rPr>
        <w:t>evt-mudflood-evidence</w:t>
      </w:r>
    </w:p>
    <w:p>
      <w:pPr>
        <w:pStyle w:val="ListBullet"/>
        <w:spacing w:before="20" w:after="20"/>
      </w:pPr>
      <w:r>
        <w:rPr>
          <w:b w:val="0"/>
          <w:i w:val="0"/>
          <w:sz w:val="19"/>
        </w:rPr>
        <w:t>evt-jesuit-ops-conversion-empire</w:t>
      </w:r>
    </w:p>
    <w:p>
      <w:pPr>
        <w:pStyle w:val="ListBullet"/>
        <w:spacing w:before="20" w:after="20"/>
      </w:pPr>
      <w:r>
        <w:rPr>
          <w:b w:val="0"/>
          <w:i w:val="0"/>
          <w:sz w:val="19"/>
        </w:rPr>
        <w:t>evt-1400-ce-15th-century-ce-ottoman-conquest-of-europe</w:t>
      </w:r>
    </w:p>
    <w:p>
      <w:pPr>
        <w:pStyle w:val="ListBullet"/>
        <w:spacing w:before="20" w:after="20"/>
      </w:pPr>
      <w:r>
        <w:rPr>
          <w:b w:val="0"/>
          <w:i w:val="0"/>
          <w:sz w:val="19"/>
        </w:rPr>
        <w:t>evt-1833-ce-josiah-priest-american-antiquities</w:t>
      </w:r>
    </w:p>
    <w:p>
      <w:pPr>
        <w:pBdr>
          <w:bottom w:val="single" w:sz="6" w:space="1" w:color="CCCCCC"/>
        </w:pBdr>
      </w:pPr>
    </w:p>
    <w:p>
      <w:r>
        <w:rPr>
          <w:b w:val="0"/>
          <w:i w:val="0"/>
        </w:rPr>
        <w:t xml:space="preserve">This appendix summarizes an </w:t>
      </w:r>
      <w:r>
        <w:rPr>
          <w:b/>
          <w:i w:val="0"/>
        </w:rPr>
        <w:t>open investigation</w:t>
      </w:r>
      <w:r>
        <w:rPr>
          <w:b w:val="0"/>
          <w:i w:val="0"/>
        </w:rPr>
        <w:t xml:space="preserve"> in paradigm-threat-files: whether language such as </w:t>
      </w:r>
      <w:r>
        <w:rPr>
          <w:b w:val="0"/>
          <w:i/>
        </w:rPr>
        <w:t>Mundus Novus</w:t>
      </w:r>
      <w:r>
        <w:rPr>
          <w:b w:val="0"/>
          <w:i w:val="0"/>
        </w:rPr>
        <w:t xml:space="preserve"> / the New World, later New Holland, New Zealand, New England, and rhetoric of empty or discoverable land could mean more than European expansion branding — specifically whether it might also track terrain repopulated after the </w:t>
      </w:r>
      <w:hyperlink r:id="rId163">
        <w:r>
          <w:rPr>
            <w:b w:val="0"/>
            <w:i w:val="0"/>
            <w:color w:val="B8860B"/>
          </w:rPr>
          <w:t>MudFlood Energetic Event</w:t>
        </w:r>
      </w:hyperlink>
      <w:r>
        <w:rPr>
          <w:b w:val="0"/>
          <w:i w:val="0"/>
        </w:rPr>
        <w:t xml:space="preserve">, with official history later splicing that story to the Columbus / 1492 exodus frame (Reconquista, Ottoman pressure, Inquisition) so the tie to </w:t>
      </w:r>
      <w:r>
        <w:rPr>
          <w:b/>
          <w:i w:val="0"/>
        </w:rPr>
        <w:t>cataclysm</w:t>
      </w:r>
      <w:r>
        <w:rPr>
          <w:b w:val="0"/>
          <w:i w:val="0"/>
        </w:rPr>
        <w:t xml:space="preserve"> drops out.</w:t>
      </w:r>
    </w:p>
    <w:p>
      <w:r>
        <w:rPr>
          <w:b w:val="0"/>
          <w:i w:val="0"/>
        </w:rPr>
        <w:t xml:space="preserve">Mainstream etymology (European novelty; New Zealand from Dutch Zeeland) is not discarded in the investigation; the question is </w:t>
      </w:r>
      <w:r>
        <w:rPr>
          <w:b/>
          <w:i w:val="0"/>
        </w:rPr>
        <w:t>layered meaning</w:t>
      </w:r>
      <w:r>
        <w:rPr>
          <w:b w:val="0"/>
          <w:i w:val="0"/>
        </w:rPr>
        <w:t xml:space="preserve"> and map discontinuities after ~1774. One open reading: </w:t>
      </w:r>
      <w:r>
        <w:rPr>
          <w:b w:val="0"/>
          <w:i/>
        </w:rPr>
        <w:t>Mundus Novus</w:t>
      </w:r>
      <w:r>
        <w:rPr>
          <w:b w:val="0"/>
          <w:i w:val="0"/>
        </w:rPr>
        <w:t xml:space="preserve"> may reflect the voice of those fleeing the 1492 crisis while the “New World” frame then expanded sharply in official use after the MFEE — early print and post-1774 growth are not treated as mutually exclusive; frequency evidence is still to be assembled in paradigm-threat-files.</w:t>
      </w:r>
    </w:p>
    <w:p>
      <w:r>
        <w:rPr>
          <w:b w:val="0"/>
          <w:i w:val="0"/>
        </w:rPr>
      </w:r>
      <w:r>
        <w:rPr>
          <w:b/>
          <w:i w:val="0"/>
        </w:rPr>
        <w:t>Period print (U.S., precolumbian memory):</w:t>
      </w:r>
      <w:r>
        <w:rPr>
          <w:b w:val="0"/>
          <w:i w:val="0"/>
        </w:rPr>
        <w:t xml:space="preserve"> Josiah Priest, </w:t>
      </w:r>
      <w:r>
        <w:rPr>
          <w:b w:val="0"/>
          <w:i/>
        </w:rPr>
        <w:t>American Antiquities, and Discoveries in the West</w:t>
      </w:r>
      <w:r>
        <w:rPr>
          <w:b w:val="0"/>
          <w:i w:val="0"/>
        </w:rPr>
        <w:t xml:space="preserve"> (Albany: Hoffman &amp; White, 1833), compiles travelers’ and antiquarian material arguing that </w:t>
      </w:r>
      <w:r>
        <w:rPr>
          <w:b/>
          <w:i w:val="0"/>
        </w:rPr>
        <w:t>civilized nations</w:t>
      </w:r>
      <w:r>
        <w:rPr>
          <w:b w:val="0"/>
          <w:i w:val="0"/>
        </w:rPr>
        <w:t xml:space="preserve"> distinct from contemporary Indigenous peoples </w:t>
      </w:r>
      <w:r>
        <w:rPr>
          <w:b/>
          <w:i w:val="0"/>
        </w:rPr>
        <w:t>peopled the Americas centuries before Columbus</w:t>
      </w:r>
      <w:r>
        <w:rPr>
          <w:b w:val="0"/>
          <w:i w:val="0"/>
        </w:rPr>
        <w:t xml:space="preserve">, citing among other threads </w:t>
      </w:r>
      <w:r>
        <w:rPr>
          <w:b/>
          <w:i w:val="0"/>
        </w:rPr>
        <w:t>Phoenician</w:t>
      </w:r>
      <w:r>
        <w:rPr>
          <w:b w:val="0"/>
          <w:i w:val="0"/>
        </w:rPr>
        <w:t xml:space="preserve">, </w:t>
      </w:r>
      <w:r>
        <w:rPr>
          <w:b/>
          <w:i w:val="0"/>
        </w:rPr>
        <w:t>Danish/Norwegian</w:t>
      </w:r>
      <w:r>
        <w:rPr>
          <w:b w:val="0"/>
          <w:i w:val="0"/>
        </w:rPr>
        <w:t xml:space="preserve">, and </w:t>
      </w:r>
      <w:r>
        <w:rPr>
          <w:b/>
          <w:i w:val="0"/>
        </w:rPr>
        <w:t>Welsh</w:t>
      </w:r>
      <w:r>
        <w:rPr>
          <w:b w:val="0"/>
          <w:i w:val="0"/>
        </w:rPr>
        <w:t xml:space="preserve"> voyages, </w:t>
      </w:r>
      <w:r>
        <w:rPr>
          <w:b/>
          <w:i w:val="0"/>
        </w:rPr>
        <w:t>Noah’s dispersion</w:t>
      </w:r>
      <w:r>
        <w:rPr>
          <w:b w:val="0"/>
          <w:i w:val="0"/>
        </w:rPr>
        <w:t xml:space="preserve">, and eastern </w:t>
      </w:r>
      <w:r>
        <w:rPr>
          <w:b/>
          <w:i w:val="0"/>
        </w:rPr>
        <w:t>mounds</w:t>
      </w:r>
      <w:r>
        <w:rPr>
          <w:b w:val="0"/>
          <w:i w:val="0"/>
        </w:rPr>
        <w:t xml:space="preserve"> and earthworks. This chronology cites Priest as </w:t>
      </w:r>
      <w:r>
        <w:rPr>
          <w:b/>
          <w:i w:val="0"/>
        </w:rPr>
        <w:t>evidence of 19th-century popular narrative</w:t>
      </w:r>
      <w:r>
        <w:rPr>
          <w:b w:val="0"/>
          <w:i w:val="0"/>
        </w:rPr>
        <w:t xml:space="preserve">, not as proof of prehistory. Timeline entry: </w:t>
      </w:r>
      <w:hyperlink r:id="rId311">
        <w:r>
          <w:rPr>
            <w:b w:val="0"/>
            <w:i w:val="0"/>
            <w:color w:val="B8860B"/>
          </w:rPr>
          <w:t>1833 CE — Josiah Priest publishes American Antiquities</w:t>
        </w:r>
      </w:hyperlink>
      <w:r>
        <w:rPr>
          <w:b w:val="0"/>
          <w:i w:val="0"/>
        </w:rPr>
        <w:t xml:space="preserve">. Facsimile: </w:t>
      </w:r>
      <w:hyperlink r:id="rId312">
        <w:r>
          <w:rPr>
            <w:b w:val="0"/>
            <w:i w:val="0"/>
            <w:color w:val="B8860B"/>
          </w:rPr>
          <w:t>Internet Archive</w:t>
        </w:r>
      </w:hyperlink>
      <w:r>
        <w:rPr>
          <w:b w:val="0"/>
          <w:i w:val="0"/>
        </w:rPr>
        <w:t xml:space="preserve">. Full bibliography and use in this investigation: </w:t>
      </w:r>
      <w:hyperlink r:id="rId313">
        <w:r>
          <w:rPr>
            <w:b w:val="0"/>
            <w:i w:val="0"/>
            <w:color w:val="B8860B"/>
          </w:rPr>
          <w:t>§ Josiah Priest: American Antiquities (1833)</w:t>
        </w:r>
      </w:hyperlink>
      <w:r>
        <w:rPr>
          <w:b w:val="0"/>
          <w:i w:val="0"/>
        </w:rPr>
        <w:t>.</w:t>
      </w:r>
    </w:p>
    <w:p>
      <w:r>
        <w:rPr>
          <w:b w:val="0"/>
          <w:i w:val="0"/>
        </w:rPr>
      </w:r>
      <w:r>
        <w:rPr>
          <w:b/>
          <w:i w:val="0"/>
        </w:rPr>
        <w:t>Full investigation (in-repo reference table, mainstream anchors, research questions):</w:t>
      </w:r>
      <w:r>
        <w:rPr>
          <w:b w:val="0"/>
          <w:i w:val="0"/>
        </w:rPr>
        <w:t xml:space="preserve"> </w:t>
      </w:r>
      <w:hyperlink r:id="rId314">
        <w:r>
          <w:rPr>
            <w:b w:val="0"/>
            <w:i w:val="0"/>
            <w:color w:val="B8860B"/>
          </w:rPr>
          <w:t>/history/chronology/investigations/new-world-naming-mfee-and-colonization-memory.md</w:t>
        </w:r>
      </w:hyperlink>
    </w:p>
    <w:p>
      <w:r>
        <w:rPr>
          <w:b w:val="0"/>
          <w:i w:val="0"/>
        </w:rPr>
      </w:r>
      <w:r>
        <w:rPr>
          <w:b/>
          <w:i w:val="0"/>
        </w:rPr>
        <w:t>Timeline context:</w:t>
      </w:r>
      <w:r>
        <w:rPr>
          <w:b w:val="0"/>
          <w:i w:val="0"/>
        </w:rPr>
        <w:t xml:space="preserve"> </w:t>
      </w:r>
      <w:hyperlink r:id="rId35">
        <w:r>
          <w:rPr>
            <w:b w:val="0"/>
            <w:i w:val="0"/>
            <w:color w:val="B8860B"/>
          </w:rPr>
          <w:t>MudFlood: Extended Evidence</w:t>
        </w:r>
      </w:hyperlink>
      <w:r>
        <w:rPr>
          <w:b w:val="0"/>
          <w:i w:val="0"/>
        </w:rPr>
        <w:t xml:space="preserve"> · </w:t>
      </w:r>
      <w:hyperlink r:id="rId45">
        <w:r>
          <w:rPr>
            <w:b w:val="0"/>
            <w:i w:val="0"/>
            <w:color w:val="B8860B"/>
          </w:rPr>
          <w:t>Jesuit operations — New World</w:t>
        </w:r>
      </w:hyperlink>
      <w:r>
        <w:rPr>
          <w:b w:val="0"/>
          <w:i w:val="0"/>
        </w:rPr>
        <w:t xml:space="preserve"> · </w:t>
      </w:r>
      <w:hyperlink r:id="rId315">
        <w:r>
          <w:rPr>
            <w:b w:val="0"/>
            <w:i w:val="0"/>
            <w:color w:val="B8860B"/>
          </w:rPr>
          <w:t>15th c. Ottoman conquest of Europe</w:t>
        </w:r>
      </w:hyperlink>
      <w:r>
        <w:rPr>
          <w:b w:val="0"/>
          <w:i w:val="0"/>
        </w:rPr>
        <w:t xml:space="preserve"> · </w:t>
      </w:r>
      <w:hyperlink r:id="rId316">
        <w:r>
          <w:rPr>
            <w:b w:val="0"/>
            <w:i w:val="0"/>
            <w:color w:val="B8860B"/>
          </w:rPr>
          <w:t>Promised land — 1492 BCE/CE pattern</w:t>
        </w:r>
      </w:hyperlink>
    </w:p>
    <w:p>
      <w:r>
        <w:rPr>
          <w:b w:val="0"/>
          <w:i w:val="0"/>
        </w:rPr>
      </w:r>
      <w:r>
        <w:rPr>
          <w:b/>
          <w:i w:val="0"/>
        </w:rPr>
        <w:t>Literature check:</w:t>
      </w:r>
      <w:r>
        <w:rPr>
          <w:b w:val="0"/>
          <w:i w:val="0"/>
        </w:rPr>
        <w:t xml:space="preserve"> A 2026-03-23 sweep found no scholarly support for tying “New World” / “New …” names to a post–mud-flood remaking of Earth; sources instead reinforce early 16th-c. </w:t>
      </w:r>
      <w:r>
        <w:rPr>
          <w:b w:val="0"/>
          <w:i/>
        </w:rPr>
        <w:t>Mundus Novus</w:t>
      </w:r>
      <w:r>
        <w:rPr>
          <w:b w:val="0"/>
          <w:i w:val="0"/>
        </w:rPr>
        <w:t xml:space="preserve"> diffusion, Dutch provincial toponyms, and 1990s geological “Zealandia.” See § External literature search in the paradigm-threat-files investigation linked above.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Historical Antibodies: Pattern Analysis</w:t>
      </w:r>
    </w:p>
    <w:p>
      <w:r>
        <w:rPr>
          <w:b w:val="0"/>
          <w:i w:val="0"/>
        </w:rPr>
        <w:t xml:space="preserve">This appendix extends the main </w:t>
      </w:r>
      <w:hyperlink r:id="rId317">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20">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192">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318">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222">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20">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213">
        <w:r>
          <w:rPr>
            <w:b w:val="0"/>
            <w:i w:val="0"/>
            <w:color w:val="B8860B"/>
            <w:sz w:val="19"/>
          </w:rPr>
          <w:t>Historical Antibodies: Detailed Profiles</w:t>
        </w:r>
      </w:hyperlink>
      <w:r>
        <w:rPr>
          <w:b w:val="0"/>
          <w:i w:val="0"/>
          <w:sz w:val="19"/>
        </w:rPr>
        <w:t xml:space="preserve"> — full evidentiary record (Lewis encoding analysis, Ellsberg chronology)</w:t>
      </w:r>
    </w:p>
    <w:p/>
    <w:p>
      <w:pPr>
        <w:jc w:val="center"/>
      </w:pPr>
      <w:r>
        <w:rPr>
          <w:color w:val="B8860B"/>
          <w:sz w:val="24"/>
        </w:rPr>
        <w:t>— ✦ —</w:t>
      </w:r>
    </w:p>
    <w:p>
      <w:r>
        <w:rPr>
          <w:b w:val="0"/>
          <w:i w:val="0"/>
        </w:rPr>
        <w:t xml:space="preserve">This appendix provides an evidentiary record for the antibody figures introduced in </w:t>
      </w:r>
      <w:hyperlink r:id="rId317">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3"/>
        <w:keepNext/>
        <w:keepLines/>
      </w:pPr>
      <w:r>
        <w:t>Daniel Ellsberg (1931–2023): Full Chronology</w:t>
      </w:r>
    </w:p>
    <w:p>
      <w:pPr>
        <w:pStyle w:val="Heading4"/>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4"/>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4"/>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4"/>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4"/>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3"/>
        <w:keepNext/>
        <w:keepLines/>
      </w:pPr>
      <w:r>
        <w:t>Sources</w:t>
      </w:r>
    </w:p>
    <w:p>
      <w:pPr>
        <w:pStyle w:val="Heading4"/>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4"/>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Pr>
        <w:pStyle w:val="Heading3"/>
        <w:keepNext/>
        <w:keepLines/>
      </w:pPr>
      <w:r>
        <w:t>C.S. Lewis (1898–1963): Full Encoding Analysis</w:t>
      </w:r>
    </w:p>
    <w:p>
      <w:pPr>
        <w:pStyle w:val="Heading4"/>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4"/>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4"/>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4"/>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
      <w:pPr>
        <w:jc w:val="center"/>
      </w:pPr>
      <w:r>
        <w:rPr>
          <w:color w:val="B8860B"/>
          <w:sz w:val="24"/>
        </w:rPr>
        <w:t>— ✦ —</w:t>
      </w:r>
    </w:p>
    <w:p>
      <w:r>
        <w:rPr>
          <w:b w:val="0"/>
          <w:i w:val="0"/>
        </w:rPr>
        <w:t xml:space="preserve">Extended evidence for </w:t>
      </w:r>
      <w:hyperlink r:id="rId319">
        <w:r>
          <w:rPr>
            <w:b w:val="0"/>
            <w:i w:val="0"/>
            <w:color w:val="B8860B"/>
          </w:rPr>
          <w:t>Trump: The Antibody That Survived Crucifixion</w:t>
        </w:r>
      </w:hyperlink>
      <w:r>
        <w:rPr>
          <w:b w:val="0"/>
          <w:i w:val="0"/>
        </w:rPr>
        <w:t xml:space="preserve">: Patton connection, Epstein test, German heritage, and full citation inventory. The main timeline article develops the strategic reading (sin-eater antibody, late-term gravity of outrage, inception logic tied to </w:t>
      </w:r>
      <w:r>
        <w:rPr>
          <w:b w:val="0"/>
          <w:i/>
        </w:rPr>
        <w:t>The Art of the Deal</w:t>
      </w:r>
      <w:r>
        <w:rPr>
          <w:b w:val="0"/>
          <w:i w:val="0"/>
        </w:rPr>
        <w:t>, and provisional book closure); this appendix stays with documentary and biographical hooks.</w:t>
      </w:r>
    </w:p>
    <w:p>
      <w:pPr>
        <w:pStyle w:val="Heading3"/>
        <w:keepNext/>
        <w:keepLines/>
      </w:pPr>
      <w:r>
        <w:t>The Patton Connection</w:t>
      </w:r>
    </w:p>
    <w:p>
      <w:r>
        <w:rPr>
          <w:b w:val="0"/>
          <w:i w:val="0"/>
        </w:rPr>
        <w:t xml:space="preserve">Patton opposed denazification; compared ex-Nazis to "Democrats and Republicans"; argued real enemy was Soviet Union. Eisenhower removed him. Patton (Sept 1945): </w:t>
      </w:r>
      <w:r>
        <w:rPr>
          <w:b w:val="0"/>
          <w:i/>
        </w:rPr>
        <w:t>"We have had a victory over the Germans and disarmed them, but we have failed in the liberation of Europe; we have lost the war!"</w:t>
      </w:r>
      <w:r>
        <w:rPr>
          <w:b w:val="0"/>
          <w:i w:val="0"/>
        </w:rPr>
        <w:t xml:space="preserve"> Twelve days after a car accident in Mannheim, he was dead. Patton Papers at </w:t>
      </w:r>
      <w:hyperlink r:id="rId320">
        <w:r>
          <w:rPr>
            <w:b w:val="0"/>
            <w:i w:val="0"/>
            <w:color w:val="B8860B"/>
          </w:rPr>
          <w:t>Library of Congress</w:t>
        </w:r>
      </w:hyperlink>
      <w:r>
        <w:rPr>
          <w:b w:val="0"/>
          <w:i w:val="0"/>
        </w:rPr>
        <w:t xml:space="preserve">. Persistent rumour (QAnon; aggressively debunked): biological paternity. See </w:t>
      </w:r>
      <w:hyperlink r:id="rId321">
        <w:r>
          <w:rPr>
            <w:b w:val="0"/>
            <w:i w:val="0"/>
            <w:color w:val="B8860B"/>
          </w:rPr>
          <w:t>Trump Investigation</w:t>
        </w:r>
      </w:hyperlink>
      <w:r>
        <w:rPr>
          <w:b w:val="0"/>
          <w:i w:val="0"/>
        </w:rPr>
        <w:t>.</w:t>
      </w:r>
    </w:p>
    <w:p>
      <w:pPr>
        <w:pStyle w:val="Heading3"/>
        <w:keepNext/>
        <w:keepLines/>
      </w:pPr>
      <w:r>
        <w:t>The Epstein Test</w:t>
      </w:r>
    </w:p>
    <w:p>
      <w:r>
        <w:rPr>
          <w:b w:val="0"/>
          <w:i w:val="0"/>
        </w:rPr>
      </w:r>
      <w:r>
        <w:rPr>
          <w:b/>
          <w:i w:val="0"/>
        </w:rPr>
        <w:t>2006 — The Call.</w:t>
      </w:r>
      <w:r>
        <w:rPr>
          <w:b w:val="0"/>
          <w:i w:val="0"/>
        </w:rPr>
        <w:t xml:space="preserve"> FBI document (Feb 2026): Palm Beach Chief Reiter alleged Trump contacted police: </w:t>
      </w:r>
      <w:r>
        <w:rPr>
          <w:b w:val="0"/>
          <w:i/>
        </w:rPr>
        <w:t>"Thank goodness you're stopping him, everyone has known he's been doing this."</w:t>
      </w:r>
      <w:r>
        <w:rPr>
          <w:b w:val="0"/>
          <w:i w:val="0"/>
        </w:rPr>
        <w:t xml:space="preserve"> Threw Epstein out of Mar-a-Lago; suggested focus on Maxwell. </w:t>
      </w:r>
      <w:r>
        <w:rPr>
          <w:b/>
          <w:i w:val="0"/>
        </w:rPr>
        <w:t>2009 — Edwards.</w:t>
      </w:r>
      <w:r>
        <w:rPr>
          <w:b w:val="0"/>
          <w:i w:val="0"/>
        </w:rPr>
        <w:t xml:space="preserve"> Brad Edwards: Trump helped victims' counsel; </w:t>
      </w:r>
      <w:r>
        <w:rPr>
          <w:b w:val="0"/>
          <w:i/>
        </w:rPr>
        <w:t>only</w:t>
      </w:r>
      <w:r>
        <w:rPr>
          <w:b w:val="0"/>
          <w:i w:val="0"/>
        </w:rPr>
        <w:t xml:space="preserve"> person of prominence who voluntarily cooperated. Documents released Feb 2026 — after two elections, four indictments, assassination attempt.</w:t>
      </w:r>
    </w:p>
    <w:p>
      <w:pPr>
        <w:pStyle w:val="Heading3"/>
        <w:keepNext/>
        <w:keepLines/>
      </w:pPr>
      <w:r>
        <w:t>The German Heritage</w:t>
      </w:r>
    </w:p>
    <w:p>
      <w:r>
        <w:rPr>
          <w:b w:val="0"/>
          <w:i/>
        </w:rPr>
        <w:t>The Art of the Deal</w:t>
      </w:r>
      <w:r>
        <w:rPr>
          <w:b w:val="0"/>
          <w:i w:val="0"/>
        </w:rPr>
        <w:t xml:space="preserve"> (1987): Trump claimed grandfather "came from Sweden" — false. Friedrich Trump (Trumpf) born Kallstadt, 1869. John Walter: Fred Trump obscured German ancestry post-WW2. Trump repeatedly surfaces German connection; media corrects (Fred born Bronx), burying deeper truth. See </w:t>
      </w:r>
      <w:hyperlink r:id="rId321">
        <w:r>
          <w:rPr>
            <w:b w:val="0"/>
            <w:i w:val="0"/>
            <w:color w:val="B8860B"/>
          </w:rPr>
          <w:t>Trump investigation</w:t>
        </w:r>
      </w:hyperlink>
      <w:r>
        <w:rPr>
          <w:b w:val="0"/>
          <w:i w:val="0"/>
        </w:rPr>
        <w:t>.</w:t>
      </w:r>
    </w:p>
    <w:p>
      <w:pPr>
        <w:pStyle w:val="Heading3"/>
        <w:keepNext/>
        <w:keepLines/>
      </w:pPr>
      <w:r>
        <w:t>References</w:t>
      </w:r>
    </w:p>
    <w:p>
      <w:r>
        <w:rPr>
          <w:b w:val="0"/>
          <w:i w:val="0"/>
        </w:rPr>
        <w:t xml:space="preserve">Library of Congress Patton Papers; </w:t>
      </w:r>
      <w:r>
        <w:rPr>
          <w:b w:val="0"/>
          <w:i/>
        </w:rPr>
        <w:t>The Art of the Deal</w:t>
      </w:r>
      <w:r>
        <w:rPr>
          <w:b w:val="0"/>
          <w:i w:val="0"/>
        </w:rPr>
        <w:t xml:space="preserve">; FBI Reiter interview; Brad Edwards deposition; </w:t>
      </w:r>
      <w:hyperlink r:id="rId321">
        <w:r>
          <w:rPr>
            <w:b w:val="0"/>
            <w:i w:val="0"/>
            <w:color w:val="B8860B"/>
          </w:rPr>
          <w:t>Trump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Giants, Infantry, Guerrilla, and the Children's Crusade — Etymology</w:t>
      </w:r>
    </w:p>
    <w:p>
      <w:r>
        <w:rPr>
          <w:b w:val="0"/>
          <w:i w:val="0"/>
        </w:rPr>
        <w:t xml:space="preserve">This appendix overflows the chronology investigation </w:t>
      </w:r>
      <w:hyperlink r:id="rId322">
        <w:r>
          <w:rPr>
            <w:b w:val="0"/>
            <w:i w:val="0"/>
            <w:color w:val="B8860B"/>
          </w:rPr>
          <w:t>Giants, Infantry, Guerrilla — lexical investigation</w:t>
        </w:r>
      </w:hyperlink>
      <w:r>
        <w:rPr>
          <w:b w:val="0"/>
          <w:i w:val="0"/>
        </w:rPr>
        <w:t xml:space="preserve"> with </w:t>
      </w:r>
      <w:r>
        <w:rPr>
          <w:b/>
          <w:i w:val="0"/>
        </w:rPr>
        <w:t>mainstream etymology</w:t>
      </w:r>
      <w:r>
        <w:rPr>
          <w:b w:val="0"/>
          <w:i w:val="0"/>
        </w:rPr>
        <w:t xml:space="preserve">, </w:t>
      </w:r>
      <w:r>
        <w:rPr>
          <w:b/>
          <w:i w:val="0"/>
        </w:rPr>
        <w:t>Scaligerian chronology notes</w:t>
      </w:r>
      <w:r>
        <w:rPr>
          <w:b w:val="0"/>
          <w:i w:val="0"/>
        </w:rPr>
        <w:t xml:space="preserve">, and a </w:t>
      </w:r>
      <w:r>
        <w:rPr>
          <w:b/>
          <w:i w:val="0"/>
        </w:rPr>
        <w:t>related-word field</w:t>
      </w:r>
      <w:r>
        <w:rPr>
          <w:b w:val="0"/>
          <w:i w:val="0"/>
        </w:rPr>
        <w:t xml:space="preserve">. Timeline narrative: </w:t>
      </w:r>
      <w:hyperlink r:id="rId323">
        <w:r>
          <w:rPr>
            <w:b w:val="0"/>
            <w:i w:val="0"/>
            <w:color w:val="B8860B"/>
          </w:rPr>
          <w:t>First Crusade &amp; Trojan War</w:t>
        </w:r>
      </w:hyperlink>
      <w:r>
        <w:rPr>
          <w:b w:val="0"/>
          <w:i w:val="0"/>
        </w:rPr>
        <w:t xml:space="preserve">, </w:t>
      </w:r>
      <w:hyperlink r:id="rId194">
        <w:r>
          <w:rPr>
            <w:b w:val="0"/>
            <w:i w:val="0"/>
            <w:color w:val="B8860B"/>
          </w:rPr>
          <w:t>Giants of the Rus-Horde</w:t>
        </w:r>
      </w:hyperlink>
      <w:r>
        <w:rPr>
          <w:b w:val="0"/>
          <w:i w:val="0"/>
        </w:rPr>
        <w:t xml:space="preserve">, </w:t>
      </w:r>
      <w:hyperlink r:id="rId324">
        <w:r>
          <w:rPr>
            <w:b w:val="0"/>
            <w:i w:val="0"/>
            <w:color w:val="B8860B"/>
          </w:rPr>
          <w:t>Kulikovo</w:t>
        </w:r>
      </w:hyperlink>
      <w:r>
        <w:rPr>
          <w:b w:val="0"/>
          <w:i w:val="0"/>
        </w:rPr>
        <w:t>.</w:t>
      </w:r>
    </w:p>
    <w:p>
      <w:pPr>
        <w:pStyle w:val="Heading2"/>
        <w:keepNext/>
        <w:keepLines/>
      </w:pPr>
      <w:r>
        <w:t>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3188"/>
        <w:gridCol w:w="2398"/>
      </w:tblGrid>
      <w:tr>
        <w:tc>
          <w:tcPr>
            <w:tcW w:type="dxa" w:w="786"/>
            <w:shd w:val="clear" w:color="auto" w:fill="F0F0F0"/>
          </w:tcPr>
          <w:p>
            <w:pPr>
              <w:spacing w:before="20" w:after="20"/>
              <w:jc w:val="center"/>
            </w:pPr>
            <w:r>
              <w:rPr>
                <w:rFonts w:ascii="Libre Franklin" w:hAnsi="Libre Franklin"/>
                <w:b/>
                <w:sz w:val="18"/>
              </w:rPr>
              <w:t>Term</w:t>
            </w:r>
          </w:p>
        </w:tc>
        <w:tc>
          <w:tcPr>
            <w:tcW w:type="dxa" w:w="3188"/>
            <w:shd w:val="clear" w:color="auto" w:fill="F0F0F0"/>
          </w:tcPr>
          <w:p>
            <w:pPr>
              <w:spacing w:before="20" w:after="20"/>
              <w:jc w:val="center"/>
            </w:pPr>
            <w:r>
              <w:rPr>
                <w:rFonts w:ascii="Libre Franklin" w:hAnsi="Libre Franklin"/>
                <w:b/>
                <w:sz w:val="18"/>
              </w:rPr>
              <w:t>Mainstream lexicography (short)</w:t>
            </w:r>
          </w:p>
        </w:tc>
        <w:tc>
          <w:tcPr>
            <w:tcW w:type="dxa" w:w="2398"/>
            <w:shd w:val="clear" w:color="auto" w:fill="F0F0F0"/>
          </w:tcPr>
          <w:p>
            <w:pPr>
              <w:spacing w:before="20" w:after="20"/>
              <w:jc w:val="center"/>
            </w:pPr>
            <w:r>
              <w:rPr>
                <w:rFonts w:ascii="Libre Franklin" w:hAnsi="Libre Franklin"/>
                <w:b/>
                <w:sz w:val="18"/>
              </w:rPr>
              <w:t>This chronology (thesis)</w:t>
            </w:r>
          </w:p>
        </w:tc>
      </w:tr>
      <w:tr>
        <w:tc>
          <w:tcPr>
            <w:tcW w:type="dxa" w:w="786"/>
          </w:tcPr>
          <w:p>
            <w:pPr>
              <w:spacing w:before="20" w:after="20"/>
            </w:pPr>
            <w:r>
              <w:rPr>
                <w:b w:val="0"/>
                <w:i w:val="0"/>
                <w:sz w:val="18"/>
              </w:rPr>
            </w:r>
            <w:r>
              <w:rPr>
                <w:b/>
                <w:i w:val="0"/>
                <w:sz w:val="18"/>
              </w:rPr>
              <w:t>Infantry</w:t>
            </w:r>
            <w:r>
              <w:rPr>
                <w:b w:val="0"/>
                <w:i w:val="0"/>
                <w:sz w:val="18"/>
              </w:rPr>
            </w:r>
          </w:p>
        </w:tc>
        <w:tc>
          <w:tcPr>
            <w:tcW w:type="dxa" w:w="3188"/>
          </w:tcPr>
          <w:p>
            <w:pPr>
              <w:spacing w:before="20" w:after="20"/>
            </w:pPr>
            <w:r>
              <w:rPr>
                <w:b w:val="0"/>
                <w:i w:val="0"/>
                <w:sz w:val="18"/>
              </w:rPr>
              <w:t xml:space="preserve">From Italian/Spanish </w:t>
            </w:r>
            <w:r>
              <w:rPr>
                <w:b w:val="0"/>
                <w:i/>
                <w:sz w:val="18"/>
              </w:rPr>
              <w:t>infanteria</w:t>
            </w:r>
            <w:r>
              <w:rPr>
                <w:b w:val="0"/>
                <w:i w:val="0"/>
                <w:sz w:val="18"/>
              </w:rPr>
              <w:t xml:space="preserve"> ← </w:t>
            </w:r>
            <w:r>
              <w:rPr>
                <w:b w:val="0"/>
                <w:i/>
                <w:sz w:val="18"/>
              </w:rPr>
              <w:t>infante</w:t>
            </w:r>
            <w:r>
              <w:rPr>
                <w:b w:val="0"/>
                <w:i w:val="0"/>
                <w:sz w:val="18"/>
              </w:rPr>
              <w:t xml:space="preserve"> “foot soldier,” earlier “youth”; Latin </w:t>
            </w:r>
            <w:r>
              <w:rPr>
                <w:b w:val="0"/>
                <w:i/>
                <w:sz w:val="18"/>
              </w:rPr>
              <w:t>infans</w:t>
            </w:r>
            <w:r>
              <w:rPr>
                <w:b w:val="0"/>
                <w:i w:val="0"/>
                <w:sz w:val="18"/>
              </w:rPr>
              <w:t xml:space="preserve"> “unable to speak” → extended to child/youth. English from late 16th c. Emphasis: </w:t>
            </w:r>
            <w:r>
              <w:rPr>
                <w:b/>
                <w:i w:val="0"/>
                <w:sz w:val="18"/>
              </w:rPr>
              <w:t>foot</w:t>
            </w:r>
            <w:r>
              <w:rPr>
                <w:b w:val="0"/>
                <w:i w:val="0"/>
                <w:sz w:val="18"/>
              </w:rPr>
              <w:t xml:space="preserve"> vs cavalry, often </w:t>
            </w:r>
            <w:r>
              <w:rPr>
                <w:b/>
                <w:i w:val="0"/>
                <w:sz w:val="18"/>
              </w:rPr>
              <w:t>young</w:t>
            </w:r>
            <w:r>
              <w:rPr>
                <w:b w:val="0"/>
                <w:i w:val="0"/>
                <w:sz w:val="18"/>
              </w:rPr>
              <w:t xml:space="preserve"> or </w:t>
            </w:r>
            <w:r>
              <w:rPr>
                <w:b/>
                <w:i w:val="0"/>
                <w:sz w:val="18"/>
              </w:rPr>
              <w:t>low rank</w:t>
            </w:r>
            <w:r>
              <w:rPr>
                <w:b w:val="0"/>
                <w:i w:val="0"/>
                <w:sz w:val="18"/>
              </w:rPr>
              <w:t>.</w:t>
            </w:r>
          </w:p>
        </w:tc>
        <w:tc>
          <w:tcPr>
            <w:tcW w:type="dxa" w:w="2398"/>
          </w:tcPr>
          <w:p>
            <w:pPr>
              <w:spacing w:before="20" w:after="20"/>
            </w:pPr>
            <w:r>
              <w:rPr>
                <w:b w:val="0"/>
                <w:i w:val="0"/>
                <w:sz w:val="18"/>
              </w:rPr>
              <w:t xml:space="preserve">Horde </w:t>
            </w:r>
            <w:r>
              <w:rPr>
                <w:b/>
                <w:i w:val="0"/>
                <w:sz w:val="18"/>
              </w:rPr>
              <w:t>organized foot</w:t>
            </w:r>
            <w:r>
              <w:rPr>
                <w:b w:val="0"/>
                <w:i w:val="0"/>
                <w:sz w:val="18"/>
              </w:rPr>
              <w:t xml:space="preserve"> included </w:t>
            </w:r>
            <w:r>
              <w:rPr>
                <w:b/>
                <w:i w:val="0"/>
                <w:sz w:val="18"/>
              </w:rPr>
              <w:t>young giant</w:t>
            </w:r>
            <w:r>
              <w:rPr>
                <w:b w:val="0"/>
                <w:i w:val="0"/>
                <w:sz w:val="18"/>
              </w:rPr>
              <w:t xml:space="preserve"> lines; the </w:t>
            </w:r>
            <w:r>
              <w:rPr>
                <w:b/>
                <w:i w:val="0"/>
                <w:sz w:val="18"/>
              </w:rPr>
              <w:t>infant-/youth</w:t>
            </w:r>
            <w:r>
              <w:rPr>
                <w:b w:val="0"/>
                <w:i w:val="0"/>
                <w:sz w:val="18"/>
              </w:rPr>
              <w:t xml:space="preserve"> thread matches </w:t>
            </w:r>
            <w:r>
              <w:rPr>
                <w:b/>
                <w:i w:val="0"/>
                <w:sz w:val="18"/>
              </w:rPr>
              <w:t>rash, strong, non-knightly</w:t>
            </w:r>
            <w:r>
              <w:rPr>
                <w:b w:val="0"/>
                <w:i w:val="0"/>
                <w:sz w:val="18"/>
              </w:rPr>
              <w:t xml:space="preserve"> mass assault without preserving stature in glosses.</w:t>
            </w:r>
          </w:p>
        </w:tc>
      </w:tr>
      <w:tr>
        <w:tc>
          <w:tcPr>
            <w:tcW w:type="dxa" w:w="786"/>
          </w:tcPr>
          <w:p>
            <w:pPr>
              <w:spacing w:before="20" w:after="20"/>
            </w:pPr>
            <w:r>
              <w:rPr>
                <w:b w:val="0"/>
                <w:i w:val="0"/>
                <w:sz w:val="18"/>
              </w:rPr>
            </w:r>
            <w:r>
              <w:rPr>
                <w:b/>
                <w:i w:val="0"/>
                <w:sz w:val="18"/>
              </w:rPr>
              <w:t>Guerrilla</w:t>
            </w:r>
            <w:r>
              <w:rPr>
                <w:b w:val="0"/>
                <w:i w:val="0"/>
                <w:sz w:val="18"/>
              </w:rPr>
            </w:r>
          </w:p>
        </w:tc>
        <w:tc>
          <w:tcPr>
            <w:tcW w:type="dxa" w:w="3188"/>
          </w:tcPr>
          <w:p>
            <w:pPr>
              <w:spacing w:before="20" w:after="20"/>
            </w:pPr>
            <w:r>
              <w:rPr>
                <w:b w:val="0"/>
                <w:i w:val="0"/>
                <w:sz w:val="18"/>
              </w:rPr>
              <w:t xml:space="preserve">Spanish </w:t>
            </w:r>
            <w:r>
              <w:rPr>
                <w:b w:val="0"/>
                <w:i/>
                <w:sz w:val="18"/>
              </w:rPr>
              <w:t>guerrilla</w:t>
            </w:r>
            <w:r>
              <w:rPr>
                <w:b w:val="0"/>
                <w:i w:val="0"/>
                <w:sz w:val="18"/>
              </w:rPr>
              <w:t xml:space="preserve">, diminutive of </w:t>
            </w:r>
            <w:r>
              <w:rPr>
                <w:b w:val="0"/>
                <w:i/>
                <w:sz w:val="18"/>
              </w:rPr>
              <w:t>guerra</w:t>
            </w:r>
            <w:r>
              <w:rPr>
                <w:b w:val="0"/>
                <w:i w:val="0"/>
                <w:sz w:val="18"/>
              </w:rPr>
              <w:t xml:space="preserve"> “war” → </w:t>
            </w:r>
            <w:r>
              <w:rPr>
                <w:b/>
                <w:i w:val="0"/>
                <w:sz w:val="18"/>
              </w:rPr>
              <w:t>little war</w:t>
            </w:r>
            <w:r>
              <w:rPr>
                <w:b w:val="0"/>
                <w:i w:val="0"/>
                <w:sz w:val="18"/>
              </w:rPr>
              <w:t xml:space="preserve">. English from Peninsular War (~1809). </w:t>
            </w:r>
            <w:r>
              <w:rPr>
                <w:b w:val="0"/>
                <w:i/>
                <w:sz w:val="18"/>
              </w:rPr>
              <w:t>Guerra</w:t>
            </w:r>
            <w:r>
              <w:rPr>
                <w:b w:val="0"/>
                <w:i w:val="0"/>
                <w:sz w:val="18"/>
              </w:rPr>
              <w:t xml:space="preserve"> is Germanic (cf. </w:t>
            </w:r>
            <w:r>
              <w:rPr>
                <w:b w:val="0"/>
                <w:i/>
                <w:sz w:val="18"/>
              </w:rPr>
              <w:t>werra</w:t>
            </w:r>
            <w:r>
              <w:rPr>
                <w:b w:val="0"/>
                <w:i w:val="0"/>
                <w:sz w:val="18"/>
              </w:rPr>
              <w:t xml:space="preserve">), not cognate with </w:t>
            </w:r>
            <w:r>
              <w:rPr>
                <w:b w:val="0"/>
                <w:i/>
                <w:sz w:val="18"/>
              </w:rPr>
              <w:t>gigante</w:t>
            </w:r>
            <w:r>
              <w:rPr>
                <w:b w:val="0"/>
                <w:i w:val="0"/>
                <w:sz w:val="18"/>
              </w:rPr>
              <w:t>.</w:t>
            </w:r>
          </w:p>
        </w:tc>
        <w:tc>
          <w:tcPr>
            <w:tcW w:type="dxa" w:w="2398"/>
          </w:tcPr>
          <w:p>
            <w:pPr>
              <w:spacing w:before="20" w:after="20"/>
            </w:pPr>
            <w:r>
              <w:rPr>
                <w:b w:val="0"/>
                <w:i w:val="0"/>
                <w:sz w:val="18"/>
              </w:rPr>
            </w:r>
            <w:r>
              <w:rPr>
                <w:b/>
                <w:i w:val="0"/>
                <w:sz w:val="18"/>
              </w:rPr>
              <w:t>No etymological</w:t>
            </w:r>
            <w:r>
              <w:rPr>
                <w:b w:val="0"/>
                <w:i w:val="0"/>
                <w:sz w:val="18"/>
              </w:rPr>
              <w:t xml:space="preserve"> link to “giant.” </w:t>
            </w:r>
            <w:r>
              <w:rPr>
                <w:b/>
                <w:i w:val="0"/>
                <w:sz w:val="18"/>
              </w:rPr>
              <w:t>Historical</w:t>
            </w:r>
            <w:r>
              <w:rPr>
                <w:b w:val="0"/>
                <w:i w:val="0"/>
                <w:sz w:val="18"/>
              </w:rPr>
              <w:t xml:space="preserve"> parallel: after </w:t>
            </w:r>
            <w:r>
              <w:rPr>
                <w:b/>
                <w:i w:val="0"/>
                <w:sz w:val="18"/>
              </w:rPr>
              <w:t>cannon</w:t>
            </w:r>
            <w:r>
              <w:rPr>
                <w:b w:val="0"/>
                <w:i w:val="0"/>
                <w:sz w:val="18"/>
              </w:rPr>
              <w:t xml:space="preserve"> and </w:t>
            </w:r>
            <w:r>
              <w:rPr>
                <w:b/>
                <w:i w:val="0"/>
                <w:sz w:val="18"/>
              </w:rPr>
              <w:t>state hunt</w:t>
            </w:r>
            <w:r>
              <w:rPr>
                <w:b w:val="0"/>
                <w:i w:val="0"/>
                <w:sz w:val="18"/>
              </w:rPr>
              <w:t xml:space="preserve">, giant-line </w:t>
            </w:r>
            <w:r>
              <w:rPr>
                <w:b/>
                <w:i w:val="0"/>
                <w:sz w:val="18"/>
              </w:rPr>
              <w:t>remnants</w:t>
            </w:r>
            <w:r>
              <w:rPr>
                <w:b w:val="0"/>
                <w:i w:val="0"/>
                <w:sz w:val="18"/>
              </w:rPr>
              <w:t xml:space="preserve"> fit </w:t>
            </w:r>
            <w:r>
              <w:rPr>
                <w:b/>
                <w:i w:val="0"/>
                <w:sz w:val="18"/>
              </w:rPr>
              <w:t>irregular</w:t>
            </w:r>
            <w:r>
              <w:rPr>
                <w:b w:val="0"/>
                <w:i w:val="0"/>
                <w:sz w:val="18"/>
              </w:rPr>
              <w:t xml:space="preserve">, </w:t>
            </w:r>
            <w:r>
              <w:rPr>
                <w:b/>
                <w:i w:val="0"/>
                <w:sz w:val="18"/>
              </w:rPr>
              <w:t>local</w:t>
            </w:r>
            <w:r>
              <w:rPr>
                <w:b w:val="0"/>
                <w:i w:val="0"/>
                <w:sz w:val="18"/>
              </w:rPr>
              <w:t xml:space="preserve"> war — what later languages label </w:t>
            </w:r>
            <w:r>
              <w:rPr>
                <w:b/>
                <w:i w:val="0"/>
                <w:sz w:val="18"/>
              </w:rPr>
              <w:t>guerrilla</w:t>
            </w:r>
            <w:r>
              <w:rPr>
                <w:b w:val="0"/>
                <w:i w:val="0"/>
                <w:sz w:val="18"/>
              </w:rPr>
              <w:t>.</w:t>
            </w:r>
          </w:p>
        </w:tc>
      </w:tr>
      <w:tr>
        <w:tc>
          <w:tcPr>
            <w:tcW w:type="dxa" w:w="786"/>
          </w:tcPr>
          <w:p>
            <w:pPr>
              <w:spacing w:before="20" w:after="20"/>
            </w:pPr>
            <w:r>
              <w:rPr>
                <w:b w:val="0"/>
                <w:i w:val="0"/>
                <w:sz w:val="18"/>
              </w:rPr>
            </w:r>
            <w:r>
              <w:rPr>
                <w:b/>
                <w:i w:val="0"/>
                <w:sz w:val="18"/>
              </w:rPr>
              <w:t>Children's Crusade</w:t>
            </w:r>
            <w:r>
              <w:rPr>
                <w:b w:val="0"/>
                <w:i w:val="0"/>
                <w:sz w:val="18"/>
              </w:rPr>
            </w:r>
          </w:p>
        </w:tc>
        <w:tc>
          <w:tcPr>
            <w:tcW w:type="dxa" w:w="3188"/>
          </w:tcPr>
          <w:p>
            <w:pPr>
              <w:spacing w:before="20" w:after="20"/>
            </w:pPr>
            <w:r>
              <w:rPr>
                <w:b w:val="0"/>
                <w:i w:val="0"/>
                <w:sz w:val="18"/>
              </w:rPr>
              <w:t xml:space="preserve">Traditionally </w:t>
            </w:r>
            <w:r>
              <w:rPr>
                <w:b/>
                <w:i w:val="0"/>
                <w:sz w:val="18"/>
              </w:rPr>
              <w:t>1212</w:t>
            </w:r>
            <w:r>
              <w:rPr>
                <w:b w:val="0"/>
                <w:i w:val="0"/>
                <w:sz w:val="18"/>
              </w:rPr>
              <w:t xml:space="preserve">, movements in France/Germany; </w:t>
            </w:r>
            <w:r>
              <w:rPr>
                <w:b/>
                <w:i w:val="0"/>
                <w:sz w:val="18"/>
              </w:rPr>
              <w:t>not</w:t>
            </w:r>
            <w:r>
              <w:rPr>
                <w:b w:val="0"/>
                <w:i w:val="0"/>
                <w:sz w:val="18"/>
              </w:rPr>
              <w:t xml:space="preserve"> the First Crusade (</w:t>
            </w:r>
            <w:r>
              <w:rPr>
                <w:b/>
                <w:i w:val="0"/>
                <w:sz w:val="18"/>
              </w:rPr>
              <w:t>1096–1099</w:t>
            </w:r>
            <w:r>
              <w:rPr>
                <w:b w:val="0"/>
                <w:i w:val="0"/>
                <w:sz w:val="18"/>
              </w:rPr>
              <w:t xml:space="preserve"> in textbook dating); papal approval disputed; participants may be </w:t>
            </w:r>
            <w:r>
              <w:rPr>
                <w:b w:val="0"/>
                <w:i/>
                <w:sz w:val="18"/>
              </w:rPr>
              <w:t>pueri</w:t>
            </w:r>
            <w:r>
              <w:rPr>
                <w:b w:val="0"/>
                <w:i w:val="0"/>
                <w:sz w:val="18"/>
              </w:rPr>
              <w:t xml:space="preserve"> (youths/dependents), not small children.</w:t>
            </w:r>
          </w:p>
        </w:tc>
        <w:tc>
          <w:tcPr>
            <w:tcW w:type="dxa" w:w="2398"/>
          </w:tcPr>
          <w:p>
            <w:pPr>
              <w:spacing w:before="20" w:after="20"/>
            </w:pPr>
            <w:r>
              <w:rPr>
                <w:b w:val="0"/>
                <w:i w:val="0"/>
                <w:sz w:val="18"/>
              </w:rPr>
              <w:t xml:space="preserve">Same name read as </w:t>
            </w:r>
            <w:r>
              <w:rPr>
                <w:b/>
                <w:i w:val="0"/>
                <w:sz w:val="18"/>
              </w:rPr>
              <w:t>young giants’</w:t>
            </w:r>
            <w:r>
              <w:rPr>
                <w:b w:val="0"/>
                <w:i w:val="0"/>
                <w:sz w:val="18"/>
              </w:rPr>
              <w:t xml:space="preserve"> premature wave before the main host — </w:t>
            </w:r>
            <w:hyperlink r:id="rId323">
              <w:r>
                <w:rPr>
                  <w:b w:val="0"/>
                  <w:i w:val="0"/>
                  <w:color w:val="B8860B"/>
                  <w:sz w:val="18"/>
                </w:rPr>
                <w:t>First Crusade article</w:t>
              </w:r>
            </w:hyperlink>
            <w:r>
              <w:rPr>
                <w:b w:val="0"/>
                <w:i w:val="0"/>
                <w:sz w:val="18"/>
              </w:rPr>
              <w:t>.</w:t>
            </w:r>
          </w:p>
        </w:tc>
      </w:tr>
    </w:tbl>
    <w:p/>
    <w:p>
      <w:pPr>
        <w:pStyle w:val="Heading2"/>
        <w:keepNext/>
        <w:keepLines/>
      </w:pPr>
      <w:r>
        <w:t>Mainstream etymology (reference)</w:t>
      </w:r>
    </w:p>
    <w:p>
      <w:r>
        <w:rPr>
          <w:b w:val="0"/>
          <w:i w:val="0"/>
        </w:rPr>
      </w:r>
      <w:r>
        <w:rPr>
          <w:b/>
          <w:i w:val="0"/>
        </w:rPr>
        <w:t>Infantry</w:t>
      </w:r>
      <w:r>
        <w:rPr>
          <w:b w:val="0"/>
          <w:i w:val="0"/>
        </w:rPr>
        <w:t xml:space="preserve"> — </w:t>
      </w:r>
      <w:hyperlink r:id="rId325">
        <w:r>
          <w:rPr>
            <w:b w:val="0"/>
            <w:i w:val="0"/>
            <w:color w:val="B8860B"/>
          </w:rPr>
          <w:t>Online Etymology Dictionary: infantry</w:t>
        </w:r>
      </w:hyperlink>
      <w:r>
        <w:rPr>
          <w:b w:val="0"/>
          <w:i w:val="0"/>
        </w:rPr>
        <w:t xml:space="preserve">: 1570s, French </w:t>
      </w:r>
      <w:r>
        <w:rPr>
          <w:b w:val="0"/>
          <w:i/>
        </w:rPr>
        <w:t>infanterie</w:t>
      </w:r>
      <w:r>
        <w:rPr>
          <w:b w:val="0"/>
          <w:i w:val="0"/>
        </w:rPr>
        <w:t xml:space="preserve">, Italian/Spanish </w:t>
      </w:r>
      <w:r>
        <w:rPr>
          <w:b w:val="0"/>
          <w:i/>
        </w:rPr>
        <w:t>infanteria</w:t>
      </w:r>
      <w:r>
        <w:rPr>
          <w:b w:val="0"/>
          <w:i w:val="0"/>
        </w:rPr>
        <w:t xml:space="preserve"> “foot soldiers… too inexperienced or low in rank to be cavalry,” from </w:t>
      </w:r>
      <w:r>
        <w:rPr>
          <w:b w:val="0"/>
          <w:i/>
        </w:rPr>
        <w:t>infante</w:t>
      </w:r>
      <w:r>
        <w:rPr>
          <w:b w:val="0"/>
          <w:i w:val="0"/>
        </w:rPr>
        <w:t xml:space="preserve"> “foot soldier,” originally “a youth,” from Latin </w:t>
      </w:r>
      <w:r>
        <w:rPr>
          <w:b w:val="0"/>
          <w:i/>
        </w:rPr>
        <w:t>infantem</w:t>
      </w:r>
      <w:r>
        <w:rPr>
          <w:b w:val="0"/>
          <w:i w:val="0"/>
        </w:rPr>
        <w:t xml:space="preserve"> (see </w:t>
      </w:r>
      <w:r>
        <w:rPr>
          <w:b w:val="0"/>
          <w:i/>
        </w:rPr>
        <w:t>infant</w:t>
      </w:r>
      <w:r>
        <w:rPr>
          <w:b w:val="0"/>
          <w:i w:val="0"/>
        </w:rPr>
        <w:t>).</w:t>
      </w:r>
    </w:p>
    <w:p>
      <w:r>
        <w:rPr>
          <w:b w:val="0"/>
          <w:i w:val="0"/>
        </w:rPr>
      </w:r>
      <w:r>
        <w:rPr>
          <w:b/>
          <w:i w:val="0"/>
        </w:rPr>
        <w:t>Guerrilla</w:t>
      </w:r>
      <w:r>
        <w:rPr>
          <w:b w:val="0"/>
          <w:i w:val="0"/>
        </w:rPr>
        <w:t xml:space="preserve"> — </w:t>
      </w:r>
      <w:hyperlink r:id="rId326">
        <w:r>
          <w:rPr>
            <w:b w:val="0"/>
            <w:i w:val="0"/>
            <w:color w:val="B8860B"/>
          </w:rPr>
          <w:t>Online Etymology Dictionary: guerrilla</w:t>
        </w:r>
      </w:hyperlink>
      <w:r>
        <w:rPr>
          <w:b w:val="0"/>
          <w:i w:val="0"/>
        </w:rPr>
        <w:t xml:space="preserve">: diminutive of Spanish </w:t>
      </w:r>
      <w:r>
        <w:rPr>
          <w:b w:val="0"/>
          <w:i/>
        </w:rPr>
        <w:t>guerra</w:t>
      </w:r>
      <w:r>
        <w:rPr>
          <w:b w:val="0"/>
          <w:i w:val="0"/>
        </w:rPr>
        <w:t xml:space="preserve"> “war”; English from Peninsular War context.</w:t>
      </w:r>
    </w:p>
    <w:p>
      <w:r>
        <w:rPr>
          <w:b w:val="0"/>
          <w:i w:val="0"/>
        </w:rPr>
      </w:r>
      <w:r>
        <w:rPr>
          <w:b/>
          <w:i w:val="0"/>
        </w:rPr>
        <w:t>Infant / infante fork</w:t>
      </w:r>
      <w:r>
        <w:rPr>
          <w:b w:val="0"/>
          <w:i w:val="0"/>
        </w:rPr>
        <w:t xml:space="preserve"> — Italian </w:t>
      </w:r>
      <w:r>
        <w:rPr>
          <w:b w:val="0"/>
          <w:i/>
        </w:rPr>
        <w:t>infante</w:t>
      </w:r>
      <w:r>
        <w:rPr>
          <w:b w:val="0"/>
          <w:i w:val="0"/>
        </w:rPr>
        <w:t xml:space="preserve"> “foot soldier” vs Spanish/Portuguese </w:t>
      </w:r>
      <w:r>
        <w:rPr>
          <w:b/>
          <w:i w:val="0"/>
        </w:rPr>
        <w:t>Infante/Infanta</w:t>
      </w:r>
      <w:r>
        <w:rPr>
          <w:b w:val="0"/>
          <w:i w:val="0"/>
        </w:rPr>
        <w:t xml:space="preserve"> (royal prince[ss]); same Latin root, divergent military vs court meaning.</w:t>
      </w:r>
    </w:p>
    <w:p>
      <w:pPr>
        <w:pStyle w:val="Heading2"/>
        <w:keepNext/>
        <w:keepLines/>
      </w:pPr>
      <w:r>
        <w:t>Children's Crusade — Scaligerian vs. timeline date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0"/>
        <w:gridCol w:w="5543"/>
      </w:tblGrid>
      <w:tr>
        <w:tc>
          <w:tcPr>
            <w:tcW w:type="dxa" w:w="830"/>
            <w:shd w:val="clear" w:color="auto" w:fill="F0F0F0"/>
          </w:tcPr>
          <w:p>
            <w:pPr>
              <w:spacing w:before="20" w:after="20"/>
              <w:jc w:val="center"/>
            </w:pPr>
            <w:r>
              <w:rPr>
                <w:rFonts w:ascii="Libre Franklin" w:hAnsi="Libre Franklin"/>
                <w:b/>
                <w:sz w:val="18"/>
              </w:rPr>
              <w:t>Source</w:t>
            </w:r>
          </w:p>
        </w:tc>
        <w:tc>
          <w:tcPr>
            <w:tcW w:type="dxa" w:w="5543"/>
            <w:shd w:val="clear" w:color="auto" w:fill="F0F0F0"/>
          </w:tcPr>
          <w:p>
            <w:pPr>
              <w:spacing w:before="20" w:after="20"/>
              <w:jc w:val="center"/>
            </w:pPr>
            <w:r>
              <w:rPr>
                <w:rFonts w:ascii="Libre Franklin" w:hAnsi="Libre Franklin"/>
                <w:b/>
                <w:sz w:val="18"/>
              </w:rPr>
              <w:t>Claim</w:t>
            </w:r>
          </w:p>
        </w:tc>
      </w:tr>
      <w:tr>
        <w:tc>
          <w:tcPr>
            <w:tcW w:type="dxa" w:w="830"/>
          </w:tcPr>
          <w:p>
            <w:pPr>
              <w:spacing w:before="20" w:after="20"/>
            </w:pPr>
            <w:r>
              <w:rPr>
                <w:b w:val="0"/>
                <w:i w:val="0"/>
                <w:sz w:val="18"/>
              </w:rPr>
              <w:t>Textbook</w:t>
            </w:r>
          </w:p>
        </w:tc>
        <w:tc>
          <w:tcPr>
            <w:tcW w:type="dxa" w:w="5543"/>
          </w:tcPr>
          <w:p>
            <w:pPr>
              <w:spacing w:before="20" w:after="20"/>
            </w:pPr>
            <w:r>
              <w:rPr>
                <w:b w:val="0"/>
                <w:i w:val="0"/>
                <w:sz w:val="18"/>
              </w:rPr>
              <w:t xml:space="preserve">“First Crusade” </w:t>
            </w:r>
            <w:r>
              <w:rPr>
                <w:b/>
                <w:i w:val="0"/>
                <w:sz w:val="18"/>
              </w:rPr>
              <w:t>1096–1099</w:t>
            </w:r>
            <w:r>
              <w:rPr>
                <w:b w:val="0"/>
                <w:i w:val="0"/>
                <w:sz w:val="18"/>
              </w:rPr>
              <w:t xml:space="preserve">; </w:t>
            </w:r>
            <w:r>
              <w:rPr>
                <w:b/>
                <w:i w:val="0"/>
                <w:sz w:val="18"/>
              </w:rPr>
              <w:t>Children's Crusade</w:t>
            </w:r>
            <w:r>
              <w:rPr>
                <w:b w:val="0"/>
                <w:i w:val="0"/>
                <w:sz w:val="18"/>
              </w:rPr>
              <w:t xml:space="preserve"> </w:t>
            </w:r>
            <w:r>
              <w:rPr>
                <w:b/>
                <w:i w:val="0"/>
                <w:sz w:val="18"/>
              </w:rPr>
              <w:t>1212</w:t>
            </w:r>
            <w:r>
              <w:rPr>
                <w:b w:val="0"/>
                <w:i w:val="0"/>
                <w:sz w:val="18"/>
              </w:rPr>
              <w:t>, separate phenomenon.</w:t>
            </w:r>
          </w:p>
        </w:tc>
      </w:tr>
      <w:tr>
        <w:tc>
          <w:tcPr>
            <w:tcW w:type="dxa" w:w="830"/>
          </w:tcPr>
          <w:p>
            <w:pPr>
              <w:spacing w:before="20" w:after="20"/>
            </w:pPr>
            <w:r>
              <w:rPr>
                <w:b w:val="0"/>
                <w:i w:val="0"/>
                <w:sz w:val="18"/>
              </w:rPr>
              <w:t>This timeline</w:t>
            </w:r>
          </w:p>
        </w:tc>
        <w:tc>
          <w:tcPr>
            <w:tcW w:type="dxa" w:w="5543"/>
          </w:tcPr>
          <w:p>
            <w:pPr>
              <w:spacing w:before="20" w:after="20"/>
            </w:pPr>
            <w:r>
              <w:rPr>
                <w:b w:val="0"/>
                <w:i w:val="0"/>
                <w:sz w:val="18"/>
              </w:rPr>
            </w:r>
            <w:r>
              <w:rPr>
                <w:b/>
                <w:i w:val="0"/>
                <w:sz w:val="18"/>
              </w:rPr>
              <w:t>First Crusade</w:t>
            </w:r>
            <w:r>
              <w:rPr>
                <w:b w:val="0"/>
                <w:i w:val="0"/>
                <w:sz w:val="18"/>
              </w:rPr>
              <w:t xml:space="preserve"> to avenge the Crucifixion placed in </w:t>
            </w:r>
            <w:r>
              <w:rPr>
                <w:b/>
                <w:i w:val="0"/>
                <w:sz w:val="18"/>
              </w:rPr>
              <w:t>late 12th – early 13th c.</w:t>
            </w:r>
            <w:r>
              <w:rPr>
                <w:b w:val="0"/>
                <w:i w:val="0"/>
                <w:sz w:val="18"/>
              </w:rPr>
              <w:t xml:space="preserve"> (Fomenko layer); </w:t>
            </w:r>
            <w:r>
              <w:rPr>
                <w:b/>
                <w:i w:val="0"/>
                <w:sz w:val="18"/>
              </w:rPr>
              <w:t>Children's Crusade</w:t>
            </w:r>
            <w:r>
              <w:rPr>
                <w:b w:val="0"/>
                <w:i w:val="0"/>
                <w:sz w:val="18"/>
              </w:rPr>
              <w:t xml:space="preserve"> label attached to </w:t>
            </w:r>
            <w:r>
              <w:rPr>
                <w:b/>
                <w:i w:val="0"/>
                <w:sz w:val="18"/>
              </w:rPr>
              <w:t>young giant</w:t>
            </w:r>
            <w:r>
              <w:rPr>
                <w:b w:val="0"/>
                <w:i w:val="0"/>
                <w:sz w:val="18"/>
              </w:rPr>
              <w:t xml:space="preserve"> first wave in </w:t>
            </w:r>
            <w:hyperlink r:id="rId323">
              <w:r>
                <w:rPr>
                  <w:b w:val="0"/>
                  <w:i w:val="0"/>
                  <w:color w:val="B8860B"/>
                  <w:sz w:val="18"/>
                </w:rPr>
                <w:t>First Crusade &amp; Trojan War</w:t>
              </w:r>
            </w:hyperlink>
            <w:r>
              <w:rPr>
                <w:b w:val="0"/>
                <w:i w:val="0"/>
                <w:sz w:val="18"/>
              </w:rPr>
              <w:t>.</w:t>
            </w:r>
          </w:p>
        </w:tc>
      </w:tr>
    </w:tbl>
    <w:p/>
    <w:p>
      <w:r>
        <w:rPr>
          <w:b w:val="0"/>
          <w:i w:val="0"/>
        </w:rPr>
        <w:t xml:space="preserve">Wikipedia (overview): </w:t>
      </w:r>
      <w:hyperlink r:id="rId327">
        <w:r>
          <w:rPr>
            <w:b w:val="0"/>
            <w:i w:val="0"/>
            <w:color w:val="B8860B"/>
          </w:rPr>
          <w:t>Children's Crusade</w:t>
        </w:r>
      </w:hyperlink>
      <w:r>
        <w:rPr>
          <w:b w:val="0"/>
          <w:i w:val="0"/>
        </w:rPr>
        <w:t>.</w:t>
      </w:r>
    </w:p>
    <w:p>
      <w:pPr>
        <w:pStyle w:val="Heading2"/>
        <w:keepNext/>
        <w:keepLines/>
      </w:pPr>
      <w:r>
        <w:t>Related words (giant, youth, foot, irregular)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99"/>
        <w:gridCol w:w="5374"/>
      </w:tblGrid>
      <w:tr>
        <w:tc>
          <w:tcPr>
            <w:tcW w:type="dxa" w:w="999"/>
            <w:shd w:val="clear" w:color="auto" w:fill="F0F0F0"/>
          </w:tcPr>
          <w:p>
            <w:pPr>
              <w:spacing w:before="20" w:after="20"/>
              <w:jc w:val="center"/>
            </w:pPr>
            <w:r>
              <w:rPr>
                <w:rFonts w:ascii="Libre Franklin" w:hAnsi="Libre Franklin"/>
                <w:b/>
                <w:sz w:val="18"/>
              </w:rPr>
              <w:t>Word / label</w:t>
            </w:r>
          </w:p>
        </w:tc>
        <w:tc>
          <w:tcPr>
            <w:tcW w:type="dxa" w:w="5374"/>
            <w:shd w:val="clear" w:color="auto" w:fill="F0F0F0"/>
          </w:tcPr>
          <w:p>
            <w:pPr>
              <w:spacing w:before="20" w:after="20"/>
              <w:jc w:val="center"/>
            </w:pPr>
            <w:r>
              <w:rPr>
                <w:rFonts w:ascii="Libre Franklin" w:hAnsi="Libre Franklin"/>
                <w:b/>
                <w:sz w:val="18"/>
              </w:rPr>
              <w:t>Relevance</w:t>
            </w:r>
          </w:p>
        </w:tc>
      </w:tr>
      <w:tr>
        <w:tc>
          <w:tcPr>
            <w:tcW w:type="dxa" w:w="999"/>
          </w:tcPr>
          <w:p>
            <w:pPr>
              <w:spacing w:before="20" w:after="20"/>
            </w:pPr>
            <w:r>
              <w:rPr>
                <w:b w:val="0"/>
                <w:i/>
                <w:sz w:val="18"/>
              </w:rPr>
              <w:t>Pueri</w:t>
            </w:r>
          </w:p>
        </w:tc>
        <w:tc>
          <w:tcPr>
            <w:tcW w:type="dxa" w:w="5374"/>
          </w:tcPr>
          <w:p>
            <w:pPr>
              <w:spacing w:before="20" w:after="20"/>
            </w:pPr>
            <w:r>
              <w:rPr>
                <w:b w:val="0"/>
                <w:i w:val="0"/>
                <w:sz w:val="18"/>
              </w:rPr>
              <w:t xml:space="preserve">Latin “boys/children”; used of 1212 participants — often interpreted as </w:t>
            </w:r>
            <w:r>
              <w:rPr>
                <w:b/>
                <w:i w:val="0"/>
                <w:sz w:val="18"/>
              </w:rPr>
              <w:t>social dependents</w:t>
            </w:r>
            <w:r>
              <w:rPr>
                <w:b w:val="0"/>
                <w:i w:val="0"/>
                <w:sz w:val="18"/>
              </w:rPr>
              <w:t xml:space="preserve"> or </w:t>
            </w:r>
            <w:r>
              <w:rPr>
                <w:b/>
                <w:i w:val="0"/>
                <w:sz w:val="18"/>
              </w:rPr>
              <w:t>youths</w:t>
            </w:r>
            <w:r>
              <w:rPr>
                <w:b w:val="0"/>
                <w:i w:val="0"/>
                <w:sz w:val="18"/>
              </w:rPr>
              <w:t>, not necessarily small children.</w:t>
            </w:r>
          </w:p>
        </w:tc>
      </w:tr>
      <w:tr>
        <w:tc>
          <w:tcPr>
            <w:tcW w:type="dxa" w:w="999"/>
          </w:tcPr>
          <w:p>
            <w:pPr>
              <w:spacing w:before="20" w:after="20"/>
            </w:pPr>
            <w:r>
              <w:rPr>
                <w:b w:val="0"/>
                <w:i/>
                <w:sz w:val="18"/>
              </w:rPr>
              <w:t>Hoplite</w:t>
            </w:r>
          </w:p>
        </w:tc>
        <w:tc>
          <w:tcPr>
            <w:tcW w:type="dxa" w:w="5374"/>
          </w:tcPr>
          <w:p>
            <w:pPr>
              <w:spacing w:before="20" w:after="20"/>
            </w:pPr>
            <w:r>
              <w:rPr>
                <w:b w:val="0"/>
                <w:i w:val="0"/>
                <w:sz w:val="18"/>
              </w:rPr>
              <w:t xml:space="preserve">Greek </w:t>
            </w:r>
            <w:r>
              <w:rPr>
                <w:b/>
                <w:i w:val="0"/>
                <w:sz w:val="18"/>
              </w:rPr>
              <w:t>heavy foot</w:t>
            </w:r>
            <w:r>
              <w:rPr>
                <w:b w:val="0"/>
                <w:i w:val="0"/>
                <w:sz w:val="18"/>
              </w:rPr>
              <w:t xml:space="preserve">; </w:t>
            </w:r>
            <w:r>
              <w:rPr>
                <w:b w:val="0"/>
                <w:i/>
                <w:sz w:val="18"/>
              </w:rPr>
              <w:t>hoplon</w:t>
            </w:r>
            <w:r>
              <w:rPr>
                <w:b w:val="0"/>
                <w:i w:val="0"/>
                <w:sz w:val="18"/>
              </w:rPr>
              <w:t xml:space="preserve">-related; parallel </w:t>
            </w:r>
            <w:r>
              <w:rPr>
                <w:b/>
                <w:i w:val="0"/>
                <w:sz w:val="18"/>
              </w:rPr>
              <w:t>mass infantry</w:t>
            </w:r>
            <w:r>
              <w:rPr>
                <w:b w:val="0"/>
                <w:i w:val="0"/>
                <w:sz w:val="18"/>
              </w:rPr>
              <w:t xml:space="preserve"> tradition, different etymology.</w:t>
            </w:r>
          </w:p>
        </w:tc>
      </w:tr>
      <w:tr>
        <w:tc>
          <w:tcPr>
            <w:tcW w:type="dxa" w:w="999"/>
          </w:tcPr>
          <w:p>
            <w:pPr>
              <w:spacing w:before="20" w:after="20"/>
            </w:pPr>
            <w:r>
              <w:rPr>
                <w:b w:val="0"/>
                <w:i/>
                <w:sz w:val="18"/>
              </w:rPr>
              <w:t>Cohort</w:t>
            </w:r>
          </w:p>
        </w:tc>
        <w:tc>
          <w:tcPr>
            <w:tcW w:type="dxa" w:w="5374"/>
          </w:tcPr>
          <w:p>
            <w:pPr>
              <w:spacing w:before="20" w:after="20"/>
            </w:pPr>
            <w:r>
              <w:rPr>
                <w:b w:val="0"/>
                <w:i w:val="0"/>
                <w:sz w:val="18"/>
              </w:rPr>
              <w:t xml:space="preserve">Latin </w:t>
            </w:r>
            <w:r>
              <w:rPr>
                <w:b w:val="0"/>
                <w:i/>
                <w:sz w:val="18"/>
              </w:rPr>
              <w:t>cohors</w:t>
            </w:r>
            <w:r>
              <w:rPr>
                <w:b w:val="0"/>
                <w:i w:val="0"/>
                <w:sz w:val="18"/>
              </w:rPr>
              <w:t xml:space="preserve"> → Roman </w:t>
            </w:r>
            <w:r>
              <w:rPr>
                <w:b/>
                <w:i w:val="0"/>
                <w:sz w:val="18"/>
              </w:rPr>
              <w:t>infantry</w:t>
            </w:r>
            <w:r>
              <w:rPr>
                <w:b w:val="0"/>
                <w:i w:val="0"/>
                <w:sz w:val="18"/>
              </w:rPr>
              <w:t xml:space="preserve"> unit; “enclosure” → body of soldiers.</w:t>
            </w:r>
          </w:p>
        </w:tc>
      </w:tr>
      <w:tr>
        <w:tc>
          <w:tcPr>
            <w:tcW w:type="dxa" w:w="999"/>
          </w:tcPr>
          <w:p>
            <w:pPr>
              <w:spacing w:before="20" w:after="20"/>
            </w:pPr>
            <w:r>
              <w:rPr>
                <w:b w:val="0"/>
                <w:i/>
                <w:sz w:val="18"/>
              </w:rPr>
              <w:t>Nephilim</w:t>
            </w:r>
            <w:r>
              <w:rPr>
                <w:b w:val="0"/>
                <w:i w:val="0"/>
                <w:sz w:val="18"/>
              </w:rPr>
              <w:t xml:space="preserve">, </w:t>
            </w:r>
            <w:r>
              <w:rPr>
                <w:b w:val="0"/>
                <w:i/>
                <w:sz w:val="18"/>
              </w:rPr>
              <w:t>Rephaim</w:t>
            </w:r>
            <w:r>
              <w:rPr>
                <w:b w:val="0"/>
                <w:i w:val="0"/>
                <w:sz w:val="18"/>
              </w:rPr>
              <w:t xml:space="preserve">, </w:t>
            </w:r>
            <w:r>
              <w:rPr>
                <w:b w:val="0"/>
                <w:i/>
                <w:sz w:val="18"/>
              </w:rPr>
              <w:t>Anakim</w:t>
            </w:r>
          </w:p>
        </w:tc>
        <w:tc>
          <w:tcPr>
            <w:tcW w:type="dxa" w:w="5374"/>
          </w:tcPr>
          <w:p>
            <w:pPr>
              <w:spacing w:before="20" w:after="20"/>
            </w:pPr>
            <w:r>
              <w:rPr>
                <w:b w:val="0"/>
                <w:i w:val="0"/>
                <w:sz w:val="18"/>
              </w:rPr>
              <w:t>Hebrew giant-tribe vocabulary; cross-mythic pattern.</w:t>
            </w:r>
          </w:p>
        </w:tc>
      </w:tr>
      <w:tr>
        <w:tc>
          <w:tcPr>
            <w:tcW w:type="dxa" w:w="999"/>
          </w:tcPr>
          <w:p>
            <w:pPr>
              <w:spacing w:before="20" w:after="20"/>
            </w:pPr>
            <w:r>
              <w:rPr>
                <w:b w:val="0"/>
                <w:i/>
                <w:sz w:val="18"/>
              </w:rPr>
              <w:t>Gigas</w:t>
            </w:r>
            <w:r>
              <w:rPr>
                <w:b w:val="0"/>
                <w:i w:val="0"/>
                <w:sz w:val="18"/>
              </w:rPr>
              <w:t xml:space="preserve">, </w:t>
            </w:r>
            <w:r>
              <w:rPr>
                <w:b w:val="0"/>
                <w:i/>
                <w:sz w:val="18"/>
              </w:rPr>
              <w:t>Jötunn</w:t>
            </w:r>
            <w:r>
              <w:rPr>
                <w:b w:val="0"/>
                <w:i w:val="0"/>
                <w:sz w:val="18"/>
              </w:rPr>
              <w:t xml:space="preserve">, </w:t>
            </w:r>
            <w:r>
              <w:rPr>
                <w:b w:val="0"/>
                <w:i/>
                <w:sz w:val="18"/>
              </w:rPr>
              <w:t>Titan</w:t>
            </w:r>
          </w:p>
        </w:tc>
        <w:tc>
          <w:tcPr>
            <w:tcW w:type="dxa" w:w="5374"/>
          </w:tcPr>
          <w:p>
            <w:pPr>
              <w:spacing w:before="20" w:after="20"/>
            </w:pPr>
            <w:r>
              <w:rPr>
                <w:b w:val="0"/>
                <w:i w:val="0"/>
                <w:sz w:val="18"/>
              </w:rPr>
              <w:t xml:space="preserve">Indo-European and Norse </w:t>
            </w:r>
            <w:r>
              <w:rPr>
                <w:b/>
                <w:i w:val="0"/>
                <w:sz w:val="18"/>
              </w:rPr>
              <w:t>oversized</w:t>
            </w:r>
            <w:r>
              <w:rPr>
                <w:b w:val="0"/>
                <w:i w:val="0"/>
                <w:sz w:val="18"/>
              </w:rPr>
              <w:t xml:space="preserve"> antagonists; </w:t>
            </w:r>
            <w:hyperlink r:id="rId323">
              <w:r>
                <w:rPr>
                  <w:b w:val="0"/>
                  <w:i w:val="0"/>
                  <w:color w:val="B8860B"/>
                  <w:sz w:val="18"/>
                </w:rPr>
                <w:t>Jötunn</w:t>
              </w:r>
            </w:hyperlink>
            <w:r>
              <w:rPr>
                <w:b w:val="0"/>
                <w:i w:val="0"/>
                <w:sz w:val="18"/>
              </w:rPr>
              <w:t xml:space="preserve"> linked in First Crusade article.</w:t>
            </w:r>
          </w:p>
        </w:tc>
      </w:tr>
      <w:tr>
        <w:tc>
          <w:tcPr>
            <w:tcW w:type="dxa" w:w="999"/>
          </w:tcPr>
          <w:p>
            <w:pPr>
              <w:spacing w:before="20" w:after="20"/>
            </w:pPr>
            <w:r>
              <w:rPr>
                <w:b w:val="0"/>
                <w:i/>
                <w:sz w:val="18"/>
              </w:rPr>
              <w:t>Gigantomachy</w:t>
            </w:r>
          </w:p>
        </w:tc>
        <w:tc>
          <w:tcPr>
            <w:tcW w:type="dxa" w:w="5374"/>
          </w:tcPr>
          <w:p>
            <w:pPr>
              <w:spacing w:before="20" w:after="20"/>
            </w:pPr>
            <w:r>
              <w:rPr>
                <w:b w:val="0"/>
                <w:i w:val="0"/>
                <w:sz w:val="18"/>
              </w:rPr>
              <w:t xml:space="preserve">Mythic </w:t>
            </w:r>
            <w:r>
              <w:rPr>
                <w:b/>
                <w:i w:val="0"/>
                <w:sz w:val="18"/>
              </w:rPr>
              <w:t>war against giants</w:t>
            </w:r>
            <w:r>
              <w:rPr>
                <w:b w:val="0"/>
                <w:i w:val="0"/>
                <w:sz w:val="18"/>
              </w:rPr>
              <w:t xml:space="preserve"> — structural parallel to state vs giant-line conflict.</w:t>
            </w:r>
          </w:p>
        </w:tc>
      </w:tr>
      <w:tr>
        <w:tc>
          <w:tcPr>
            <w:tcW w:type="dxa" w:w="999"/>
          </w:tcPr>
          <w:p>
            <w:pPr>
              <w:spacing w:before="20" w:after="20"/>
            </w:pPr>
            <w:r>
              <w:rPr>
                <w:b w:val="0"/>
                <w:i/>
                <w:sz w:val="18"/>
              </w:rPr>
              <w:t>Berserker</w:t>
            </w:r>
            <w:r>
              <w:rPr>
                <w:b w:val="0"/>
                <w:i w:val="0"/>
                <w:sz w:val="18"/>
              </w:rPr>
              <w:t xml:space="preserve">, </w:t>
            </w:r>
            <w:r>
              <w:rPr>
                <w:b w:val="0"/>
                <w:i/>
                <w:sz w:val="18"/>
              </w:rPr>
              <w:t>partisan</w:t>
            </w:r>
            <w:r>
              <w:rPr>
                <w:b w:val="0"/>
                <w:i w:val="0"/>
                <w:sz w:val="18"/>
              </w:rPr>
              <w:t xml:space="preserve">, </w:t>
            </w:r>
            <w:r>
              <w:rPr>
                <w:b w:val="0"/>
                <w:i/>
                <w:sz w:val="18"/>
              </w:rPr>
              <w:t>skirmisher</w:t>
            </w:r>
          </w:p>
        </w:tc>
        <w:tc>
          <w:tcPr>
            <w:tcW w:type="dxa" w:w="5374"/>
          </w:tcPr>
          <w:p>
            <w:pPr>
              <w:spacing w:before="20" w:after="20"/>
            </w:pPr>
            <w:r>
              <w:rPr>
                <w:b w:val="0"/>
                <w:i w:val="0"/>
                <w:sz w:val="18"/>
              </w:rPr>
            </w:r>
            <w:r>
              <w:rPr>
                <w:b/>
                <w:i w:val="0"/>
                <w:sz w:val="18"/>
              </w:rPr>
              <w:t>Irregular</w:t>
            </w:r>
            <w:r>
              <w:rPr>
                <w:b w:val="0"/>
                <w:i w:val="0"/>
                <w:sz w:val="18"/>
              </w:rPr>
              <w:t xml:space="preserve"> fighter vocabulary; useful analogues for </w:t>
            </w:r>
            <w:r>
              <w:rPr>
                <w:b/>
                <w:i w:val="0"/>
                <w:sz w:val="18"/>
              </w:rPr>
              <w:t>post-set-piece</w:t>
            </w:r>
            <w:r>
              <w:rPr>
                <w:b w:val="0"/>
                <w:i w:val="0"/>
                <w:sz w:val="18"/>
              </w:rPr>
              <w:t xml:space="preserve"> resistance without implying Spanish </w:t>
            </w:r>
            <w:r>
              <w:rPr>
                <w:b w:val="0"/>
                <w:i/>
                <w:sz w:val="18"/>
              </w:rPr>
              <w:t>guerrilla</w:t>
            </w:r>
            <w:r>
              <w:rPr>
                <w:b w:val="0"/>
                <w:i w:val="0"/>
                <w:sz w:val="18"/>
              </w:rPr>
              <w:t>’s origin.</w:t>
            </w:r>
          </w:p>
        </w:tc>
      </w:tr>
    </w:tbl>
    <w:p/>
    <w:p>
      <w:pPr>
        <w:pStyle w:val="Heading2"/>
        <w:keepNext/>
        <w:keepLines/>
      </w:pPr>
      <w:r>
        <w:t>Cross-links</w:t>
      </w:r>
    </w:p>
    <w:p>
      <w:pPr>
        <w:pStyle w:val="ListBullet"/>
        <w:spacing w:before="20" w:after="20"/>
      </w:pPr>
      <w:hyperlink r:id="rId328">
        <w:r>
          <w:rPr>
            <w:b w:val="0"/>
            <w:i w:val="0"/>
            <w:color w:val="B8860B"/>
            <w:sz w:val="19"/>
          </w:rPr>
          <w:t>Two Branches: Fomenko vs Author</w:t>
        </w:r>
      </w:hyperlink>
      <w:r>
        <w:rPr>
          <w:b w:val="0"/>
          <w:i w:val="0"/>
          <w:sz w:val="19"/>
        </w:rPr>
        <w:t xml:space="preserve"> — attribution boundary for Royal vs Apostolic labels across </w:t>
      </w:r>
      <w:r>
        <w:rPr>
          <w:b/>
          <w:i w:val="0"/>
          <w:sz w:val="19"/>
        </w:rPr>
        <w:t>First Crusade</w:t>
      </w:r>
      <w:r>
        <w:rPr>
          <w:b w:val="0"/>
          <w:i w:val="0"/>
          <w:sz w:val="19"/>
        </w:rPr>
        <w:t xml:space="preserve"> vs </w:t>
      </w:r>
      <w:r>
        <w:rPr>
          <w:b/>
          <w:i w:val="0"/>
          <w:sz w:val="19"/>
        </w:rPr>
        <w:t>Kulikovo</w:t>
      </w:r>
      <w:r>
        <w:rPr>
          <w:b w:val="0"/>
          <w:i w:val="0"/>
          <w:sz w:val="19"/>
        </w:rPr>
        <w:t>.</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329"/>
      <w:footerReference w:type="default" r:id="rId330"/>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redictive-programming-film-tv-games" TargetMode="External"/><Relationship Id="rId12" Type="http://schemas.openxmlformats.org/officeDocument/2006/relationships/hyperlink" Target="/timeline/evt-predictive-programming-literature" TargetMode="External"/><Relationship Id="rId13" Type="http://schemas.openxmlformats.org/officeDocument/2006/relationships/hyperlink" Target="/timeline/evt-mars-literature-author-profiles" TargetMode="External"/><Relationship Id="rId14" Type="http://schemas.openxmlformats.org/officeDocument/2006/relationships/hyperlink" Target="/timeline/evt-controlled-opposition-thunderbolts-case-study" TargetMode="External"/><Relationship Id="rId15" Type="http://schemas.openxmlformats.org/officeDocument/2006/relationships/hyperlink" Target="/timeline/evt-operation-mockingbird-historical-chain" TargetMode="External"/><Relationship Id="rId16" Type="http://schemas.openxmlformats.org/officeDocument/2006/relationships/hyperlink" Target="/timeline/evt-censorship-pattern" TargetMode="External"/><Relationship Id="rId17" Type="http://schemas.openxmlformats.org/officeDocument/2006/relationships/hyperlink" Target="/timeline/evt-censorship-historical-timeline" TargetMode="External"/><Relationship Id="rId18" Type="http://schemas.openxmlformats.org/officeDocument/2006/relationships/hyperlink" Target="/timeline/evt-historical-antibodies-profiles" TargetMode="External"/><Relationship Id="rId19" Type="http://schemas.openxmlformats.org/officeDocument/2006/relationships/hyperlink" Target="/timeline/evt-trump-case-study-extended" TargetMode="External"/><Relationship Id="rId20" Type="http://schemas.openxmlformats.org/officeDocument/2006/relationships/hyperlink" Target="/timeline/evt-false-flags-architecture" TargetMode="External"/><Relationship Id="rId21" Type="http://schemas.openxmlformats.org/officeDocument/2006/relationships/hyperlink" Target="/timeline/evt-false-flags-investigation" TargetMode="External"/><Relationship Id="rId22" Type="http://schemas.openxmlformats.org/officeDocument/2006/relationships/hyperlink" Target="/timeline/evt-author-profiles" TargetMode="External"/><Relationship Id="rId23" Type="http://schemas.openxmlformats.org/officeDocument/2006/relationships/hyperlink" Target="/timeline/evt-soviet-historiography-bogdanov" TargetMode="External"/><Relationship Id="rId24" Type="http://schemas.openxmlformats.org/officeDocument/2006/relationships/hyperlink" Target="/timeline/evt-suppressed-energy-technology-cross-reference" TargetMode="External"/><Relationship Id="rId25" Type="http://schemas.openxmlformats.org/officeDocument/2006/relationships/hyperlink" Target="/timeline/evt-population-control-timeline-15th-21st-centuries" TargetMode="External"/><Relationship Id="rId26" Type="http://schemas.openxmlformats.org/officeDocument/2006/relationships/hyperlink" Target="/timeline/evt-orphan-trains-trail-of-tears-evidence" TargetMode="External"/><Relationship Id="rId27" Type="http://schemas.openxmlformats.org/officeDocument/2006/relationships/hyperlink" Target="/timeline/evt-napoleonic-wars-1812-evidence" TargetMode="External"/><Relationship Id="rId28" Type="http://schemas.openxmlformats.org/officeDocument/2006/relationships/hyperlink" Target="/timeline/evt-asimov-three-laws-and-marx-encoding" TargetMode="External"/><Relationship Id="rId29" Type="http://schemas.openxmlformats.org/officeDocument/2006/relationships/hyperlink" Target="/timeline/evt-year-length-calendar-evidence" TargetMode="External"/><Relationship Id="rId30" Type="http://schemas.openxmlformats.org/officeDocument/2006/relationships/hyperlink" Target="/timeline/evt-fomenko-and-the-pyramid-question" TargetMode="External"/><Relationship Id="rId31" Type="http://schemas.openxmlformats.org/officeDocument/2006/relationships/hyperlink" Target="/timeline/evt-pyramids-myths-evidence" TargetMode="External"/><Relationship Id="rId32" Type="http://schemas.openxmlformats.org/officeDocument/2006/relationships/hyperlink" Target="/timeline/evt-hordian-empire-fracture" TargetMode="External"/><Relationship Id="rId33" Type="http://schemas.openxmlformats.org/officeDocument/2006/relationships/hyperlink" Target="/timeline/evt-slave-trades-evidence" TargetMode="External"/><Relationship Id="rId34" Type="http://schemas.openxmlformats.org/officeDocument/2006/relationships/hyperlink" Target="/timeline/evt-british-empire-case-studies" TargetMode="External"/><Relationship Id="rId35" Type="http://schemas.openxmlformats.org/officeDocument/2006/relationships/hyperlink" Target="/timeline/evt-mudflood-evidence" TargetMode="External"/><Relationship Id="rId36" Type="http://schemas.openxmlformats.org/officeDocument/2006/relationships/hyperlink" Target="/timeline/evt-slow-ecological-collapse-mfee-donner-appendix" TargetMode="External"/><Relationship Id="rId37" Type="http://schemas.openxmlformats.org/officeDocument/2006/relationships/hyperlink" Target="/timeline/evt-new-world-naming-mfee-colonization-memory-appendix" TargetMode="External"/><Relationship Id="rId38" Type="http://schemas.openxmlformats.org/officeDocument/2006/relationships/hyperlink" Target="/timeline/evt-seven-days-of-creation" TargetMode="External"/><Relationship Id="rId39" Type="http://schemas.openxmlformats.org/officeDocument/2006/relationships/hyperlink" Target="/timeline/evt-golden-age-documentary-sequence-appendix" TargetMode="External"/><Relationship Id="rId40" Type="http://schemas.openxmlformats.org/officeDocument/2006/relationships/hyperlink" Target="/timeline/evt-giants-infantry-guerrilla-childrens-crusade-etymology" TargetMode="External"/><Relationship Id="rId41" Type="http://schemas.openxmlformats.org/officeDocument/2006/relationships/hyperlink" Target="/history/chronology/investigations/rus-horde-english-political-lexicon-speculation.md" TargetMode="External"/><Relationship Id="rId42" Type="http://schemas.openxmlformats.org/officeDocument/2006/relationships/hyperlink" Target="/timeline/evt-reverse-crusades-structural-comparison" TargetMode="External"/><Relationship Id="rId43" Type="http://schemas.openxmlformats.org/officeDocument/2006/relationships/hyperlink" Target="/timeline/evt-21st-century-geopolitics-extended" TargetMode="External"/><Relationship Id="rId44" Type="http://schemas.openxmlformats.org/officeDocument/2006/relationships/hyperlink" Target="/timeline/evt-world-war-ii-aftermath-extended" TargetMode="External"/><Relationship Id="rId45" Type="http://schemas.openxmlformats.org/officeDocument/2006/relationships/hyperlink" Target="/timeline/evt-jesuit-ops-conversion-empire" TargetMode="External"/><Relationship Id="rId46" Type="http://schemas.openxmlformats.org/officeDocument/2006/relationships/hyperlink" Target="https://github.com/clevertree/paradigm-threat-timeline/blob/main/docs/FEEDBACK.md" TargetMode="External"/><Relationship Id="rId47" Type="http://schemas.openxmlformats.org/officeDocument/2006/relationships/hyperlink" Target="https://github.com/clevertree/paradigm-threat-files/blob/master/history/chronology/page.md" TargetMode="External"/><Relationship Id="rId48" Type="http://schemas.openxmlformats.org/officeDocument/2006/relationships/hyperlink" Target="https://github.com/clevertree/paradigm-threat-timeline/blob/main/content/00.overview/00.02.00-background.md" TargetMode="External"/><Relationship Id="rId49" Type="http://schemas.openxmlformats.org/officeDocument/2006/relationships/hyperlink" Target="http://www.ras.ru/digest/fdigestlist/bulletin.aspx" TargetMode="External"/><Relationship Id="rId50" Type="http://schemas.openxmlformats.org/officeDocument/2006/relationships/hyperlink" Target="./content/00.overview/00.02.01-authors-challenging-chronology.md" TargetMode="External"/><Relationship Id="rId51" Type="http://schemas.openxmlformats.org/officeDocument/2006/relationships/hyperlink" Target="/timeline/evt-authors-cataclysm-texts" TargetMode="External"/><Relationship Id="rId52" Type="http://schemas.openxmlformats.org/officeDocument/2006/relationships/hyperlink" Target="/timeline/evt-n-a-morozov" TargetMode="External"/><Relationship Id="rId53" Type="http://schemas.openxmlformats.org/officeDocument/2006/relationships/hyperlink" Target="/timeline/evt-wal-thornhill" TargetMode="External"/><Relationship Id="rId54" Type="http://schemas.openxmlformats.org/officeDocument/2006/relationships/hyperlink" Target="/timeline/evt-ralph-juergens" TargetMode="External"/><Relationship Id="rId55" Type="http://schemas.openxmlformats.org/officeDocument/2006/relationships/hyperlink" Target="/timeline/evt-immanuel-velikovsky" TargetMode="External"/><Relationship Id="rId56" Type="http://schemas.openxmlformats.org/officeDocument/2006/relationships/hyperlink" Target="/timeline/evt-anatoly-fomenko" TargetMode="External"/><Relationship Id="rId57" Type="http://schemas.openxmlformats.org/officeDocument/2006/relationships/hyperlink" Target="/timeline/evt-david-talbott" TargetMode="External"/><Relationship Id="rId58" Type="http://schemas.openxmlformats.org/officeDocument/2006/relationships/hyperlink" Target="/timeline/evt-anthony-peratt" TargetMode="External"/><Relationship Id="rId59" Type="http://schemas.openxmlformats.org/officeDocument/2006/relationships/hyperlink" Target="/timeline/evt-jno-cook" TargetMode="External"/><Relationship Id="rId60" Type="http://schemas.openxmlformats.org/officeDocument/2006/relationships/hyperlink" Target="/timeline/evt-alfred-de-grazia" TargetMode="External"/><Relationship Id="rId61" Type="http://schemas.openxmlformats.org/officeDocument/2006/relationships/hyperlink" Target="/timeline/evt-donald-scott" TargetMode="External"/><Relationship Id="rId62" Type="http://schemas.openxmlformats.org/officeDocument/2006/relationships/hyperlink" Target="/timeline/evt-ev-cochrane" TargetMode="External"/><Relationship Id="rId63" Type="http://schemas.openxmlformats.org/officeDocument/2006/relationships/hyperlink" Target="/timeline/evt-de-santillana-von-dechend" TargetMode="External"/><Relationship Id="rId64" Type="http://schemas.openxmlformats.org/officeDocument/2006/relationships/hyperlink" Target="/timeline/evt-heribert-illig" TargetMode="External"/><Relationship Id="rId65" Type="http://schemas.openxmlformats.org/officeDocument/2006/relationships/hyperlink" Target="/timeline/evt-gunnar-heinsohn" TargetMode="External"/><Relationship Id="rId66" Type="http://schemas.openxmlformats.org/officeDocument/2006/relationships/hyperlink" Target="/timeline/evt-dwardu-cardona" TargetMode="External"/><Relationship Id="rId67" Type="http://schemas.openxmlformats.org/officeDocument/2006/relationships/hyperlink" Target="/timeline/evt-clube-napier" TargetMode="External"/><Relationship Id="rId68" Type="http://schemas.openxmlformats.org/officeDocument/2006/relationships/hyperlink" Target="/timeline/evt-livio-stecchini" TargetMode="External"/><Relationship Id="rId69" Type="http://schemas.openxmlformats.org/officeDocument/2006/relationships/hyperlink" Target="/timeline/evt-rose-vaughan" TargetMode="External"/><Relationship Id="rId70" Type="http://schemas.openxmlformats.org/officeDocument/2006/relationships/hyperlink" Target="/timeline/evt-tom-van-flandern" TargetMode="External"/><Relationship Id="rId71" Type="http://schemas.openxmlformats.org/officeDocument/2006/relationships/hyperlink" Target="/timeline/evt-martinus-van-der-sluijs" TargetMode="External"/><Relationship Id="rId72" Type="http://schemas.openxmlformats.org/officeDocument/2006/relationships/hyperlink" Target="/timeline/evt-charles-ginenthal" TargetMode="External"/><Relationship Id="rId73" Type="http://schemas.openxmlformats.org/officeDocument/2006/relationships/hyperlink" Target="/timeline/evt-robert-schoch" TargetMode="External"/><Relationship Id="rId74" Type="http://schemas.openxmlformats.org/officeDocument/2006/relationships/hyperlink" Target="/timeline/evt-graham-hancock" TargetMode="External"/><Relationship Id="rId75" Type="http://schemas.openxmlformats.org/officeDocument/2006/relationships/hyperlink" Target="/timeline/evt-michael-cremo" TargetMode="External"/><Relationship Id="rId76" Type="http://schemas.openxmlformats.org/officeDocument/2006/relationships/hyperlink" Target="https://en.wikipedia.org/wiki/New_Chronology_(Fomenko)" TargetMode="External"/><Relationship Id="rId77" Type="http://schemas.openxmlformats.org/officeDocument/2006/relationships/hyperlink" Target="https://en.wikipedia.org/wiki/Shlisselburg_Fortress" TargetMode="External"/><Relationship Id="rId78" Type="http://schemas.openxmlformats.org/officeDocument/2006/relationships/hyperlink" Target="https://en.wikipedia.org/wiki/John_Chrysostom" TargetMode="External"/><Relationship Id="rId79" Type="http://schemas.openxmlformats.org/officeDocument/2006/relationships/hyperlink" Target="https://en.wikipedia.org/wiki/Patmos" TargetMode="External"/><Relationship Id="rId80" Type="http://schemas.openxmlformats.org/officeDocument/2006/relationships/hyperlink" Target="https://en.wikipedia.org/wiki/The_Revelation_in_Storm_and_Thunder" TargetMode="External"/><Relationship Id="rId81" Type="http://schemas.openxmlformats.org/officeDocument/2006/relationships/hyperlink" Target="https://en.wikipedia.org/wiki/Nikolai_Morozov" TargetMode="External"/><Relationship Id="rId82" Type="http://schemas.openxmlformats.org/officeDocument/2006/relationships/hyperlink" Target="https://en.wikipedia.org/wiki/Anatoly_Fomenko" TargetMode="External"/><Relationship Id="rId83" Type="http://schemas.openxmlformats.org/officeDocument/2006/relationships/hyperlink" Target="https://catalog.hathitrust.org/Record/001584930" TargetMode="External"/><Relationship Id="rId84" Type="http://schemas.openxmlformats.org/officeDocument/2006/relationships/hyperlink" Target="https://link.springer.com" TargetMode="External"/><Relationship Id="rId85" Type="http://schemas.openxmlformats.org/officeDocument/2006/relationships/hyperlink" Target="https://en.wikipedia.org/wiki/Codex_Sinaiticus" TargetMode="External"/><Relationship Id="rId86" Type="http://schemas.openxmlformats.org/officeDocument/2006/relationships/hyperlink" Target="https://en.wikipedia.org/wiki/Porfiry_Uspensky" TargetMode="External"/><Relationship Id="rId87" Type="http://schemas.openxmlformats.org/officeDocument/2006/relationships/hyperlink" Target="https://books.google.ru/books?id=C9IIAwAAQBAJ&amp;pg=PA258" TargetMode="External"/><Relationship Id="rId88" Type="http://schemas.openxmlformats.org/officeDocument/2006/relationships/hyperlink" Target="https://purebibleforum.com/index.php?threads/morozov-extract-on-examining-sinaiticus-with-added-notes-from-a-russian-forum.4641/" TargetMode="External"/><Relationship Id="rId89" Type="http://schemas.openxmlformats.org/officeDocument/2006/relationships/hyperlink" Target="https://www.thunderbolts.info/wp/eu-guide/" TargetMode="External"/><Relationship Id="rId90" Type="http://schemas.openxmlformats.org/officeDocument/2006/relationships/hyperlink" Target="https://www.thunderbolts.info" TargetMode="External"/><Relationship Id="rId91" Type="http://schemas.openxmlformats.org/officeDocument/2006/relationships/hyperlink" Target="https://archive.org/details/worldsincollisio00veli" TargetMode="External"/><Relationship Id="rId92" Type="http://schemas.openxmlformats.org/officeDocument/2006/relationships/hyperlink" Target="https://en.wikipedia.org/wiki/Hannes_Alfv%C3%A9n" TargetMode="External"/><Relationship Id="rId93" Type="http://schemas.openxmlformats.org/officeDocument/2006/relationships/hyperlink" Target="https://www.safireproject.com/" TargetMode="External"/><Relationship Id="rId94" Type="http://schemas.openxmlformats.org/officeDocument/2006/relationships/hyperlink" Target="https://www.jpl.nasa.gov/missions/deep-impact" TargetMode="External"/><Relationship Id="rId95" Type="http://schemas.openxmlformats.org/officeDocument/2006/relationships/hyperlink" Target="https://en.wikipedia.org/wiki/Birkeland_current" TargetMode="External"/><Relationship Id="rId96" Type="http://schemas.openxmlformats.org/officeDocument/2006/relationships/hyperlink" Target="https://www.thunderbolts.info/wp/authors/dave-talbott/" TargetMode="External"/><Relationship Id="rId97" Type="http://schemas.openxmlformats.org/officeDocument/2006/relationships/hyperlink" Target="https://en.wikipedia.org/wiki/Dwardu_Cardona" TargetMode="External"/><Relationship Id="rId98" Type="http://schemas.openxmlformats.org/officeDocument/2006/relationships/hyperlink" Target="https://en.wikipedia.org/wiki/Brown_dwarf" TargetMode="External"/><Relationship Id="rId99" Type="http://schemas.openxmlformats.org/officeDocument/2006/relationships/hyperlink" Target="https://www.thunderbolts.info/wp/resources/dvd-blu-ray/symbols-of-an-alien-sky/" TargetMode="External"/><Relationship Id="rId100" Type="http://schemas.openxmlformats.org/officeDocument/2006/relationships/hyperlink" Target="https://www.thunderbolts.info/wp/resources/dvd-blu-ray/the-lightning-scarred-planet-mars/" TargetMode="External"/><Relationship Id="rId101" Type="http://schemas.openxmlformats.org/officeDocument/2006/relationships/hyperlink" Target="https://www.nasa.gov/webb" TargetMode="External"/><Relationship Id="rId102" Type="http://schemas.openxmlformats.org/officeDocument/2006/relationships/hyperlink" Target="https://en.wikipedia.org/wiki/Richard_Feynman" TargetMode="External"/><Relationship Id="rId103" Type="http://schemas.openxmlformats.org/officeDocument/2006/relationships/hyperlink" Target="https://en.wikipedia.org/wiki/Martin_Rees" TargetMode="External"/><Relationship Id="rId104" Type="http://schemas.openxmlformats.org/officeDocument/2006/relationships/hyperlink" Target="/timeline/evt-before-creation" TargetMode="External"/><Relationship Id="rId105" Type="http://schemas.openxmlformats.org/officeDocument/2006/relationships/hyperlink" Target="/timeline/evt-cosmic-life-cycle" TargetMode="External"/><Relationship Id="rId106" Type="http://schemas.openxmlformats.org/officeDocument/2006/relationships/hyperlink" Target="https://www.youtube.com/watch?v=wOwkIGNkQCw" TargetMode="External"/><Relationship Id="rId107" Type="http://schemas.openxmlformats.org/officeDocument/2006/relationships/hyperlink" Target="https://youtu.be/_NZi3HHjYk4" TargetMode="External"/><Relationship Id="rId108" Type="http://schemas.openxmlformats.org/officeDocument/2006/relationships/hyperlink" Target="https://www.youtube.com/watch?v=rp3pJG6IIQQ" TargetMode="External"/><Relationship Id="rId109" Type="http://schemas.openxmlformats.org/officeDocument/2006/relationships/hyperlink" Target="https://en.wikipedia.org/wiki/Wal_Thornhill" TargetMode="External"/><Relationship Id="rId110" Type="http://schemas.openxmlformats.org/officeDocument/2006/relationships/hyperlink" Target="https://www.holoscience.com" TargetMode="External"/><Relationship Id="rId111" Type="http://schemas.openxmlformats.org/officeDocument/2006/relationships/hyperlink" Target="https://en.wikipedia.org/wiki/Electric_universe_theory" TargetMode="External"/><Relationship Id="rId112" Type="http://schemas.openxmlformats.org/officeDocument/2006/relationships/hyperlink" Target="https://en.wikipedia.org/wiki/Case_Western_Reserve_University" TargetMode="External"/><Relationship Id="rId113" Type="http://schemas.openxmlformats.org/officeDocument/2006/relationships/hyperlink" Target="https://en.wikipedia.org/wiki/McGraw-Hill" TargetMode="External"/><Relationship Id="rId114" Type="http://schemas.openxmlformats.org/officeDocument/2006/relationships/hyperlink" Target="https://www.velikovsky.info/pens%C3%A9e/" TargetMode="External"/><Relationship Id="rId115" Type="http://schemas.openxmlformats.org/officeDocument/2006/relationships/hyperlink" Target="https://www.velikovsky.info/kronos/" TargetMode="External"/><Relationship Id="rId116" Type="http://schemas.openxmlformats.org/officeDocument/2006/relationships/hyperlink" Target="https://en.wikipedia.org/wiki/Immanuel_Velikovsky" TargetMode="External"/><Relationship Id="rId117" Type="http://schemas.openxmlformats.org/officeDocument/2006/relationships/hyperlink" Target="https://en.wikipedia.org/wiki/Wikipedia:Articles_for_deletion/Ralph_Juergens" TargetMode="External"/><Relationship Id="rId118" Type="http://schemas.openxmlformats.org/officeDocument/2006/relationships/hyperlink" Target="https://www.velikovsky.info/alfred-de-grazia/" TargetMode="External"/><Relationship Id="rId119" Type="http://schemas.openxmlformats.org/officeDocument/2006/relationships/hyperlink" Target="https://www.velikovsky.info/livio-catullo-stecchini/" TargetMode="External"/><Relationship Id="rId120" Type="http://schemas.openxmlformats.org/officeDocument/2006/relationships/hyperlink" Target="https://en.wikipedia.org/wiki/American_Behavioral_Scientist" TargetMode="External"/><Relationship Id="rId121" Type="http://schemas.openxmlformats.org/officeDocument/2006/relationships/hyperlink" Target="https://archive.org/details/velikovskyaffair00degr" TargetMode="External"/><Relationship Id="rId122" Type="http://schemas.openxmlformats.org/officeDocument/2006/relationships/hyperlink" Target="https://www.velikovsky.info/foundation-for-studies-of-modern-science/" TargetMode="External"/><Relationship Id="rId123" Type="http://schemas.openxmlformats.org/officeDocument/2006/relationships/hyperlink" Target="https://www.velikovsky.info/richard-p-kramer/" TargetMode="External"/><Relationship Id="rId124" Type="http://schemas.openxmlformats.org/officeDocument/2006/relationships/hyperlink" Target="https://www.kronos-press.com/juergens/" TargetMode="External"/><Relationship Id="rId125" Type="http://schemas.openxmlformats.org/officeDocument/2006/relationships/hyperlink" Target="https://en.wikipedia.org/wiki/Melvin_A._Cook" TargetMode="External"/><Relationship Id="rId126" Type="http://schemas.openxmlformats.org/officeDocument/2006/relationships/hyperlink" Target="https://www.velikovsky.info/charles-bruce-(physicist)/" TargetMode="External"/><Relationship Id="rId127" Type="http://schemas.openxmlformats.org/officeDocument/2006/relationships/hyperlink" Target="https://www.kronos-press.com/juergens/k0404-stellar.htm" TargetMode="External"/><Relationship Id="rId128" Type="http://schemas.openxmlformats.org/officeDocument/2006/relationships/hyperlink" Target="https://www.kronos-press.com/juergens/k0404-photosphere.htm" TargetMode="External"/><Relationship Id="rId129" Type="http://schemas.openxmlformats.org/officeDocument/2006/relationships/hyperlink" Target="https://www.genealogybank.com/doc/ssdi/news/v1:112D897B0965B748" TargetMode="External"/><Relationship Id="rId130" Type="http://schemas.openxmlformats.org/officeDocument/2006/relationships/hyperlink" Target="/timeline/evt-4077-bce-the-golden-age" TargetMode="External"/><Relationship Id="rId131" Type="http://schemas.openxmlformats.org/officeDocument/2006/relationships/hyperlink" Target="https://www.kronos-press.com/juergens/k0801-electric-i.htm" TargetMode="External"/><Relationship Id="rId132" Type="http://schemas.openxmlformats.org/officeDocument/2006/relationships/hyperlink" Target="https://www.kronos-press.com/juergens/k0802-electric-ii.htm" TargetMode="External"/><Relationship Id="rId133" Type="http://schemas.openxmlformats.org/officeDocument/2006/relationships/hyperlink" Target="https://www.velikovsky.info/ralph-juergens/" TargetMode="External"/><Relationship Id="rId134" Type="http://schemas.openxmlformats.org/officeDocument/2006/relationships/hyperlink" Target="https://thesecularheretic.com/the-electric-universe-heresy/" TargetMode="External"/><Relationship Id="rId135" Type="http://schemas.openxmlformats.org/officeDocument/2006/relationships/hyperlink" Target="https://www.holoscience.com/wp/electric-gravity-in-an-electric-universe/" TargetMode="External"/><Relationship Id="rId136" Type="http://schemas.openxmlformats.org/officeDocument/2006/relationships/hyperlink" Target="https://en.wikipedia.org/wiki/Plasma_cosmology" TargetMode="External"/><Relationship Id="rId137" Type="http://schemas.openxmlformats.org/officeDocument/2006/relationships/hyperlink" Target="https://chronologia.org/en/seven/history.html" TargetMode="External"/><Relationship Id="rId138" Type="http://schemas.openxmlformats.org/officeDocument/2006/relationships/hyperlink" Target="/timeline/evt-authors-challenging-chronology" TargetMode="External"/><Relationship Id="rId139" Type="http://schemas.openxmlformats.org/officeDocument/2006/relationships/hyperlink" Target="https://chronologia.org" TargetMode="External"/><Relationship Id="rId140" Type="http://schemas.openxmlformats.org/officeDocument/2006/relationships/hyperlink" Target="https://thunderbolts.info" TargetMode="External"/><Relationship Id="rId141" Type="http://schemas.openxmlformats.org/officeDocument/2006/relationships/hyperlink" Target="https://www.academia.edu/9156691" TargetMode="External"/><Relationship Id="rId142" Type="http://schemas.openxmlformats.org/officeDocument/2006/relationships/hyperlink" Target="https://saturniancosmology.org" TargetMode="External"/><Relationship Id="rId143" Type="http://schemas.openxmlformats.org/officeDocument/2006/relationships/hyperlink" Target="https://saturniancosmology.org/books.php.html" TargetMode="External"/><Relationship Id="rId144" Type="http://schemas.openxmlformats.org/officeDocument/2006/relationships/hyperlink" Target="https://www.saturniancosmology.org/syn.php" TargetMode="External"/><Relationship Id="rId145" Type="http://schemas.openxmlformats.org/officeDocument/2006/relationships/hyperlink" Target="/cosmos/cosmology/de_grazia/README.md" TargetMode="External"/><Relationship Id="rId146" Type="http://schemas.openxmlformats.org/officeDocument/2006/relationships/hyperlink" Target="https://grazian-archive.com" TargetMode="External"/><Relationship Id="rId147" Type="http://schemas.openxmlformats.org/officeDocument/2006/relationships/hyperlink" Target="http://electric-cosmos.org" TargetMode="External"/><Relationship Id="rId148" Type="http://schemas.openxmlformats.org/officeDocument/2006/relationships/hyperlink" Target="/timeline/evt-other-challenges-to-chronology" TargetMode="External"/><Relationship Id="rId149" Type="http://schemas.openxmlformats.org/officeDocument/2006/relationships/hyperlink" Target="https://q-mag.org" TargetMode="External"/><Relationship Id="rId150" Type="http://schemas.openxmlformats.org/officeDocument/2006/relationships/hyperlink" Target="./content/00.overview/00.02.02-authors-cataclysm-texts.md" TargetMode="External"/><Relationship Id="rId151" Type="http://schemas.openxmlformats.org/officeDocument/2006/relationships/hyperlink" Target="http://metaresearch.org" TargetMode="External"/><Relationship Id="rId152" Type="http://schemas.openxmlformats.org/officeDocument/2006/relationships/hyperlink" Target="/timeline/evt-suppression-of-maxwell-aether" TargetMode="External"/><Relationship Id="rId153" Type="http://schemas.openxmlformats.org/officeDocument/2006/relationships/hyperlink" Target="/timeline/evt-flexner-report-suppression-of" TargetMode="External"/><Relationship Id="rId154" Type="http://schemas.openxmlformats.org/officeDocument/2006/relationships/hyperlink" Target="/timeline/evt-new-religion-of-constancy" TargetMode="External"/><Relationship Id="rId155" Type="http://schemas.openxmlformats.org/officeDocument/2006/relationships/hyperlink" Target="/timeline/evt-670-bce-the-blip" TargetMode="External"/><Relationship Id="rId156" Type="http://schemas.openxmlformats.org/officeDocument/2006/relationships/hyperlink" Target="/timeline/evt-building-the-new-chronology" TargetMode="External"/><Relationship Id="rId157" Type="http://schemas.openxmlformats.org/officeDocument/2006/relationships/hyperlink" Target="/timeline/evt-timeline-synchronization" TargetMode="External"/><Relationship Id="rId158" Type="http://schemas.openxmlformats.org/officeDocument/2006/relationships/hyperlink" Target="/timeline/evt-the-length-of-a-year-changes-throughout-antiquity" TargetMode="External"/><Relationship Id="rId159" Type="http://schemas.openxmlformats.org/officeDocument/2006/relationships/hyperlink" Target="/timeline/evt-1774-ce-the-mars-catastrophe-brandenburgs-nuclear-evidence" TargetMode="External"/><Relationship Id="rId160" Type="http://schemas.openxmlformats.org/officeDocument/2006/relationships/hyperlink" Target="/timeline/evt-1773-ce-the-rebellion-of-pugachev" TargetMode="External"/><Relationship Id="rId161" Type="http://schemas.openxmlformats.org/officeDocument/2006/relationships/hyperlink" Target="https://armscontrolcenter.org/fact-sheet-directed-energy-weapons/" TargetMode="External"/><Relationship Id="rId162" Type="http://schemas.openxmlformats.org/officeDocument/2006/relationships/hyperlink" Target="/timeline/evt-1774-ce-the-mars-catastrophe" TargetMode="External"/><Relationship Id="rId163" Type="http://schemas.openxmlformats.org/officeDocument/2006/relationships/hyperlink" Target="/timeline/evt-the-mudflood-world-cataclysm" TargetMode="External"/><Relationship Id="rId164" Type="http://schemas.openxmlformats.org/officeDocument/2006/relationships/hyperlink" Target="/influence/predictive_programming/fiction_encoding/wells/index-island-of-dr-moreau.md" TargetMode="External"/><Relationship Id="rId165" Type="http://schemas.openxmlformats.org/officeDocument/2006/relationships/hyperlink" Target="/influence/predictive_programming/fiction_encoding/tolkien/ARTICLE-palantir-analysis.md" TargetMode="External"/><Relationship Id="rId166" Type="http://schemas.openxmlformats.org/officeDocument/2006/relationships/hyperlink" Target="/timeline/evt-1814-ce-aftermath-of-1812-russian-pursuit-to-paris" TargetMode="External"/><Relationship Id="rId167" Type="http://schemas.openxmlformats.org/officeDocument/2006/relationships/hyperlink" Target="/influence/predictive_programming/fiction_encoding/wells/massacre-of-mankind-2017-reference.md" TargetMode="External"/><Relationship Id="rId168" Type="http://schemas.openxmlformats.org/officeDocument/2006/relationships/hyperlink" Target="/timeline/evt-pyramids-myths-vs-reality" TargetMode="External"/><Relationship Id="rId169" Type="http://schemas.openxmlformats.org/officeDocument/2006/relationships/hyperlink" Target="https://chronologia.org/en/how_it_was/04_10.html" TargetMode="External"/><Relationship Id="rId170" Type="http://schemas.openxmlformats.org/officeDocument/2006/relationships/hyperlink" Target="https://www.geopolymer.org" TargetMode="External"/><Relationship Id="rId171" Type="http://schemas.openxmlformats.org/officeDocument/2006/relationships/hyperlink" Target="/timeline/evt-geopolymer-concrete-horde-secret" TargetMode="External"/><Relationship Id="rId172" Type="http://schemas.openxmlformats.org/officeDocument/2006/relationships/hyperlink" Target="https://en.wikipedia.org/wiki/Cronus" TargetMode="External"/><Relationship Id="rId173" Type="http://schemas.openxmlformats.org/officeDocument/2006/relationships/hyperlink" Target="/timeline/evt-proto-saturn-joins-the-sun-s-orbit" TargetMode="External"/><Relationship Id="rId174" Type="http://schemas.openxmlformats.org/officeDocument/2006/relationships/hyperlink" Target="/timeline/evt-atlantis-and-the-tree-of-knowledge" TargetMode="External"/><Relationship Id="rId175" Type="http://schemas.openxmlformats.org/officeDocument/2006/relationships/hyperlink" Target="/timeline/evt-absu-layers-surrounded-planets" TargetMode="External"/><Relationship Id="rId176" Type="http://schemas.openxmlformats.org/officeDocument/2006/relationships/hyperlink" Target="/timeline/evt-northern-configuration" TargetMode="External"/><Relationship Id="rId177" Type="http://schemas.openxmlformats.org/officeDocument/2006/relationships/hyperlink" Target="/timeline/evt-3-plasmoids-southern-hemisphere" TargetMode="External"/><Relationship Id="rId178" Type="http://schemas.openxmlformats.org/officeDocument/2006/relationships/hyperlink" Target="/timeline/evt-3147-bce-the-golden-age-ends-violently" TargetMode="External"/><Relationship Id="rId179" Type="http://schemas.openxmlformats.org/officeDocument/2006/relationships/hyperlink" Target="/timeline/evt-3147-bce-the-dark-ages" TargetMode="External"/><Relationship Id="rId180" Type="http://schemas.openxmlformats.org/officeDocument/2006/relationships/hyperlink" Target="https://saturniancosmology.org/mech.php" TargetMode="External"/><Relationship Id="rId181" Type="http://schemas.openxmlformats.org/officeDocument/2006/relationships/hyperlink" Target="https://www.thunderbolts.info/wp/2014/12/19/never-the-twain-shall-meet/" TargetMode="External"/><Relationship Id="rId182" Type="http://schemas.openxmlformats.org/officeDocument/2006/relationships/hyperlink" Target="https://www.biblegateway.com/passage/?search=Genesis+7%3A4&amp;version=KJV" TargetMode="External"/><Relationship Id="rId183" Type="http://schemas.openxmlformats.org/officeDocument/2006/relationships/hyperlink" Target="https://www.biblegateway.com/passage/?search=Isaiah+30%3A26&amp;version=KJV" TargetMode="External"/><Relationship Id="rId184" Type="http://schemas.openxmlformats.org/officeDocument/2006/relationships/hyperlink" Target="https://saturniancosmology.org/polar.php" TargetMode="External"/><Relationship Id="rId185" Type="http://schemas.openxmlformats.org/officeDocument/2006/relationships/hyperlink" Target="https://saturniancosmology.org/time.php" TargetMode="External"/><Relationship Id="rId186" Type="http://schemas.openxmlformats.org/officeDocument/2006/relationships/hyperlink" Target="https://saturniancosmology.org/intro.php" TargetMode="External"/><Relationship Id="rId187" Type="http://schemas.openxmlformats.org/officeDocument/2006/relationships/hyperlink" Target="https://www.biblegateway.com/passage/?search=Genesis+1&amp;version=KJV" TargetMode="External"/><Relationship Id="rId188" Type="http://schemas.openxmlformats.org/officeDocument/2006/relationships/hyperlink" Target="https://en.wikipedia.org/wiki/Week#History" TargetMode="External"/><Relationship Id="rId189" Type="http://schemas.openxmlformats.org/officeDocument/2006/relationships/hyperlink" Target="https://www.youtube.com/watch?v=oophJNlP-fk" TargetMode="External"/><Relationship Id="rId190" Type="http://schemas.openxmlformats.org/officeDocument/2006/relationships/hyperlink" Target="/history/chronology/investigations/golden-age-event-dates.md" TargetMode="External"/><Relationship Id="rId191" Type="http://schemas.openxmlformats.org/officeDocument/2006/relationships/hyperlink" Target="/influence/predictive_programming/fiction_encoding/fiction-presented-as-fact-investigation.md" TargetMode="External"/><Relationship Id="rId192" Type="http://schemas.openxmlformats.org/officeDocument/2006/relationships/hyperlink" Target="/timeline/evt-controlled-opposition-managed-disclosure" TargetMode="External"/><Relationship Id="rId193" Type="http://schemas.openxmlformats.org/officeDocument/2006/relationships/hyperlink" Target="https://en.wikipedia.org/wiki/The_Wizard_of_Oz_(1939_film)" TargetMode="External"/><Relationship Id="rId194" Type="http://schemas.openxmlformats.org/officeDocument/2006/relationships/hyperlink" Target="/timeline/evt-the-giants-of-the-rus-horde" TargetMode="External"/><Relationship Id="rId195" Type="http://schemas.openxmlformats.org/officeDocument/2006/relationships/hyperlink" Target="https://en.wikipedia.org/wiki/Florence_Deeks" TargetMode="External"/><Relationship Id="rId196" Type="http://schemas.openxmlformats.org/officeDocument/2006/relationships/hyperlink" Target="https://en.wikipedia.org/wiki/Active_Denial_System" TargetMode="External"/><Relationship Id="rId197" Type="http://schemas.openxmlformats.org/officeDocument/2006/relationships/hyperlink" Target="https://en.wikipedia.org/wiki/The_War_of_the_Worlds_(1938_radio_drama)" TargetMode="External"/><Relationship Id="rId198" Type="http://schemas.openxmlformats.org/officeDocument/2006/relationships/hyperlink" Target="/timeline/evt-american-chestnut-blight-martian" TargetMode="External"/><Relationship Id="rId199" Type="http://schemas.openxmlformats.org/officeDocument/2006/relationships/hyperlink" Target="/influence/predictive_programming/fiction_encoding/compromised-court-cases-declared-reality-investigation.md" TargetMode="External"/><Relationship Id="rId200" Type="http://schemas.openxmlformats.org/officeDocument/2006/relationships/hyperlink" Target="/timeline/evt-1421-ce-meteorite-falls-on-yaroslavl" TargetMode="External"/><Relationship Id="rId201" Type="http://schemas.openxmlformats.org/officeDocument/2006/relationships/hyperlink" Target="/timeline/evt-language-of-the-deep-state" TargetMode="External"/><Relationship Id="rId202" Type="http://schemas.openxmlformats.org/officeDocument/2006/relationships/hyperlink" Target="/influence/predictive_programming/fiction_encoding/thompson/thompson-managed-disclosure-investigation.md" TargetMode="External"/><Relationship Id="rId203" Type="http://schemas.openxmlformats.org/officeDocument/2006/relationships/hyperlink" Target="/influence/predictive_programming/fiction_encoding/stoker/index-dracula.md" TargetMode="External"/><Relationship Id="rId204" Type="http://schemas.openxmlformats.org/officeDocument/2006/relationships/hyperlink" Target="/timeline/evt-1300-ce-14th-century-ce-the-great-expansion-triumph-and-betr" TargetMode="External"/><Relationship Id="rId205" Type="http://schemas.openxmlformats.org/officeDocument/2006/relationships/hyperlink" Target="https://paradigmthreat.net/influence/predictive_programming/fiction_encoding/ed-wood-plan9/index-ed-wood-plan9-investigation" TargetMode="External"/><Relationship Id="rId206" Type="http://schemas.openxmlformats.org/officeDocument/2006/relationships/hyperlink" Target="https://paradigmthreat.net/influence/predictive_programming/fiction_encoding/grrm/index-george-rr-martin-world-of-ice-and-fire-investigation.md" TargetMode="External"/><Relationship Id="rId207" Type="http://schemas.openxmlformats.org/officeDocument/2006/relationships/hyperlink" Target="/history/chronology/page.md" TargetMode="External"/><Relationship Id="rId208" Type="http://schemas.openxmlformats.org/officeDocument/2006/relationships/hyperlink" Target="/cosmos/mars/investigations/index-mars.md" TargetMode="External"/><Relationship Id="rId209" Type="http://schemas.openxmlformats.org/officeDocument/2006/relationships/hyperlink" Target="https://en.wikipedia.org/wiki/Red_Book_of_Hergest" TargetMode="External"/><Relationship Id="rId210" Type="http://schemas.openxmlformats.org/officeDocument/2006/relationships/hyperlink" Target="https://paradigmthreat.net/influence/predictive_programming/fiction_encoding/princess-bride/index-princess-bride-andronicus-fezzik-investigation.md" TargetMode="External"/><Relationship Id="rId211" Type="http://schemas.openxmlformats.org/officeDocument/2006/relationships/hyperlink" Target="https://en.wikipedia.org/wiki/Nazi_book_burnings" TargetMode="External"/><Relationship Id="rId212" Type="http://schemas.openxmlformats.org/officeDocument/2006/relationships/hyperlink" Target="/timeline/evt-mars-literature-as-reclassified-nonfiction" TargetMode="External"/><Relationship Id="rId213" Type="http://schemas.openxmlformats.org/officeDocument/2006/relationships/hyperlink" Target="/timeline/evt-historical-antibodies-pattern" TargetMode="External"/><Relationship Id="rId214" Type="http://schemas.openxmlformats.org/officeDocument/2006/relationships/hyperlink" Target="/cosmos/mars/investigations/mars-fiction-survey.md" TargetMode="External"/><Relationship Id="rId215" Type="http://schemas.openxmlformats.org/officeDocument/2006/relationships/hyperlink" Target="https://chronologia.org/en/how_it_was/08_21.html" TargetMode="External"/><Relationship Id="rId216" Type="http://schemas.openxmlformats.org/officeDocument/2006/relationships/hyperlink" Target="/timeline/evt-deep-state-the-census-naming" TargetMode="External"/><Relationship Id="rId217" Type="http://schemas.openxmlformats.org/officeDocument/2006/relationships/hyperlink" Target="/timeline/evt-slave-trades-and-the-horde-fracture" TargetMode="External"/><Relationship Id="rId218" Type="http://schemas.openxmlformats.org/officeDocument/2006/relationships/hyperlink" Target="/timeline/evt-jesuits-make-pilgrimage-to" TargetMode="External"/><Relationship Id="rId219" Type="http://schemas.openxmlformats.org/officeDocument/2006/relationships/hyperlink" Target="/timeline/evt-1613-ce-romanovs-zakharyin-yurievs-dynasty-takes-the-throne" TargetMode="External"/><Relationship Id="rId220" Type="http://schemas.openxmlformats.org/officeDocument/2006/relationships/hyperlink" Target="/timeline/evt-gregorian-calendar-makes-slight" TargetMode="External"/><Relationship Id="rId221" Type="http://schemas.openxmlformats.org/officeDocument/2006/relationships/hyperlink" Target="/timeline/evt-1627-ce-deep-state-erases-russian-empire-from-all-chronology" TargetMode="External"/><Relationship Id="rId222" Type="http://schemas.openxmlformats.org/officeDocument/2006/relationships/hyperlink" Target="/timeline/evt-censorship-book-burning-from" TargetMode="External"/><Relationship Id="rId223" Type="http://schemas.openxmlformats.org/officeDocument/2006/relationships/hyperlink" Target="/timeline/evt-russian-intellectual-emigration" TargetMode="External"/><Relationship Id="rId224" Type="http://schemas.openxmlformats.org/officeDocument/2006/relationships/hyperlink" Target="/events/false_flag/investigations/09-11-investigation.md" TargetMode="External"/><Relationship Id="rId225" Type="http://schemas.openxmlformats.org/officeDocument/2006/relationships/hyperlink" Target="/timeline/evt-mars-contacts-timeline" TargetMode="External"/><Relationship Id="rId226" Type="http://schemas.openxmlformats.org/officeDocument/2006/relationships/hyperlink" Target="https://jamesperloff.net/pearl-harbor-roosevelts-911/" TargetMode="External"/><Relationship Id="rId227" Type="http://schemas.openxmlformats.org/officeDocument/2006/relationships/hyperlink" Target="https://apjjf.org/-Mark-Selden/2414/article.html" TargetMode="External"/><Relationship Id="rId228" Type="http://schemas.openxmlformats.org/officeDocument/2006/relationships/hyperlink" Target="https://en.wikipedia.org/wiki/Battle_of_Los_Angeles" TargetMode="External"/><Relationship Id="rId229" Type="http://schemas.openxmlformats.org/officeDocument/2006/relationships/hyperlink" Target="https://www.falseflag.info/pearl-harbor/" TargetMode="External"/><Relationship Id="rId230" Type="http://schemas.openxmlformats.org/officeDocument/2006/relationships/hyperlink" Target="https://hofs.online/the-encyclopedia-of-false-flag-staged-operations/" TargetMode="External"/><Relationship Id="rId231" Type="http://schemas.openxmlformats.org/officeDocument/2006/relationships/hyperlink" Target="https://en.wikipedia.org/wiki/McCollum_memo" TargetMode="External"/><Relationship Id="rId232" Type="http://schemas.openxmlformats.org/officeDocument/2006/relationships/hyperlink" Target="https://en.wikipedia.org/wiki/Pearl_Harbor_advance-knowledge_conspiracy_theory" TargetMode="External"/><Relationship Id="rId233" Type="http://schemas.openxmlformats.org/officeDocument/2006/relationships/hyperlink" Target="https://www.ibiblio.org/pha/myths/Missing_Carriers.html" TargetMode="External"/><Relationship Id="rId234" Type="http://schemas.openxmlformats.org/officeDocument/2006/relationships/hyperlink" Target="https://cstms.berkeley.edu/current-events/napalm-in-world-war-ii-invention-test-the-bat-bomb-and-incinerating-japan/" TargetMode="External"/><Relationship Id="rId235" Type="http://schemas.openxmlformats.org/officeDocument/2006/relationships/hyperlink" Target="http://heiwaco.tripod.com/bomb.htm" TargetMode="External"/><Relationship Id="rId236" Type="http://schemas.openxmlformats.org/officeDocument/2006/relationships/hyperlink" Target="https://en.wikipedia.org/wiki/Radiation_hormesis" TargetMode="External"/><Relationship Id="rId237" Type="http://schemas.openxmlformats.org/officeDocument/2006/relationships/hyperlink" Target="https://en.wikipedia.org/wiki/Reichstag_Fire_Decree" TargetMode="External"/><Relationship Id="rId238" Type="http://schemas.openxmlformats.org/officeDocument/2006/relationships/hyperlink" Target="https://en.wikipedia.org/wiki/Gulf_of_Tonkin_incident" TargetMode="External"/><Relationship Id="rId239" Type="http://schemas.openxmlformats.org/officeDocument/2006/relationships/hyperlink" Target="https://www.whatreallyhappened.com/WRHARTICLES/pearl.php" TargetMode="External"/><Relationship Id="rId240" Type="http://schemas.openxmlformats.org/officeDocument/2006/relationships/hyperlink" Target="/timeline/evt-british-empire-as-deep-state" TargetMode="External"/><Relationship Id="rId241" Type="http://schemas.openxmlformats.org/officeDocument/2006/relationships/hyperlink" Target="https://en.wikipedia.org/wiki/Government_reform_of_Peter_the_Great" TargetMode="External"/><Relationship Id="rId242" Type="http://schemas.openxmlformats.org/officeDocument/2006/relationships/hyperlink" Target="https://www.prlib.ru/en/history/619018" TargetMode="External"/><Relationship Id="rId243" Type="http://schemas.openxmlformats.org/officeDocument/2006/relationships/hyperlink" Target="https://en.wikipedia.org/wiki/Anti-Russian_sentiment#18th_and_19th_centuries" TargetMode="External"/><Relationship Id="rId244" Type="http://schemas.openxmlformats.org/officeDocument/2006/relationships/hyperlink" Target="https://www.rt.com/russia/569147-zakharova-odessa-monuments-history/" TargetMode="External"/><Relationship Id="rId245" Type="http://schemas.openxmlformats.org/officeDocument/2006/relationships/hyperlink" Target="https://chronologia.org/en/how_it_was/05.html#the7" TargetMode="External"/><Relationship Id="rId246" Type="http://schemas.openxmlformats.org/officeDocument/2006/relationships/hyperlink" Target="https://chronologia.org/en/how_it_was/06_21.html#the628" TargetMode="External"/><Relationship Id="rId247" Type="http://schemas.openxmlformats.org/officeDocument/2006/relationships/hyperlink" Target="/timeline/evt-1300-ce-european-religious" TargetMode="External"/><Relationship Id="rId248" Type="http://schemas.openxmlformats.org/officeDocument/2006/relationships/hyperlink" Target="/timeline/evt-1542-ce-the-holy-inquisition" TargetMode="External"/><Relationship Id="rId249" Type="http://schemas.openxmlformats.org/officeDocument/2006/relationships/hyperlink" Target="https://chronologia.org/en/how_it_was/07.html" TargetMode="External"/><Relationship Id="rId250" Type="http://schemas.openxmlformats.org/officeDocument/2006/relationships/hyperlink" Target="https://chronologia.org/en/how_it_was/08.html" TargetMode="External"/><Relationship Id="rId251" Type="http://schemas.openxmlformats.org/officeDocument/2006/relationships/hyperlink" Target="/timeline/evt-romanov-seizure-fracturing-of" TargetMode="External"/><Relationship Id="rId252" Type="http://schemas.openxmlformats.org/officeDocument/2006/relationships/hyperlink" Target="/timeline/evt-jesuit-restoration-mission-pattern" TargetMode="External"/><Relationship Id="rId253" Type="http://schemas.openxmlformats.org/officeDocument/2006/relationships/hyperlink" Target="https://en.wikipedia.org/wiki/Partition_of_India" TargetMode="External"/><Relationship Id="rId254" Type="http://schemas.openxmlformats.org/officeDocument/2006/relationships/hyperlink" Target="https://en.wikipedia.org/wiki/Balfour_Declaration" TargetMode="External"/><Relationship Id="rId255" Type="http://schemas.openxmlformats.org/officeDocument/2006/relationships/hyperlink" Target="https://en.wikipedia.org/wiki/Scramble_for_Africa" TargetMode="External"/><Relationship Id="rId256" Type="http://schemas.openxmlformats.org/officeDocument/2006/relationships/hyperlink" Target="https://en.wikipedia.org/wiki/Opium_Wars" TargetMode="External"/><Relationship Id="rId257" Type="http://schemas.openxmlformats.org/officeDocument/2006/relationships/hyperlink" Target="https://en.wikipedia.org/wiki/Meiji_Restoration" TargetMode="External"/><Relationship Id="rId258" Type="http://schemas.openxmlformats.org/officeDocument/2006/relationships/hyperlink" Target="/governance/war/investigations/pitcairn-bounty-mutiny-sovereignty-and-narratives.md#21-captain-bligh--books-naval-record-and-the-screens-tyrant-tahiti-as-suppressed-trigger" TargetMode="External"/><Relationship Id="rId259" Type="http://schemas.openxmlformats.org/officeDocument/2006/relationships/hyperlink" Target="/governance/war/investigations/pitcairn-bounty-mutiny-sovereignty-and-narratives.md" TargetMode="External"/><Relationship Id="rId260" Type="http://schemas.openxmlformats.org/officeDocument/2006/relationships/hyperlink" Target="/governance/war/investigations/pitcairn-island-timeline.md" TargetMode="External"/><Relationship Id="rId261" Type="http://schemas.openxmlformats.org/officeDocument/2006/relationships/hyperlink" Target="https://en.wikipedia.org/wiki/Monita_Secreta" TargetMode="External"/><Relationship Id="rId262" Type="http://schemas.openxmlformats.org/officeDocument/2006/relationships/hyperlink" Target="/timeline/evt-deep-state-redacts-christianity-into-jesuit-catholicism" TargetMode="External"/><Relationship Id="rId263" Type="http://schemas.openxmlformats.org/officeDocument/2006/relationships/hyperlink" Target="https://en.wikipedia.org/wiki/Ignatius_of_Loyola" TargetMode="External"/><Relationship Id="rId264" Type="http://schemas.openxmlformats.org/officeDocument/2006/relationships/hyperlink" Target="https://en.wikipedia.org/wiki/Spiritual_Exercises_of_Ignatius_of_Loyola" TargetMode="External"/><Relationship Id="rId265" Type="http://schemas.openxmlformats.org/officeDocument/2006/relationships/hyperlink" Target="https://sofrep.com/news/soldiers-god-catholicisms-special-operations-force/" TargetMode="External"/><Relationship Id="rId266" Type="http://schemas.openxmlformats.org/officeDocument/2006/relationships/hyperlink" Target="https://en.wikipedia.org/wiki/Maya_codices" TargetMode="External"/><Relationship Id="rId267" Type="http://schemas.openxmlformats.org/officeDocument/2006/relationships/hyperlink" Target="https://en.wikipedia.org/wiki/Diego_de_Landa" TargetMode="External"/><Relationship Id="rId268" Type="http://schemas.openxmlformats.org/officeDocument/2006/relationships/hyperlink" Target="https://en.wikipedia.org/wiki/Jesuit_reduction" TargetMode="External"/><Relationship Id="rId269" Type="http://schemas.openxmlformats.org/officeDocument/2006/relationships/hyperlink" Target="https://en.wikipedia.org/wiki/Carolingian_Empire" TargetMode="External"/><Relationship Id="rId270" Type="http://schemas.openxmlformats.org/officeDocument/2006/relationships/hyperlink" Target="/timeline/evt-building-the-new-chronology-appendix" TargetMode="External"/><Relationship Id="rId271" Type="http://schemas.openxmlformats.org/officeDocument/2006/relationships/hyperlink" Target="https://en.wikipedia.org/wiki/Al-Aqsa_Mosque" TargetMode="External"/><Relationship Id="rId272" Type="http://schemas.openxmlformats.org/officeDocument/2006/relationships/hyperlink" Target="/timeline/evt-jesuits-missions-convert-asians-to-buddhism" TargetMode="External"/><Relationship Id="rId273" Type="http://schemas.openxmlformats.org/officeDocument/2006/relationships/hyperlink" Target="/timeline/evt-1718-ce-secret-society-of-jesus-goes-public" TargetMode="External"/><Relationship Id="rId274" Type="http://schemas.openxmlformats.org/officeDocument/2006/relationships/hyperlink" Target="/timeline/evt-from-missionaries-to-corporations" TargetMode="External"/><Relationship Id="rId275" Type="http://schemas.openxmlformats.org/officeDocument/2006/relationships/hyperlink" Target="https://en.wikipedia.org/wiki/18_Brumaire" TargetMode="External"/><Relationship Id="rId276" Type="http://schemas.openxmlformats.org/officeDocument/2006/relationships/hyperlink" Target="https://en.wikipedia.org/wiki/Rosetta_Stone" TargetMode="External"/><Relationship Id="rId277" Type="http://schemas.openxmlformats.org/officeDocument/2006/relationships/hyperlink" Target="https://en.wikipedia.org/wiki/Roller_coaster" TargetMode="External"/><Relationship Id="rId278" Type="http://schemas.openxmlformats.org/officeDocument/2006/relationships/hyperlink" Target="https://en.wikipedia.org/wiki/French_Aerostatic_Corps" TargetMode="External"/><Relationship Id="rId279" Type="http://schemas.openxmlformats.org/officeDocument/2006/relationships/hyperlink" Target="/governance/war/investigations/napoleonic-advanced-artillery-airship-investigation.md" TargetMode="External"/><Relationship Id="rId280" Type="http://schemas.openxmlformats.org/officeDocument/2006/relationships/hyperlink" Target="https://en.wikipedia.org/wiki/Grande_Arm%C3%A9e" TargetMode="External"/><Relationship Id="rId281" Type="http://schemas.openxmlformats.org/officeDocument/2006/relationships/hyperlink" Target="https://en.wikipedia.org/wiki/Louisiana_Purchase" TargetMode="External"/><Relationship Id="rId282" Type="http://schemas.openxmlformats.org/officeDocument/2006/relationships/hyperlink" Target="https://en.wikipedia.org/wiki/Battle_of_Borodino" TargetMode="External"/><Relationship Id="rId283" Type="http://schemas.openxmlformats.org/officeDocument/2006/relationships/hyperlink" Target="/timeline/evt-1880-ce-tchaikovsky-releases-1812-overture" TargetMode="External"/><Relationship Id="rId284" Type="http://schemas.openxmlformats.org/officeDocument/2006/relationships/hyperlink" Target="/governance/war/investigations/operation-paperclip-nazi-continuity-and-wwii-narrative-investigation.md" TargetMode="External"/><Relationship Id="rId285" Type="http://schemas.openxmlformats.org/officeDocument/2006/relationships/hyperlink" Target="/governance/war/investigations/reverse-crusades-comparison.md" TargetMode="External"/><Relationship Id="rId286" Type="http://schemas.openxmlformats.org/officeDocument/2006/relationships/hyperlink" Target="/timeline/evt-2000-ce-21st-century-the-final-struggle-reverse-crusade-iv" TargetMode="External"/><Relationship Id="rId287" Type="http://schemas.openxmlformats.org/officeDocument/2006/relationships/hyperlink" Target="/timeline/evt-world-war-ii-reverse-crusade-iii" TargetMode="External"/><Relationship Id="rId288" Type="http://schemas.openxmlformats.org/officeDocument/2006/relationships/hyperlink" Target="/history/mudflood" TargetMode="External"/><Relationship Id="rId289" Type="http://schemas.openxmlformats.org/officeDocument/2006/relationships/hyperlink" Target="/governance/war/investigations/vril-society.md" TargetMode="External"/><Relationship Id="rId290" Type="http://schemas.openxmlformats.org/officeDocument/2006/relationships/hyperlink" Target="/timeline/evt-weather-control-from-martian" TargetMode="External"/><Relationship Id="rId291" Type="http://schemas.openxmlformats.org/officeDocument/2006/relationships/hyperlink" Target="/timeline/evt-2009-ce-cern-s-lhc-portal" TargetMode="External"/><Relationship Id="rId292" Type="http://schemas.openxmlformats.org/officeDocument/2006/relationships/hyperlink" Target="/timeline/evt-challenging-established-physics" TargetMode="External"/><Relationship Id="rId293" Type="http://schemas.openxmlformats.org/officeDocument/2006/relationships/hyperlink" Target="/timeline/evt-nuclear-energy-bomb-most" TargetMode="External"/><Relationship Id="rId294" Type="http://schemas.openxmlformats.org/officeDocument/2006/relationships/hyperlink" Target="/science/geoengineering/weather-modification-investigation" TargetMode="External"/><Relationship Id="rId295" Type="http://schemas.openxmlformats.org/officeDocument/2006/relationships/hyperlink" Target="/science/havana_syndrome/havana-syndrome-investigation.md" TargetMode="External"/><Relationship Id="rId296" Type="http://schemas.openxmlformats.org/officeDocument/2006/relationships/hyperlink" Target="/science/cern_portal/index.md" TargetMode="External"/><Relationship Id="rId297" Type="http://schemas.openxmlformats.org/officeDocument/2006/relationships/hyperlink" Target="/cosmos/mars/investigations/mars-stock-market-correlation" TargetMode="External"/><Relationship Id="rId298" Type="http://schemas.openxmlformats.org/officeDocument/2006/relationships/hyperlink" Target="/science/telepathy/remote_viewing/aether-consciousness.md" TargetMode="External"/><Relationship Id="rId299" Type="http://schemas.openxmlformats.org/officeDocument/2006/relationships/hyperlink" Target="/science/nukes/investigations/nukes-dont-exist-investigation.md" TargetMode="External"/><Relationship Id="rId300" Type="http://schemas.openxmlformats.org/officeDocument/2006/relationships/hyperlink" Target="/timeline/evt-19th-century-weapons" TargetMode="External"/><Relationship Id="rId301" Type="http://schemas.openxmlformats.org/officeDocument/2006/relationships/hyperlink" Target="/science/maxwell_aether/01-burden-of-proof-debate.md" TargetMode="External"/><Relationship Id="rId302" Type="http://schemas.openxmlformats.org/officeDocument/2006/relationships/hyperlink" Target="/cosmos/cosmology/saturnian/index-safireproject.md" TargetMode="External"/><Relationship Id="rId303" Type="http://schemas.openxmlformats.org/officeDocument/2006/relationships/hyperlink" Target="/timeline/evt-controlled-opposition-appendix" TargetMode="External"/><Relationship Id="rId304" Type="http://schemas.openxmlformats.org/officeDocument/2006/relationships/hyperlink" Target="/timeline/evt-1492-ce-the-apocalypse-crusade" TargetMode="External"/><Relationship Id="rId305" Type="http://schemas.openxmlformats.org/officeDocument/2006/relationships/hyperlink" Target="/timeline/evt-1666-ce-london-burns-to-the-ground-sept-2-6-1666" TargetMode="External"/><Relationship Id="rId306" Type="http://schemas.openxmlformats.org/officeDocument/2006/relationships/hyperlink" Target="/timeline/evt-trail-tears-century-long-erasure" TargetMode="External"/><Relationship Id="rId307" Type="http://schemas.openxmlformats.org/officeDocument/2006/relationships/hyperlink" Target="https://paradigmthreat.net/history/common-questions#q4-why-did-the-maya-civilization-collapse-why-was-it-advanced-why-does-the-mainstream-record-say-they-collapsed-over-1000-years-ago" TargetMode="External"/><Relationship Id="rId308" Type="http://schemas.openxmlformats.org/officeDocument/2006/relationships/hyperlink" Target="/history/orphan_trains/orphan-trains-investigation.md" TargetMode="External"/><Relationship Id="rId309" Type="http://schemas.openxmlformats.org/officeDocument/2006/relationships/hyperlink" Target="https://en.wikipedia.org/wiki/Donner_Party" TargetMode="External"/><Relationship Id="rId310" Type="http://schemas.openxmlformats.org/officeDocument/2006/relationships/hyperlink" Target="/history/chronology/investigations/slow-ecological-collapse-mfee-through-donner-era.md" TargetMode="External"/><Relationship Id="rId311" Type="http://schemas.openxmlformats.org/officeDocument/2006/relationships/hyperlink" Target="/timeline/evt-1833-ce-josiah-priest-american-antiquities" TargetMode="External"/><Relationship Id="rId312" Type="http://schemas.openxmlformats.org/officeDocument/2006/relationships/hyperlink" Target="https://archive.org/details/americanantiquit00prie" TargetMode="External"/><Relationship Id="rId313" Type="http://schemas.openxmlformats.org/officeDocument/2006/relationships/hyperlink" Target="/history/chronology/investigations/new-world-naming-mfee-and-colonization-memory.md#josiah-priest-american-antiquities-1833" TargetMode="External"/><Relationship Id="rId314" Type="http://schemas.openxmlformats.org/officeDocument/2006/relationships/hyperlink" Target="/history/chronology/investigations/new-world-naming-mfee-and-colonization-memory.md" TargetMode="External"/><Relationship Id="rId315" Type="http://schemas.openxmlformats.org/officeDocument/2006/relationships/hyperlink" Target="/timeline/evt-1400-ce-15th-century-ce-ottoman-conquest-of-europe" TargetMode="External"/><Relationship Id="rId316" Type="http://schemas.openxmlformats.org/officeDocument/2006/relationships/hyperlink" Target="/history/mudflood/investigations/promised-land-investigation.md" TargetMode="External"/><Relationship Id="rId317" Type="http://schemas.openxmlformats.org/officeDocument/2006/relationships/hyperlink" Target="/timeline/evt-historical-antibodies" TargetMode="External"/><Relationship Id="rId318" Type="http://schemas.openxmlformats.org/officeDocument/2006/relationships/hyperlink" Target="/timeline/evt-shakespeare-encodes-the-horde" TargetMode="External"/><Relationship Id="rId319" Type="http://schemas.openxmlformats.org/officeDocument/2006/relationships/hyperlink" Target="/timeline/evt-trump" TargetMode="External"/><Relationship Id="rId320" Type="http://schemas.openxmlformats.org/officeDocument/2006/relationships/hyperlink" Target="https://www.loc.gov/collections/george-s-patton-diaries/about-this-collection/" TargetMode="External"/><Relationship Id="rId321" Type="http://schemas.openxmlformats.org/officeDocument/2006/relationships/hyperlink" Target="/events/trump/index-trump-investigation.md" TargetMode="External"/><Relationship Id="rId322" Type="http://schemas.openxmlformats.org/officeDocument/2006/relationships/hyperlink" Target="/history/chronology/investigations/giants-infantry-guerrilla-etymology-investigation.md" TargetMode="External"/><Relationship Id="rId323" Type="http://schemas.openxmlformats.org/officeDocument/2006/relationships/hyperlink" Target="/timeline/evt-the-first-crusade-trojan-war" TargetMode="External"/><Relationship Id="rId324" Type="http://schemas.openxmlformats.org/officeDocument/2006/relationships/hyperlink" Target="/timeline/evt-giants-are-defeated-at-the-battle-of" TargetMode="External"/><Relationship Id="rId325" Type="http://schemas.openxmlformats.org/officeDocument/2006/relationships/hyperlink" Target="https://www.etymonline.com/word/infantry" TargetMode="External"/><Relationship Id="rId326" Type="http://schemas.openxmlformats.org/officeDocument/2006/relationships/hyperlink" Target="https://www.etymonline.com/word/guerrilla" TargetMode="External"/><Relationship Id="rId327" Type="http://schemas.openxmlformats.org/officeDocument/2006/relationships/hyperlink" Target="https://en.wikipedia.org/wiki/Children%27s_Crusade" TargetMode="External"/><Relationship Id="rId328" Type="http://schemas.openxmlformats.org/officeDocument/2006/relationships/hyperlink" Target="/history/chronology/investigations/two-branches-christianity-fomenko-vs-author.md" TargetMode="External"/><Relationship Id="rId329" Type="http://schemas.openxmlformats.org/officeDocument/2006/relationships/header" Target="header2.xml"/><Relationship Id="rId3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