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1.2.161</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 — Author Profiles</w:t>
      </w:r>
    </w:p>
    <w:p>
      <w:pPr>
        <w:pStyle w:val="TOC2"/>
      </w:pPr>
      <w:r>
        <w:rPr>
          <w:rFonts w:ascii="EB Garamond" w:hAnsi="EB Garamond"/>
          <w:sz w:val="19"/>
        </w:rPr>
        <w:t>Chapter 1: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1"/>
      </w:pPr>
      <w:r>
        <w:rPr>
          <w:rFonts w:ascii="Libre Franklin" w:hAnsi="Libre Franklin"/>
          <w:b/>
          <w:sz w:val="21"/>
        </w:rPr>
        <w:t>Part XVII: Appendix — Chronology</w:t>
      </w:r>
    </w:p>
    <w:p>
      <w:pPr>
        <w:pStyle w:val="TOC2"/>
      </w:pPr>
      <w:r>
        <w:rPr>
          <w:rFonts w:ascii="EB Garamond" w:hAnsi="EB Garamond"/>
          <w:sz w:val="19"/>
        </w:rPr>
        <w:t>Chapter 2: Other Challenges to Chronology</w:t>
      </w:r>
    </w:p>
    <w:p>
      <w:pPr>
        <w:pStyle w:val="TOC3"/>
      </w:pPr>
      <w:r>
        <w:rPr>
          <w:rFonts w:ascii="EB Garamond" w:hAnsi="EB Garamond"/>
          <w:i/>
          <w:color w:val="666666"/>
          <w:sz w:val="17"/>
        </w:rPr>
        <w:t>Building the New Chronology</w:t>
      </w:r>
    </w:p>
    <w:p>
      <w:pPr>
        <w:pStyle w:val="TOC2"/>
      </w:pPr>
      <w:r>
        <w:rPr>
          <w:rFonts w:ascii="EB Garamond" w:hAnsi="EB Garamond"/>
          <w:sz w:val="19"/>
        </w:rPr>
        <w:t>Chapter 3: Timeline Synchronization</w:t>
      </w:r>
    </w:p>
    <w:p>
      <w:pPr>
        <w:pStyle w:val="TOC3"/>
      </w:pPr>
      <w:r>
        <w:rPr>
          <w:rFonts w:ascii="EB Garamond" w:hAnsi="EB Garamond"/>
          <w:i/>
          <w:color w:val="666666"/>
          <w:sz w:val="17"/>
        </w:rPr>
        <w:t>Year-Length and Calendar Evidence</w:t>
      </w:r>
    </w:p>
    <w:p>
      <w:pPr>
        <w:pStyle w:val="TOC3"/>
      </w:pPr>
      <w:r>
        <w:rPr>
          <w:rFonts w:ascii="EB Garamond" w:hAnsi="EB Garamond"/>
          <w:i/>
          <w:color w:val="666666"/>
          <w:sz w:val="17"/>
        </w:rPr>
        <w:t>Known Contacts with Mars: A Chronological Dossier</w:t>
      </w:r>
    </w:p>
    <w:p>
      <w:pPr>
        <w:pStyle w:val="TOC2"/>
      </w:pPr>
      <w:r>
        <w:rPr>
          <w:rFonts w:ascii="EB Garamond" w:hAnsi="EB Garamond"/>
          <w:sz w:val="19"/>
        </w:rPr>
        <w:t>Chapter 4: Pyramids: Myths vs Reality</w:t>
      </w:r>
    </w:p>
    <w:p>
      <w:pPr>
        <w:pStyle w:val="TOC3"/>
      </w:pPr>
      <w:r>
        <w:rPr>
          <w:rFonts w:ascii="EB Garamond" w:hAnsi="EB Garamond"/>
          <w:i/>
          <w:color w:val="666666"/>
          <w:sz w:val="17"/>
        </w:rPr>
        <w:t>Fomenko and the Pyramid Question</w:t>
      </w:r>
    </w:p>
    <w:p>
      <w:pPr>
        <w:pStyle w:val="TOC2"/>
      </w:pPr>
      <w:r>
        <w:rPr>
          <w:rFonts w:ascii="EB Garamond" w:hAnsi="EB Garamond"/>
          <w:sz w:val="19"/>
        </w:rPr>
        <w:t>Chapter 5: Seven Days and other Creation Narratives</w:t>
      </w:r>
    </w:p>
    <w:p>
      <w:pPr>
        <w:pStyle w:val="TOC3"/>
      </w:pPr>
      <w:r>
        <w:rPr>
          <w:rFonts w:ascii="EB Garamond" w:hAnsi="EB Garamond"/>
          <w:i/>
          <w:color w:val="666666"/>
          <w:sz w:val="17"/>
        </w:rPr>
        <w:t>Golden Age: Talbott Documentary Sequence (Table)</w:t>
      </w:r>
    </w:p>
    <w:p>
      <w:pPr>
        <w:pStyle w:val="TOC1"/>
      </w:pPr>
      <w:r>
        <w:rPr>
          <w:rFonts w:ascii="Libre Franklin" w:hAnsi="Libre Franklin"/>
          <w:b/>
          <w:sz w:val="21"/>
        </w:rPr>
        <w:t>Part XVIII: Appendix — Narrative Control</w:t>
      </w:r>
    </w:p>
    <w:p>
      <w:pPr>
        <w:pStyle w:val="TOC2"/>
      </w:pPr>
      <w:r>
        <w:rPr>
          <w:rFonts w:ascii="EB Garamond" w:hAnsi="EB Garamond"/>
          <w:sz w:val="19"/>
        </w:rPr>
        <w:t>Chapter 6: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3"/>
      </w:pPr>
      <w:r>
        <w:rPr>
          <w:rFonts w:ascii="EB Garamond" w:hAnsi="EB Garamond"/>
          <w:i/>
          <w:color w:val="666666"/>
          <w:sz w:val="17"/>
        </w:rPr>
        <w:t>Asimov: Three Laws and Marx Encoding — Extended Evidence</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7: Controlled Opposition</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w:t>
      </w:r>
    </w:p>
    <w:p>
      <w:pPr>
        <w:pStyle w:val="TOC3"/>
      </w:pPr>
      <w:r>
        <w:rPr>
          <w:rFonts w:ascii="EB Garamond" w:hAnsi="EB Garamond"/>
          <w:i/>
          <w:color w:val="666666"/>
          <w:sz w:val="17"/>
        </w:rPr>
        <w:t>Controlled Opposition: Managed Disclosure and Gatekeeping</w:t>
      </w:r>
    </w:p>
    <w:p>
      <w:pPr>
        <w:pStyle w:val="TOC2"/>
      </w:pPr>
      <w:r>
        <w:rPr>
          <w:rFonts w:ascii="EB Garamond" w:hAnsi="EB Garamond"/>
          <w:sz w:val="19"/>
        </w:rPr>
        <w:t>Chapter 8: Censorship and Book Burning</w:t>
      </w:r>
    </w:p>
    <w:p>
      <w:pPr>
        <w:pStyle w:val="TOC3"/>
      </w:pPr>
      <w:r>
        <w:rPr>
          <w:rFonts w:ascii="EB Garamond" w:hAnsi="EB Garamond"/>
          <w:i/>
          <w:color w:val="666666"/>
          <w:sz w:val="17"/>
        </w:rPr>
        <w:t>Censorship: Pattern (Appendix)</w:t>
      </w:r>
    </w:p>
    <w:p>
      <w:pPr>
        <w:pStyle w:val="TOC3"/>
      </w:pPr>
      <w:r>
        <w:rPr>
          <w:rFonts w:ascii="EB Garamond" w:hAnsi="EB Garamond"/>
          <w:i/>
          <w:color w:val="666666"/>
          <w:sz w:val="17"/>
        </w:rPr>
        <w:t>Censorship and Book Burning: The Historical Record</w:t>
      </w:r>
    </w:p>
    <w:p>
      <w:pPr>
        <w:pStyle w:val="TOC1"/>
      </w:pPr>
      <w:r>
        <w:rPr>
          <w:rFonts w:ascii="Libre Franklin" w:hAnsi="Libre Franklin"/>
          <w:b/>
          <w:sz w:val="21"/>
        </w:rPr>
        <w:t>Part XIX: Appendix — Conflict, Empire, and Manufactured War</w:t>
      </w:r>
    </w:p>
    <w:p>
      <w:pPr>
        <w:pStyle w:val="TOC2"/>
      </w:pPr>
      <w:r>
        <w:rPr>
          <w:rFonts w:ascii="EB Garamond" w:hAnsi="EB Garamond"/>
          <w:sz w:val="19"/>
        </w:rPr>
        <w:t>Chapter 9: False Flags</w:t>
      </w:r>
    </w:p>
    <w:p>
      <w:pPr>
        <w:pStyle w:val="TOC3"/>
      </w:pPr>
      <w:r>
        <w:rPr>
          <w:rFonts w:ascii="EB Garamond" w:hAnsi="EB Garamond"/>
          <w:i/>
          <w:color w:val="666666"/>
          <w:sz w:val="17"/>
        </w:rPr>
        <w:t>False Flags: Architecture (Appendix)</w:t>
      </w:r>
    </w:p>
    <w:p>
      <w:pPr>
        <w:pStyle w:val="TOC3"/>
      </w:pPr>
      <w:r>
        <w:rPr>
          <w:rFonts w:ascii="EB Garamond" w:hAnsi="EB Garamond"/>
          <w:i/>
          <w:color w:val="666666"/>
          <w:sz w:val="17"/>
        </w:rPr>
        <w:t>False Flags Investigation: Evidence Dossier</w:t>
      </w:r>
    </w:p>
    <w:p>
      <w:pPr>
        <w:pStyle w:val="TOC2"/>
      </w:pPr>
      <w:r>
        <w:rPr>
          <w:rFonts w:ascii="EB Garamond" w:hAnsi="EB Garamond"/>
          <w:sz w:val="19"/>
        </w:rPr>
        <w:t>Chapter 10: Deep State and Empire</w:t>
      </w:r>
    </w:p>
    <w:p>
      <w:pPr>
        <w:pStyle w:val="TOC3"/>
      </w:pPr>
      <w:r>
        <w:rPr>
          <w:rFonts w:ascii="EB Garamond" w:hAnsi="EB Garamond"/>
          <w:i/>
          <w:color w:val="666666"/>
          <w:sz w:val="17"/>
        </w:rPr>
        <w:t>Deep State breaks up the Hordian Empire</w:t>
      </w:r>
    </w:p>
    <w:p>
      <w:pPr>
        <w:pStyle w:val="TOC3"/>
      </w:pPr>
      <w:r>
        <w:rPr>
          <w:rFonts w:ascii="EB Garamond" w:hAnsi="EB Garamond"/>
          <w:i/>
          <w:color w:val="666666"/>
          <w:sz w:val="17"/>
        </w:rPr>
        <w:t>Slave Trades: Evidence and Horde-Fracture Thesis</w:t>
      </w:r>
    </w:p>
    <w:p>
      <w:pPr>
        <w:pStyle w:val="TOC3"/>
      </w:pPr>
      <w:r>
        <w:rPr>
          <w:rFonts w:ascii="EB Garamond" w:hAnsi="EB Garamond"/>
          <w:i/>
          <w:color w:val="666666"/>
          <w:sz w:val="17"/>
        </w:rPr>
        <w:t>British Empire as Deep State: Case Studies</w:t>
      </w:r>
    </w:p>
    <w:p>
      <w:pPr>
        <w:pStyle w:val="TOC3"/>
      </w:pPr>
      <w:r>
        <w:rPr>
          <w:rFonts w:ascii="EB Garamond" w:hAnsi="EB Garamond"/>
          <w:i/>
          <w:color w:val="666666"/>
          <w:sz w:val="17"/>
        </w:rPr>
        <w:t>Jesuit Operations: Conversion, Catholicism, and the New World</w:t>
      </w:r>
    </w:p>
    <w:p>
      <w:pPr>
        <w:pStyle w:val="TOC3"/>
      </w:pPr>
      <w:r>
        <w:rPr>
          <w:rFonts w:ascii="EB Garamond" w:hAnsi="EB Garamond"/>
          <w:i/>
          <w:color w:val="666666"/>
          <w:sz w:val="17"/>
        </w:rPr>
        <w:t>Napoleonic Wars and 1812 — Extended Evidence</w:t>
      </w:r>
    </w:p>
    <w:p>
      <w:pPr>
        <w:pStyle w:val="TOC2"/>
      </w:pPr>
      <w:r>
        <w:rPr>
          <w:rFonts w:ascii="EB Garamond" w:hAnsi="EB Garamond"/>
          <w:sz w:val="19"/>
        </w:rPr>
        <w:t>Chapter 11: Reverse Crusades and Modern Wars</w:t>
      </w:r>
    </w:p>
    <w:p>
      <w:pPr>
        <w:pStyle w:val="TOC3"/>
      </w:pPr>
      <w:r>
        <w:rPr>
          <w:rFonts w:ascii="EB Garamond" w:hAnsi="EB Garamond"/>
          <w:i/>
          <w:color w:val="666666"/>
          <w:sz w:val="17"/>
        </w:rPr>
        <w:t>The Four Reverse Crusades: A Structural Comparison</w:t>
      </w:r>
    </w:p>
    <w:p>
      <w:pPr>
        <w:pStyle w:val="TOC3"/>
      </w:pPr>
      <w:r>
        <w:rPr>
          <w:rFonts w:ascii="EB Garamond" w:hAnsi="EB Garamond"/>
          <w:i/>
          <w:color w:val="666666"/>
          <w:sz w:val="17"/>
        </w:rPr>
        <w:t>21st Century Geopolitics</w:t>
      </w:r>
    </w:p>
    <w:p>
      <w:pPr>
        <w:pStyle w:val="TOC3"/>
      </w:pPr>
      <w:r>
        <w:rPr>
          <w:rFonts w:ascii="EB Garamond" w:hAnsi="EB Garamond"/>
          <w:i/>
          <w:color w:val="666666"/>
          <w:sz w:val="17"/>
        </w:rPr>
        <w:t>World War II Aftermath</w:t>
      </w:r>
    </w:p>
    <w:p>
      <w:pPr>
        <w:pStyle w:val="TOC1"/>
      </w:pPr>
      <w:r>
        <w:rPr>
          <w:rFonts w:ascii="Libre Franklin" w:hAnsi="Libre Franklin"/>
          <w:b/>
          <w:sz w:val="21"/>
        </w:rPr>
        <w:t>Part XX: Appendix — Science, Displacement, and Antibodies</w:t>
      </w:r>
    </w:p>
    <w:p>
      <w:pPr>
        <w:pStyle w:val="TOC2"/>
      </w:pPr>
      <w:r>
        <w:rPr>
          <w:rFonts w:ascii="EB Garamond" w:hAnsi="EB Garamond"/>
          <w:sz w:val="19"/>
        </w:rPr>
        <w:t>Chapter 12: Suppressed Science and Technology</w:t>
      </w:r>
    </w:p>
    <w:p>
      <w:pPr>
        <w:pStyle w:val="TOC3"/>
      </w:pPr>
      <w:r>
        <w:rPr>
          <w:rFonts w:ascii="EB Garamond" w:hAnsi="EB Garamond"/>
          <w:i/>
          <w:color w:val="666666"/>
          <w:sz w:val="17"/>
        </w:rPr>
        <w:t>Soviet Historiography: Bogdanov and Suppressed Science</w:t>
      </w:r>
    </w:p>
    <w:p>
      <w:pPr>
        <w:pStyle w:val="TOC3"/>
      </w:pPr>
      <w:r>
        <w:rPr>
          <w:rFonts w:ascii="EB Garamond" w:hAnsi="EB Garamond"/>
          <w:i/>
          <w:color w:val="666666"/>
          <w:sz w:val="17"/>
        </w:rPr>
        <w:t>Suppressed Energy Technology: A Cross-Reference</w:t>
      </w:r>
    </w:p>
    <w:p>
      <w:pPr>
        <w:pStyle w:val="TOC3"/>
      </w:pPr>
      <w:r>
        <w:rPr>
          <w:rFonts w:ascii="EB Garamond" w:hAnsi="EB Garamond"/>
          <w:i/>
          <w:color w:val="666666"/>
          <w:sz w:val="17"/>
        </w:rPr>
        <w:t>Einstein, 1905, the Luminiferous Aether, and “Theoretical Physics” (Appendix)</w:t>
      </w:r>
    </w:p>
    <w:p>
      <w:pPr>
        <w:pStyle w:val="TOC2"/>
      </w:pPr>
      <w:r>
        <w:rPr>
          <w:rFonts w:ascii="EB Garamond" w:hAnsi="EB Garamond"/>
          <w:sz w:val="19"/>
        </w:rPr>
        <w:t>Chapter 13: Population Control and Displacement</w:t>
      </w:r>
    </w:p>
    <w:p>
      <w:pPr>
        <w:pStyle w:val="TOC3"/>
      </w:pPr>
      <w:r>
        <w:rPr>
          <w:rFonts w:ascii="EB Garamond" w:hAnsi="EB Garamond"/>
          <w:i/>
          <w:color w:val="666666"/>
          <w:sz w:val="17"/>
        </w:rPr>
        <w:t>Population Control: A Timeline (15th–21st Centuries)</w:t>
      </w:r>
    </w:p>
    <w:p>
      <w:pPr>
        <w:pStyle w:val="TOC2"/>
      </w:pPr>
      <w:r>
        <w:rPr>
          <w:rFonts w:ascii="EB Garamond" w:hAnsi="EB Garamond"/>
          <w:sz w:val="19"/>
        </w:rPr>
        <w:t>Chapter 14: Historical Antibodies: Pattern Analysis</w:t>
      </w:r>
    </w:p>
    <w:p>
      <w:pPr>
        <w:pStyle w:val="TOC3"/>
      </w:pPr>
      <w:r>
        <w:rPr>
          <w:rFonts w:ascii="EB Garamond" w:hAnsi="EB Garamond"/>
          <w:i/>
          <w:color w:val="666666"/>
          <w:sz w:val="17"/>
        </w:rPr>
        <w:t>Historical Antibodies: Detailed Profiles</w:t>
      </w:r>
    </w:p>
    <w:p>
      <w:pPr>
        <w:pStyle w:val="TOC3"/>
      </w:pPr>
      <w:r>
        <w:rPr>
          <w:rFonts w:ascii="EB Garamond" w:hAnsi="EB Garamond"/>
          <w:i/>
          <w:color w:val="666666"/>
          <w:sz w:val="17"/>
        </w:rPr>
        <w:t>Trump and the MAGA Revolution</w:t>
      </w:r>
    </w:p>
    <w:p>
      <w:pPr>
        <w:pStyle w:val="TOC1"/>
      </w:pPr>
      <w:r>
        <w:rPr>
          <w:rFonts w:ascii="Libre Franklin" w:hAnsi="Libre Franklin"/>
          <w:b/>
          <w:sz w:val="21"/>
        </w:rPr>
        <w:t>Part XXI: Appendix — Cataclysm and Memory</w:t>
      </w:r>
    </w:p>
    <w:p>
      <w:pPr>
        <w:pStyle w:val="TOC2"/>
      </w:pPr>
      <w:r>
        <w:rPr>
          <w:rFonts w:ascii="EB Garamond" w:hAnsi="EB Garamond"/>
          <w:sz w:val="19"/>
        </w:rPr>
        <w:t>Chapter 15: The MudFlood and World Cataclysm</w:t>
      </w:r>
    </w:p>
    <w:p>
      <w:pPr>
        <w:pStyle w:val="TOC3"/>
      </w:pPr>
      <w:r>
        <w:rPr>
          <w:rFonts w:ascii="EB Garamond" w:hAnsi="EB Garamond"/>
          <w:i/>
          <w:color w:val="666666"/>
          <w:sz w:val="17"/>
        </w:rPr>
        <w:t>Orphan Trains, Trail of Tears, Siberian Exile</w:t>
      </w:r>
    </w:p>
    <w:p>
      <w:pPr>
        <w:pStyle w:val="TOC3"/>
      </w:pPr>
      <w:r>
        <w:rPr>
          <w:rFonts w:ascii="EB Garamond" w:hAnsi="EB Garamond"/>
          <w:i/>
          <w:color w:val="666666"/>
          <w:sz w:val="17"/>
        </w:rPr>
        <w:t>Slow ecological collapse — MFEE through the Donner era</w:t>
      </w:r>
    </w:p>
    <w:p>
      <w:pPr>
        <w:pStyle w:val="TOC3"/>
      </w:pPr>
      <w:r>
        <w:rPr>
          <w:rFonts w:ascii="EB Garamond" w:hAnsi="EB Garamond"/>
          <w:i/>
          <w:color w:val="666666"/>
          <w:sz w:val="17"/>
        </w:rPr>
        <w:t>“New World” naming, MFEE, and colonization memory</w:t>
      </w:r>
    </w:p>
    <w:p>
      <w:pPr>
        <w:pStyle w:val="TOC2"/>
      </w:pPr>
      <w:r>
        <w:rPr>
          <w:rFonts w:ascii="EB Garamond" w:hAnsi="EB Garamond"/>
          <w:sz w:val="19"/>
        </w:rPr>
        <w:t>Chapter 16: Giants, Infantry, Guerrilla, and the Children's Crusade — Etymology</w:t>
      </w:r>
    </w:p>
    <w:p>
      <w:pPr>
        <w:pStyle w:val="TOC1"/>
      </w:pPr>
      <w:r>
        <w:rPr>
          <w:rFonts w:ascii="Libre Franklin" w:hAnsi="Libre Franklin"/>
          <w:b/>
          <w:sz w:val="21"/>
        </w:rPr>
        <w:t>Part XXII: Appendix —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 — Author Profiles</w:t>
      </w:r>
    </w:p>
    <w:p>
      <w:r>
        <w:rPr>
          <w:b w:val="0"/>
          <w:i w:val="0"/>
        </w:rPr>
        <w:t>This part collects biographical and research profiles for investigators cited in the main timeline. The hub table lists everyone; individual articles expand methods, cross-links, and key works.</w:t>
      </w:r>
    </w:p>
    <w:p>
      <w:r>
        <w:rPr>
          <w:b w:val="0"/>
          <w:i w:val="0"/>
        </w:rPr>
        <w:t xml:space="preserve">For the full appendix volume map (chronology, narrative control, conflict, science, cataclysm, credits), see </w:t>
      </w:r>
      <w:hyperlink r:id="rId11">
        <w:r>
          <w:rPr>
            <w:b w:val="0"/>
            <w:i w:val="0"/>
            <w:color w:val="B8860B"/>
          </w:rPr>
          <w:t>Appendix — Volume Contents</w:t>
        </w:r>
      </w:hyperlink>
      <w:r>
        <w:rPr>
          <w:b w:val="0"/>
          <w:i w:val="0"/>
        </w:rPr>
        <w:t>.</w:t>
      </w:r>
    </w:p>
    <w:p>
      <w:pPr>
        <w:pBdr>
          <w:bottom w:val="single" w:sz="6" w:space="1" w:color="CCCCCC"/>
        </w:pBdr>
      </w:pPr>
    </w:p>
    <w:p>
      <w:pPr>
        <w:pStyle w:val="Heading2"/>
        <w:keepNext/>
        <w:keepLines/>
      </w:pPr>
      <w:r>
        <w:t>Hub</w:t>
      </w:r>
    </w:p>
    <w:p>
      <w:pPr>
        <w:pStyle w:val="ListBullet"/>
        <w:spacing w:before="20" w:after="20"/>
      </w:pPr>
      <w:hyperlink r:id="rId12">
        <w:r>
          <w:rPr>
            <w:b w:val="0"/>
            <w:i w:val="0"/>
            <w:color w:val="B8860B"/>
            <w:sz w:val="19"/>
          </w:rPr>
          <w:t>Author Profiles</w:t>
        </w:r>
      </w:hyperlink>
      <w:r>
        <w:rPr>
          <w:b w:val="0"/>
          <w:i w:val="0"/>
          <w:sz w:val="19"/>
        </w:rPr>
        <w:t xml:space="preserve"> — table of all researchers with links to individual profiles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13">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14">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15">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16">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17">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18">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19">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20">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21">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22">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23">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24">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25">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26">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27">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28">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29">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30">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31">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32">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33">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34">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35">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36">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37">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38">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39">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40">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41">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42">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43">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44">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45">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46">
        <w:r>
          <w:rPr>
            <w:b w:val="0"/>
            <w:i w:val="0"/>
            <w:color w:val="B8860B"/>
            <w:sz w:val="19"/>
          </w:rPr>
          <w:t>HathiTrust — Khristos volumes</w:t>
        </w:r>
      </w:hyperlink>
    </w:p>
    <w:p>
      <w:pPr>
        <w:pStyle w:val="ListBullet"/>
        <w:spacing w:before="20" w:after="20"/>
      </w:pPr>
      <w:hyperlink r:id="rId47">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48">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49">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50">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51">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48">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44">
        <w:r>
          <w:rPr>
            <w:b w:val="0"/>
            <w:i w:val="0"/>
            <w:color w:val="B8860B"/>
            <w:sz w:val="19"/>
          </w:rPr>
          <w:t>Wikipedia — Nikolai Morozov</w:t>
        </w:r>
      </w:hyperlink>
    </w:p>
    <w:p>
      <w:pPr>
        <w:pStyle w:val="ListBullet"/>
        <w:spacing w:before="20" w:after="20"/>
      </w:pPr>
      <w:hyperlink r:id="rId39">
        <w:r>
          <w:rPr>
            <w:b w:val="0"/>
            <w:i w:val="0"/>
            <w:color w:val="B8860B"/>
            <w:sz w:val="19"/>
          </w:rPr>
          <w:t>Wikipedia — New Chronology (Fomenko)</w:t>
        </w:r>
      </w:hyperlink>
    </w:p>
    <w:p>
      <w:pPr>
        <w:pStyle w:val="ListBullet"/>
        <w:spacing w:before="20" w:after="20"/>
      </w:pPr>
      <w:hyperlink r:id="rId46">
        <w:r>
          <w:rPr>
            <w:b w:val="0"/>
            <w:i w:val="0"/>
            <w:color w:val="B8860B"/>
            <w:sz w:val="19"/>
          </w:rPr>
          <w:t>HathiTrust Digital Library — Morozov works</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52">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53">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54">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55">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56">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57">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58">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59">
        <w:r>
          <w:rPr>
            <w:b w:val="0"/>
            <w:i w:val="0"/>
            <w:color w:val="B8860B"/>
          </w:rPr>
          <w:t>Dave Talbott</w:t>
        </w:r>
      </w:hyperlink>
      <w:r>
        <w:rPr>
          <w:b w:val="0"/>
          <w:i w:val="0"/>
        </w:rPr>
        <w:t xml:space="preserve"> and</w:t>
      </w:r>
      <w:r>
        <w:rPr>
          <w:b w:val="0"/>
          <w:i w:val="0"/>
        </w:rPr>
        <w:t xml:space="preserve"> </w:t>
      </w:r>
      <w:hyperlink r:id="rId60">
        <w:r>
          <w:rPr>
            <w:b w:val="0"/>
            <w:i w:val="0"/>
            <w:color w:val="B8860B"/>
          </w:rPr>
          <w:t>Dwardu Cardona</w:t>
        </w:r>
      </w:hyperlink>
      <w:r>
        <w:rPr>
          <w:b w:val="0"/>
          <w:i w:val="0"/>
        </w:rPr>
        <w:t xml:space="preserve"> — is the model of Saturn as a former</w:t>
      </w:r>
      <w:r>
        <w:rPr>
          <w:b w:val="0"/>
          <w:i w:val="0"/>
        </w:rPr>
        <w:t xml:space="preserve"> </w:t>
      </w:r>
      <w:hyperlink r:id="rId61">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62">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63">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64">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65">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66">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67">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68">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53">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62">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69">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70">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71">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53">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72">
        <w:r>
          <w:rPr>
            <w:b w:val="0"/>
            <w:i w:val="0"/>
            <w:color w:val="B8860B"/>
            <w:sz w:val="19"/>
          </w:rPr>
          <w:t>Wikipedia — Wal Thornhill</w:t>
        </w:r>
      </w:hyperlink>
    </w:p>
    <w:p>
      <w:pPr>
        <w:pStyle w:val="ListBullet"/>
        <w:spacing w:before="20" w:after="20"/>
      </w:pPr>
      <w:hyperlink r:id="rId73">
        <w:r>
          <w:rPr>
            <w:b w:val="0"/>
            <w:i w:val="0"/>
            <w:color w:val="B8860B"/>
            <w:sz w:val="19"/>
          </w:rPr>
          <w:t>HoloCosmos / Holoscience.com — Thornhill's papers</w:t>
        </w:r>
      </w:hyperlink>
    </w:p>
    <w:p>
      <w:pPr>
        <w:pStyle w:val="ListBullet"/>
        <w:spacing w:before="20" w:after="20"/>
      </w:pPr>
      <w:hyperlink r:id="rId53">
        <w:r>
          <w:rPr>
            <w:b w:val="0"/>
            <w:i w:val="0"/>
            <w:color w:val="B8860B"/>
            <w:sz w:val="19"/>
          </w:rPr>
          <w:t>Thunderbolts Project — Electric Universe</w:t>
        </w:r>
      </w:hyperlink>
    </w:p>
    <w:p>
      <w:pPr>
        <w:pStyle w:val="ListBullet"/>
        <w:spacing w:before="20" w:after="20"/>
      </w:pPr>
      <w:hyperlink r:id="rId74">
        <w:r>
          <w:rPr>
            <w:b w:val="0"/>
            <w:i w:val="0"/>
            <w:color w:val="B8860B"/>
            <w:sz w:val="19"/>
          </w:rPr>
          <w:t>Wikipedia — Electric Universe</w:t>
        </w:r>
      </w:hyperlink>
    </w:p>
    <w:p>
      <w:pPr>
        <w:pStyle w:val="ListBullet"/>
        <w:spacing w:before="20" w:after="20"/>
      </w:pPr>
      <w:hyperlink r:id="rId55">
        <w:r>
          <w:rPr>
            <w:b w:val="0"/>
            <w:i w:val="0"/>
            <w:color w:val="B8860B"/>
            <w:sz w:val="19"/>
          </w:rPr>
          <w:t>Wikipedia — Hannes Alfvén</w:t>
        </w:r>
      </w:hyperlink>
    </w:p>
    <w:p>
      <w:pPr>
        <w:pStyle w:val="ListBullet"/>
        <w:spacing w:before="20" w:after="20"/>
      </w:pPr>
      <w:hyperlink r:id="rId56">
        <w:r>
          <w:rPr>
            <w:b w:val="0"/>
            <w:i w:val="0"/>
            <w:color w:val="B8860B"/>
            <w:sz w:val="19"/>
          </w:rPr>
          <w:t>SAFIRE Project</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52">
        <w:r>
          <w:rPr>
            <w:b w:val="0"/>
            <w:i w:val="0"/>
            <w:color w:val="B8860B"/>
          </w:rPr>
          <w:t>Electric Universe</w:t>
        </w:r>
      </w:hyperlink>
      <w:r>
        <w:rPr>
          <w:b w:val="0"/>
          <w:i w:val="0"/>
        </w:rPr>
        <w:t xml:space="preserve"> </w:t>
      </w:r>
      <w:r>
        <w:rPr>
          <w:b w:val="0"/>
          <w:i w:val="0"/>
        </w:rPr>
        <w:t xml:space="preserve">model of </w:t>
      </w:r>
      <w:hyperlink r:id="rId16">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75">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76">
        <w:r>
          <w:rPr>
            <w:b w:val="0"/>
            <w:i w:val="0"/>
            <w:color w:val="B8860B"/>
          </w:rPr>
          <w:t>McGraw-Hill</w:t>
        </w:r>
      </w:hyperlink>
      <w:r>
        <w:rPr>
          <w:b w:val="0"/>
          <w:i w:val="0"/>
        </w:rPr>
        <w:t>, served as an Associate Editor of</w:t>
      </w:r>
      <w:r>
        <w:rPr>
          <w:b w:val="0"/>
          <w:i w:val="0"/>
        </w:rPr>
        <w:t xml:space="preserve"> </w:t>
      </w:r>
      <w:hyperlink r:id="rId77">
        <w:r>
          <w:rPr>
            <w:b w:val="0"/>
            <w:i w:val="0"/>
            <w:color w:val="B8860B"/>
          </w:rPr>
          <w:t>Pensée</w:t>
        </w:r>
      </w:hyperlink>
      <w:r>
        <w:rPr>
          <w:b w:val="0"/>
          <w:i w:val="0"/>
        </w:rPr>
        <w:t xml:space="preserve"> magazine, and became a Senior Editor of</w:t>
      </w:r>
      <w:r>
        <w:rPr>
          <w:b w:val="0"/>
          <w:i w:val="0"/>
        </w:rPr>
        <w:t xml:space="preserve"> </w:t>
      </w:r>
      <w:hyperlink r:id="rId78">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79">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80">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81">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82">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83">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84">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85">
        <w:r>
          <w:rPr>
            <w:b w:val="0"/>
            <w:i w:val="0"/>
            <w:color w:val="B8860B"/>
          </w:rPr>
          <w:t>Foundation for Studies of Modern Science (FOSMOS)</w:t>
        </w:r>
      </w:hyperlink>
      <w:r>
        <w:rPr>
          <w:b w:val="0"/>
          <w:i w:val="0"/>
        </w:rPr>
        <w:t xml:space="preserve"> </w:t>
      </w:r>
      <w:r>
        <w:rPr>
          <w:b w:val="0"/>
          <w:i w:val="0"/>
        </w:rPr>
        <w:t xml:space="preserve">with de Grazia, Stecchini, and </w:t>
      </w:r>
      <w:hyperlink r:id="rId86">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87">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88">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89">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16">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90">
        <w:r>
          <w:rPr>
            <w:b w:val="0"/>
            <w:i w:val="0"/>
            <w:color w:val="B8860B"/>
            <w:sz w:val="19"/>
          </w:rPr>
          <w:t>"Stellar Thermonuclear Energy: A False Trail?"</w:t>
        </w:r>
      </w:hyperlink>
    </w:p>
    <w:p>
      <w:pPr>
        <w:pStyle w:val="ListBullet"/>
        <w:spacing w:before="20" w:after="20"/>
      </w:pPr>
      <w:hyperlink r:id="rId91">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92">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80">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55">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67">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93">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68">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87">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90">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91">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94">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95">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96">
        <w:r>
          <w:rPr>
            <w:b w:val="0"/>
            <w:i w:val="0"/>
            <w:color w:val="B8860B"/>
            <w:sz w:val="19"/>
          </w:rPr>
          <w:t>Velikovsky Encyclopedia — Ralph Juergens</w:t>
        </w:r>
      </w:hyperlink>
    </w:p>
    <w:p>
      <w:pPr>
        <w:pStyle w:val="ListBullet"/>
        <w:spacing w:before="20" w:after="20"/>
      </w:pPr>
      <w:hyperlink r:id="rId80">
        <w:r>
          <w:rPr>
            <w:b w:val="0"/>
            <w:i w:val="0"/>
            <w:color w:val="B8860B"/>
            <w:sz w:val="19"/>
          </w:rPr>
          <w:t>Wikipedia AfD — Articles for Deletion: Ralph Juergens (2007)</w:t>
        </w:r>
      </w:hyperlink>
    </w:p>
    <w:p>
      <w:pPr>
        <w:pStyle w:val="ListBullet"/>
        <w:spacing w:before="20" w:after="20"/>
      </w:pPr>
      <w:hyperlink r:id="rId97">
        <w:r>
          <w:rPr>
            <w:b w:val="0"/>
            <w:i w:val="0"/>
            <w:color w:val="B8860B"/>
            <w:sz w:val="19"/>
          </w:rPr>
          <w:t>The Secular Heretic — Electric Universe Heresy</w:t>
        </w:r>
      </w:hyperlink>
    </w:p>
    <w:p>
      <w:pPr>
        <w:pStyle w:val="ListBullet"/>
        <w:spacing w:before="20" w:after="20"/>
      </w:pPr>
      <w:hyperlink r:id="rId98">
        <w:r>
          <w:rPr>
            <w:b w:val="0"/>
            <w:i w:val="0"/>
            <w:color w:val="B8860B"/>
            <w:sz w:val="19"/>
          </w:rPr>
          <w:t>Holoscience — Electric Gravity in an Electric Universe</w:t>
        </w:r>
      </w:hyperlink>
    </w:p>
    <w:p>
      <w:pPr>
        <w:pStyle w:val="ListBullet"/>
        <w:spacing w:before="20" w:after="20"/>
      </w:pPr>
      <w:hyperlink r:id="rId92">
        <w:r>
          <w:rPr>
            <w:b w:val="0"/>
            <w:i w:val="0"/>
            <w:color w:val="B8860B"/>
            <w:sz w:val="19"/>
          </w:rPr>
          <w:t>SSDI Death Record</w:t>
        </w:r>
      </w:hyperlink>
    </w:p>
    <w:p>
      <w:pPr>
        <w:pStyle w:val="ListBullet"/>
        <w:spacing w:before="20" w:after="20"/>
      </w:pPr>
      <w:hyperlink r:id="rId74">
        <w:r>
          <w:rPr>
            <w:b w:val="0"/>
            <w:i w:val="0"/>
            <w:color w:val="B8860B"/>
            <w:sz w:val="19"/>
          </w:rPr>
          <w:t>Wikipedia — Electric Universe Theory</w:t>
        </w:r>
      </w:hyperlink>
    </w:p>
    <w:p>
      <w:pPr>
        <w:pStyle w:val="ListBullet"/>
        <w:spacing w:before="20" w:after="20"/>
      </w:pPr>
      <w:hyperlink r:id="rId99">
        <w:r>
          <w:rPr>
            <w:b w:val="0"/>
            <w:i w:val="0"/>
            <w:color w:val="B8860B"/>
            <w:sz w:val="19"/>
          </w:rPr>
          <w:t>Wikipedia — Plasma Cosmology</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00">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5">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23">
        <w:r>
          <w:rPr>
            <w:b w:val="0"/>
            <w:i w:val="0"/>
            <w:color w:val="B8860B"/>
            <w:sz w:val="19"/>
          </w:rPr>
          <w:t>Alfred de Grazia</w:t>
        </w:r>
      </w:hyperlink>
      <w:r>
        <w:rPr>
          <w:b w:val="0"/>
          <w:i w:val="0"/>
          <w:sz w:val="19"/>
        </w:rPr>
        <w:t xml:space="preserve"> — documented the suppression</w:t>
      </w:r>
    </w:p>
    <w:p>
      <w:pPr>
        <w:pStyle w:val="ListBullet"/>
        <w:spacing w:before="20" w:after="20"/>
      </w:pPr>
      <w:hyperlink r:id="rId20">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01">
        <w:r>
          <w:rPr>
            <w:b w:val="0"/>
            <w:i w:val="0"/>
            <w:color w:val="B8860B"/>
            <w:sz w:val="19"/>
          </w:rPr>
          <w:t>Authors Challenging the Mainstream Timeline</w:t>
        </w:r>
      </w:hyperlink>
    </w:p>
    <w:p>
      <w:pPr>
        <w:pStyle w:val="ListBullet"/>
        <w:spacing w:before="20" w:after="20"/>
      </w:pPr>
      <w:r>
        <w:rPr>
          <w:b w:val="0"/>
          <w:i w:val="0"/>
          <w:sz w:val="19"/>
        </w:rPr>
        <w:t xml:space="preserve">→ See </w:t>
      </w:r>
      <w:hyperlink r:id="rId14">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02">
        <w:r>
          <w:rPr>
            <w:b w:val="0"/>
            <w:i w:val="0"/>
            <w:color w:val="B8860B"/>
          </w:rPr>
          <w:t>chronologia.org</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53">
        <w:r>
          <w:rPr>
            <w:b w:val="0"/>
            <w:i w:val="0"/>
            <w:color w:val="B8860B"/>
          </w:rPr>
          <w:t>Thunderbolts Project</w:t>
        </w:r>
      </w:hyperlink>
      <w:r>
        <w:rPr>
          <w:b w:val="0"/>
          <w:i w:val="0"/>
        </w:rPr>
        <w:t xml:space="preserve"> / </w:t>
      </w:r>
      <w:hyperlink r:id="rId103">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16">
        <w:r>
          <w:rPr>
            <w:b w:val="0"/>
            <w:i w:val="0"/>
            <w:color w:val="B8860B"/>
            <w:sz w:val="19"/>
          </w:rPr>
          <w:t>Wal Thornhill</w:t>
        </w:r>
      </w:hyperlink>
      <w:r>
        <w:rPr>
          <w:b w:val="0"/>
          <w:i w:val="0"/>
          <w:sz w:val="19"/>
        </w:rPr>
        <w:t xml:space="preserve"> — physics partner</w:t>
      </w:r>
    </w:p>
    <w:p>
      <w:pPr>
        <w:pStyle w:val="ListBullet"/>
        <w:spacing w:before="20" w:after="20"/>
      </w:pPr>
      <w:hyperlink r:id="rId29">
        <w:r>
          <w:rPr>
            <w:b w:val="0"/>
            <w:i w:val="0"/>
            <w:color w:val="B8860B"/>
            <w:sz w:val="19"/>
          </w:rPr>
          <w:t>Dwardu Cardona</w:t>
        </w:r>
      </w:hyperlink>
      <w:r>
        <w:rPr>
          <w:b w:val="0"/>
          <w:i w:val="0"/>
          <w:sz w:val="19"/>
        </w:rPr>
        <w:t xml:space="preserve"> — extended the God Star sequence</w:t>
      </w:r>
    </w:p>
    <w:p>
      <w:pPr>
        <w:pStyle w:val="ListBullet"/>
        <w:spacing w:before="20" w:after="20"/>
      </w:pPr>
      <w:hyperlink r:id="rId22">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04">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4">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20">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05">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05">
        <w:r>
          <w:rPr>
            <w:b w:val="0"/>
            <w:i w:val="0"/>
            <w:color w:val="B8860B"/>
          </w:rPr>
          <w:t>saturniancosmology.org</w:t>
        </w:r>
      </w:hyperlink>
      <w:r>
        <w:br/>
      </w:r>
      <w:r>
        <w:rPr>
          <w:b w:val="0"/>
          <w:i w:val="0"/>
        </w:rPr>
      </w:r>
      <w:r>
        <w:rPr>
          <w:b/>
          <w:i w:val="0"/>
        </w:rPr>
        <w:t>Bibliography:</w:t>
      </w:r>
      <w:r>
        <w:rPr>
          <w:b w:val="0"/>
          <w:i w:val="0"/>
        </w:rPr>
        <w:t xml:space="preserve"> </w:t>
      </w:r>
      <w:hyperlink r:id="rId106">
        <w:r>
          <w:rPr>
            <w:b w:val="0"/>
            <w:i w:val="0"/>
            <w:color w:val="B8860B"/>
          </w:rPr>
          <w:t>saturniancosmology.org/books.php.html</w:t>
        </w:r>
      </w:hyperlink>
    </w:p>
    <w:p>
      <w:pPr>
        <w:pBdr>
          <w:bottom w:val="single" w:sz="6" w:space="1" w:color="CCCCCC"/>
        </w:pBdr>
      </w:pPr>
    </w:p>
    <w:p>
      <w:pPr>
        <w:pStyle w:val="Heading3"/>
        <w:keepNext/>
        <w:keepLines/>
      </w:pPr>
      <w:r>
        <w:t>Differences from This Timeline's View</w:t>
      </w:r>
    </w:p>
    <w:p>
      <w:r>
        <w:rPr>
          <w:b w:val="0"/>
          <w:i w:val="0"/>
        </w:rPr>
        <w:t xml:space="preserve">Aside from differences regarding the "before time" (creation epoch and pre–4077 BCE) that are noted elsewhere in this timeline, I disagree with Cook on a particular passage in his </w:t>
      </w:r>
      <w:hyperlink r:id="rId107">
        <w:r>
          <w:rPr>
            <w:b w:val="0"/>
            <w:i w:val="0"/>
            <w:color w:val="B8860B"/>
          </w:rPr>
          <w:t>Chapter 2: A Synopsis</w:t>
        </w:r>
      </w:hyperlink>
      <w:r>
        <w:rPr>
          <w:b w:val="0"/>
          <w:i w:val="0"/>
        </w:rPr>
        <w:t>. Cook writes of the 1492 BCE Venus contact:</w:t>
      </w:r>
    </w:p>
    <w:p>
      <w:pPr>
        <w:pStyle w:val="Quote"/>
      </w:pPr>
      <w:r>
        <w:rPr>
          <w:b w:val="0"/>
          <w:i w:val="0"/>
          <w:sz w:val="19"/>
        </w:rPr>
        <w:t xml:space="preserve">"Venus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w:t>
      </w:r>
      <w:r>
        <w:rPr>
          <w:b/>
          <w:i w:val="0"/>
          <w:sz w:val="19"/>
        </w:rPr>
        <w:t>leaving sea-water traces in lakes high up in the Andes</w:t>
      </w:r>
      <w:r>
        <w:rPr>
          <w:b w:val="0"/>
          <w:i w:val="0"/>
          <w:sz w:val="19"/>
        </w:rPr>
        <w:t>, and possibly causing a sudden rise in the coastal range of the Andes by thousands of feet. The blow was followed by an electric arc traveling through the Pacific, the Indian Ocean, and part of India…"</w:t>
      </w:r>
    </w:p>
    <w:p>
      <w:r>
        <w:rPr>
          <w:b w:val="0"/>
          <w:i w:val="0"/>
        </w:rPr>
        <w:t xml:space="preserve">Cook does not study alternate modern history (e.g. the </w:t>
      </w:r>
      <w:hyperlink r:id="rId108">
        <w:r>
          <w:rPr>
            <w:b w:val="0"/>
            <w:i w:val="0"/>
            <w:color w:val="B8860B"/>
          </w:rPr>
          <w:t>MudFlood / MFEE</w:t>
        </w:r>
      </w:hyperlink>
      <w:r>
        <w:rPr>
          <w:b w:val="0"/>
          <w:i w:val="0"/>
        </w:rPr>
        <w:t xml:space="preserve"> hypothesis or Fomenko-style compression of recent centuries). He therefore tries to explain how the Andes formed within a conventional deep-time geological and ancient-historical framework, which rules out the possibility that the Andes or their present elevation could have arisen much more recently. In that context he cites salt-water traces high in the Andes as evidence of the 1492 BCE inundation. I could not find the study he relies on (his Note 5 is empty in the mirrored copy), and in any case I do not see why a single repulsive blow and inundation as he describes it would leave lasting salt water in mountain lakes, since there were no further deluges to maintain or replenish such a signal. The claim remains an open question for this timeline.</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p>
    <w:p>
      <w:pPr>
        <w:pStyle w:val="ListBullet"/>
        <w:spacing w:before="20" w:after="20"/>
      </w:pPr>
      <w:hyperlink r:id="rId16">
        <w:r>
          <w:rPr>
            <w:b w:val="0"/>
            <w:i w:val="0"/>
            <w:color w:val="B8860B"/>
            <w:sz w:val="19"/>
          </w:rPr>
          <w:t>Wal Thornhill</w:t>
        </w:r>
      </w:hyperlink>
    </w:p>
    <w:p>
      <w:pPr>
        <w:pStyle w:val="ListBullet"/>
        <w:spacing w:before="20" w:after="20"/>
      </w:pPr>
      <w:hyperlink r:id="rId32">
        <w:r>
          <w:rPr>
            <w:b w:val="0"/>
            <w:i w:val="0"/>
            <w:color w:val="B8860B"/>
            <w:sz w:val="19"/>
          </w:rPr>
          <w:t>Lynn Rose &amp; Raymond Vaughan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09">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09">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10">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31">
        <w:r>
          <w:rPr>
            <w:b w:val="0"/>
            <w:i w:val="0"/>
            <w:color w:val="B8860B"/>
            <w:sz w:val="19"/>
          </w:rPr>
          <w:t>Livio Stecchini</w:t>
        </w:r>
      </w:hyperlink>
      <w:r>
        <w:rPr>
          <w:b w:val="0"/>
          <w:i w:val="0"/>
          <w:sz w:val="19"/>
        </w:rPr>
        <w:t xml:space="preserve"> — primary collaborator</w:t>
      </w:r>
    </w:p>
    <w:p>
      <w:pPr>
        <w:pStyle w:val="ListBullet"/>
        <w:spacing w:before="20" w:after="20"/>
      </w:pPr>
      <w:hyperlink r:id="rId17">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18">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11">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17">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16">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polar configuration framework</w:t>
      </w:r>
    </w:p>
    <w:p>
      <w:pPr>
        <w:pStyle w:val="ListBullet"/>
        <w:spacing w:before="20" w:after="20"/>
      </w:pPr>
      <w:hyperlink r:id="rId29">
        <w:r>
          <w:rPr>
            <w:b w:val="0"/>
            <w:i w:val="0"/>
            <w:color w:val="B8860B"/>
            <w:sz w:val="19"/>
          </w:rPr>
          <w:t>Dwardu Cardona</w:t>
        </w:r>
      </w:hyperlink>
      <w:r>
        <w:rPr>
          <w:b w:val="0"/>
          <w:i w:val="0"/>
          <w:sz w:val="19"/>
        </w:rPr>
        <w:t xml:space="preserve"> — parallel detailed mythology work</w:t>
      </w:r>
    </w:p>
    <w:p>
      <w:pPr>
        <w:pStyle w:val="ListBullet"/>
        <w:spacing w:before="20" w:after="20"/>
      </w:pPr>
      <w:hyperlink r:id="rId18">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directly built on this work</w:t>
      </w:r>
    </w:p>
    <w:p>
      <w:pPr>
        <w:pStyle w:val="ListBullet"/>
        <w:spacing w:before="20" w:after="20"/>
      </w:pPr>
      <w:hyperlink r:id="rId22">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12">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13">
        <w:r>
          <w:rPr>
            <w:b w:val="0"/>
            <w:i w:val="0"/>
            <w:color w:val="B8860B"/>
            <w:sz w:val="19"/>
          </w:rPr>
          <w:t>Authors Challenging the Mainstream Timeline</w:t>
        </w:r>
      </w:hyperlink>
    </w:p>
    <w:p>
      <w:pPr>
        <w:pStyle w:val="ListBullet"/>
        <w:spacing w:before="20" w:after="20"/>
      </w:pPr>
      <w:hyperlink r:id="rId19">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28">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13">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27">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19">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0">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25">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22">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7">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18">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3">
        <w:r>
          <w:rPr>
            <w:b w:val="0"/>
            <w:i w:val="0"/>
            <w:color w:val="B8860B"/>
            <w:sz w:val="19"/>
          </w:rPr>
          <w:t>Alfred de Grazia</w:t>
        </w:r>
      </w:hyperlink>
      <w:r>
        <w:rPr>
          <w:b w:val="0"/>
          <w:i w:val="0"/>
          <w:sz w:val="19"/>
        </w:rPr>
        <w:t xml:space="preserve"> — primary collaborator</w:t>
      </w:r>
    </w:p>
    <w:p>
      <w:pPr>
        <w:pStyle w:val="ListBullet"/>
        <w:spacing w:before="20" w:after="20"/>
      </w:pPr>
      <w:hyperlink r:id="rId17">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32">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1">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22">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18">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15">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30">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23">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03">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21">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20">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14">
        <w:r>
          <w:rPr>
            <w:b w:val="0"/>
            <w:i w:val="0"/>
            <w:color w:val="B8860B"/>
            <w:sz w:val="19"/>
          </w:rPr>
          <w:t>Authors Who Read Ancient Sources as World Cataclysm</w:t>
        </w:r>
      </w:hyperlink>
    </w:p>
    <w:p>
      <w:pPr>
        <w:pStyle w:val="ListBullet"/>
        <w:spacing w:before="20" w:after="20"/>
      </w:pPr>
      <w:hyperlink r:id="rId18">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23">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7">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30">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16">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6">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30">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38">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13">
        <w:r>
          <w:rPr>
            <w:b w:val="0"/>
            <w:i w:val="0"/>
            <w:color w:val="B8860B"/>
            <w:sz w:val="19"/>
          </w:rPr>
          <w:t>Authors Challenging the Mainstream Timeline</w:t>
        </w:r>
      </w:hyperlink>
    </w:p>
    <w:p>
      <w:pPr>
        <w:pStyle w:val="ListBullet"/>
        <w:spacing w:before="20" w:after="20"/>
      </w:pPr>
      <w:r>
        <w:rPr>
          <w:b w:val="0"/>
          <w:i w:val="0"/>
          <w:sz w:val="19"/>
        </w:rPr>
        <w:t xml:space="preserve">→ </w:t>
      </w:r>
      <w:hyperlink r:id="rId11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37">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36">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16">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17">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17">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16">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118">
        <w:r>
          <w:rPr>
            <w:b w:val="0"/>
            <w:i w:val="0"/>
            <w:color w:val="B8860B"/>
            <w:sz w:val="19"/>
          </w:rPr>
          <w:t>Suppressed Energy Technology: A Cross-Reference</w:t>
        </w:r>
      </w:hyperlink>
      <w:r>
        <w:rPr>
          <w:b w:val="0"/>
          <w:i w:val="0"/>
          <w:sz w:val="19"/>
        </w:rPr>
        <w:t xml:space="preserve"> — appendix mapping all suppressed energy threads</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Appendix — Chronology</w:t>
      </w:r>
    </w:p>
    <w:p>
      <w:pPr>
        <w:pStyle w:val="Quote"/>
      </w:pPr>
      <w:r>
        <w:rPr>
          <w:b w:val="0"/>
          <w:i w:val="0"/>
          <w:sz w:val="19"/>
        </w:rPr>
      </w:r>
      <w:r>
        <w:rPr>
          <w:b/>
          <w:i w:val="0"/>
          <w:sz w:val="19"/>
        </w:rPr>
        <w:t>TL;DR:</w:t>
      </w:r>
      <w:r>
        <w:rPr>
          <w:b w:val="0"/>
          <w:i w:val="0"/>
          <w:sz w:val="19"/>
        </w:rPr>
        <w:t xml:space="preserve"> TODO</w:t>
      </w:r>
    </w:p>
    <w:p>
      <w:r>
        <w:rPr>
          <w:b w:val="0"/>
          <w:i w:val="0"/>
        </w:rPr>
        <w:t xml:space="preserve">This supplementary volume supports the main timeline. In print exports (PDF/DOCX), the </w:t>
      </w:r>
      <w:r>
        <w:rPr>
          <w:b/>
          <w:i w:val="0"/>
        </w:rPr>
        <w:t>leading number in each filename is the part</w:t>
      </w:r>
      <w:r>
        <w:rPr>
          <w:b w:val="0"/>
          <w:i w:val="0"/>
        </w:rPr>
        <w:t xml:space="preserve"> (</w:t>
      </w:r>
      <w:r>
        <w:rPr>
          <w:rFonts w:ascii="JetBrains Mono" w:hAnsi="JetBrains Mono"/>
          <w:sz w:val="20"/>
        </w:rPr>
        <w:t>XX.00.00</w:t>
      </w:r>
      <w:r>
        <w:rPr>
          <w:b w:val="0"/>
          <w:i w:val="0"/>
        </w:rPr>
        <w:t xml:space="preserve"> opens the part); </w:t>
      </w:r>
      <w:r>
        <w:rPr>
          <w:b/>
          <w:i w:val="0"/>
        </w:rPr>
        <w:t>middle numbers are chapters and sub-articles</w:t>
      </w:r>
      <w:r>
        <w:rPr>
          <w:b w:val="0"/>
          <w:i w:val="0"/>
        </w:rPr>
        <w:t xml:space="preserve"> carried over from the former single-folder layout (e.g. predictive programming remains the </w:t>
      </w:r>
      <w:r>
        <w:rPr>
          <w:rFonts w:ascii="JetBrains Mono" w:hAnsi="JetBrains Mono"/>
          <w:sz w:val="20"/>
        </w:rPr>
        <w:t>43.*</w:t>
      </w:r>
      <w:r>
        <w:rPr>
          <w:b w:val="0"/>
          <w:i w:val="0"/>
        </w:rPr>
        <w:t xml:space="preserve"> band, now under Part XVIII as </w:t>
      </w:r>
      <w:r>
        <w:rPr>
          <w:rFonts w:ascii="JetBrains Mono" w:hAnsi="JetBrains Mono"/>
          <w:sz w:val="20"/>
        </w:rPr>
        <w:t>18.43.*</w:t>
      </w:r>
      <w:r>
        <w:rPr>
          <w:b w:val="0"/>
          <w:i w:val="0"/>
        </w:rPr>
        <w:t>).</w:t>
      </w:r>
    </w:p>
    <w:p>
      <w:r>
        <w:rPr>
          <w:b w:val="0"/>
          <w:i w:val="0"/>
        </w:rPr>
      </w:r>
      <w:r>
        <w:rPr>
          <w:b/>
          <w:i w:val="0"/>
        </w:rPr>
        <w:t>Part XVII</w:t>
      </w:r>
      <w:r>
        <w:rPr>
          <w:b w:val="0"/>
          <w:i w:val="0"/>
        </w:rPr>
        <w:t xml:space="preserve"> (this file and the </w:t>
      </w:r>
      <w:r>
        <w:rPr>
          <w:rFonts w:ascii="JetBrains Mono" w:hAnsi="JetBrains Mono"/>
          <w:sz w:val="20"/>
        </w:rPr>
        <w:t>17.02.*</w:t>
      </w:r>
      <w:r>
        <w:rPr>
          <w:b w:val="0"/>
          <w:i w:val="0"/>
        </w:rPr>
        <w:t>–</w:t>
      </w:r>
      <w:r>
        <w:rPr>
          <w:rFonts w:ascii="JetBrains Mono" w:hAnsi="JetBrains Mono"/>
          <w:sz w:val="20"/>
        </w:rPr>
        <w:t>17.05.*</w:t>
      </w:r>
      <w:r>
        <w:rPr>
          <w:b w:val="0"/>
          <w:i w:val="0"/>
        </w:rPr>
        <w:t xml:space="preserve"> chapters) covers chronology, calendar method, Mars contacts as dossier, pyramids, and creation-era framing. </w:t>
      </w:r>
      <w:r>
        <w:rPr>
          <w:b/>
          <w:i w:val="0"/>
        </w:rPr>
        <w:t>Part XVI</w:t>
      </w:r>
      <w:r>
        <w:rPr>
          <w:b w:val="0"/>
          <w:i w:val="0"/>
        </w:rPr>
        <w:t xml:space="preserve"> is author profiles only. </w:t>
      </w:r>
      <w:r>
        <w:rPr>
          <w:b/>
          <w:i w:val="0"/>
        </w:rPr>
        <w:t>Parts XVIII–XXI</w:t>
      </w:r>
      <w:r>
        <w:rPr>
          <w:b w:val="0"/>
          <w:i w:val="0"/>
        </w:rPr>
        <w:t xml:space="preserve"> group narrative control, conflict and empire, science and displacement, and cataclysm memory. </w:t>
      </w:r>
      <w:r>
        <w:rPr>
          <w:b/>
          <w:i w:val="0"/>
        </w:rPr>
        <w:t>Part XXII</w:t>
      </w:r>
      <w:r>
        <w:rPr>
          <w:b w:val="0"/>
          <w:i w:val="0"/>
        </w:rPr>
        <w:t xml:space="preserve"> is credits.</w:t>
      </w:r>
    </w:p>
    <w:p>
      <w:pPr>
        <w:pBdr>
          <w:bottom w:val="single" w:sz="6" w:space="1" w:color="CCCCCC"/>
        </w:pBdr>
      </w:pPr>
    </w:p>
    <w:p>
      <w:pPr>
        <w:pStyle w:val="Heading2"/>
        <w:keepNext/>
        <w:keepLines/>
      </w:pPr>
      <w:r>
        <w:t>Contents by part</w:t>
      </w:r>
    </w:p>
    <w:p>
      <w:pPr>
        <w:pStyle w:val="Heading3"/>
        <w:keepNext/>
        <w:keepLines/>
      </w:pPr>
      <w:r>
        <w:t>Part XVI — Author profiles</w:t>
      </w:r>
    </w:p>
    <w:p>
      <w:pPr>
        <w:pStyle w:val="ListBullet"/>
        <w:spacing w:before="20" w:after="20"/>
      </w:pPr>
      <w:hyperlink r:id="rId121">
        <w:r>
          <w:rPr>
            <w:b w:val="0"/>
            <w:i w:val="0"/>
            <w:color w:val="B8860B"/>
            <w:sz w:val="19"/>
          </w:rPr>
          <w:t>Authors — Appendix Part XVI</w:t>
        </w:r>
      </w:hyperlink>
    </w:p>
    <w:p>
      <w:pPr>
        <w:pStyle w:val="ListBullet"/>
        <w:spacing w:before="20" w:after="20"/>
      </w:pPr>
      <w:hyperlink r:id="rId12">
        <w:r>
          <w:rPr>
            <w:b w:val="0"/>
            <w:i w:val="0"/>
            <w:color w:val="B8860B"/>
            <w:sz w:val="19"/>
          </w:rPr>
          <w:t>Author Profiles</w:t>
        </w:r>
      </w:hyperlink>
    </w:p>
    <w:p>
      <w:pPr>
        <w:pStyle w:val="Heading3"/>
        <w:keepNext/>
        <w:keepLines/>
      </w:pPr>
      <w:r>
        <w:t>Part XVII — Chronology, calendar, Mars dossier, pyramids, creation framing</w:t>
      </w:r>
    </w:p>
    <w:p>
      <w:pPr>
        <w:pStyle w:val="ListBullet"/>
        <w:spacing w:before="20" w:after="20"/>
      </w:pPr>
      <w:hyperlink r:id="rId122">
        <w:r>
          <w:rPr>
            <w:b w:val="0"/>
            <w:i w:val="0"/>
            <w:color w:val="B8860B"/>
            <w:sz w:val="19"/>
          </w:rPr>
          <w:t>Building the New Chronology</w:t>
        </w:r>
      </w:hyperlink>
    </w:p>
    <w:p>
      <w:pPr>
        <w:pStyle w:val="ListBullet"/>
        <w:spacing w:before="20" w:after="20"/>
      </w:pPr>
      <w:hyperlink r:id="rId112">
        <w:r>
          <w:rPr>
            <w:b w:val="0"/>
            <w:i w:val="0"/>
            <w:color w:val="B8860B"/>
            <w:sz w:val="19"/>
          </w:rPr>
          <w:t>Other Challenges to Chronology</w:t>
        </w:r>
      </w:hyperlink>
    </w:p>
    <w:p>
      <w:pPr>
        <w:pStyle w:val="ListBullet"/>
        <w:spacing w:before="20" w:after="20"/>
      </w:pPr>
      <w:hyperlink r:id="rId123">
        <w:r>
          <w:rPr>
            <w:b w:val="0"/>
            <w:i w:val="0"/>
            <w:color w:val="B8860B"/>
            <w:sz w:val="19"/>
          </w:rPr>
          <w:t>Timeline Synchronization: Date Tables</w:t>
        </w:r>
      </w:hyperlink>
    </w:p>
    <w:p>
      <w:pPr>
        <w:pStyle w:val="ListBullet"/>
        <w:spacing w:before="20" w:after="20"/>
      </w:pPr>
      <w:hyperlink r:id="rId124">
        <w:r>
          <w:rPr>
            <w:b w:val="0"/>
            <w:i w:val="0"/>
            <w:color w:val="B8860B"/>
            <w:sz w:val="19"/>
          </w:rPr>
          <w:t>Year-Length and Calendar Evidence</w:t>
        </w:r>
      </w:hyperlink>
    </w:p>
    <w:p>
      <w:pPr>
        <w:pStyle w:val="ListBullet"/>
        <w:spacing w:before="20" w:after="20"/>
      </w:pPr>
      <w:hyperlink r:id="rId125">
        <w:r>
          <w:rPr>
            <w:b w:val="0"/>
            <w:i w:val="0"/>
            <w:color w:val="B8860B"/>
            <w:sz w:val="19"/>
          </w:rPr>
          <w:t>Known Contacts with Mars: A Chronological Dossier</w:t>
        </w:r>
      </w:hyperlink>
    </w:p>
    <w:p>
      <w:pPr>
        <w:pStyle w:val="ListBullet"/>
        <w:spacing w:before="20" w:after="20"/>
      </w:pPr>
      <w:hyperlink r:id="rId126">
        <w:r>
          <w:rPr>
            <w:b w:val="0"/>
            <w:i w:val="0"/>
            <w:color w:val="B8860B"/>
            <w:sz w:val="19"/>
          </w:rPr>
          <w:t>Mars Literature: Author Profiles and Evidence</w:t>
        </w:r>
      </w:hyperlink>
    </w:p>
    <w:p>
      <w:pPr>
        <w:pStyle w:val="ListBullet"/>
        <w:spacing w:before="20" w:after="20"/>
      </w:pPr>
      <w:hyperlink r:id="rId127">
        <w:r>
          <w:rPr>
            <w:b w:val="0"/>
            <w:i w:val="0"/>
            <w:color w:val="B8860B"/>
            <w:sz w:val="19"/>
          </w:rPr>
          <w:t>Pyramids: Myths vs Reality — Evidence Table</w:t>
        </w:r>
      </w:hyperlink>
    </w:p>
    <w:p>
      <w:pPr>
        <w:pStyle w:val="ListBullet"/>
        <w:spacing w:before="20" w:after="20"/>
      </w:pPr>
      <w:hyperlink r:id="rId128">
        <w:r>
          <w:rPr>
            <w:b w:val="0"/>
            <w:i w:val="0"/>
            <w:color w:val="B8860B"/>
            <w:sz w:val="19"/>
          </w:rPr>
          <w:t>Fomenko and the Pyramid Question</w:t>
        </w:r>
      </w:hyperlink>
    </w:p>
    <w:p>
      <w:pPr>
        <w:pStyle w:val="ListBullet"/>
        <w:spacing w:before="20" w:after="20"/>
      </w:pPr>
      <w:hyperlink r:id="rId129">
        <w:r>
          <w:rPr>
            <w:b w:val="0"/>
            <w:i w:val="0"/>
            <w:color w:val="B8860B"/>
            <w:sz w:val="19"/>
          </w:rPr>
          <w:t>Seven Days of Creation</w:t>
        </w:r>
      </w:hyperlink>
    </w:p>
    <w:p>
      <w:pPr>
        <w:pStyle w:val="ListBullet"/>
        <w:spacing w:before="20" w:after="20"/>
      </w:pPr>
      <w:hyperlink r:id="rId130">
        <w:r>
          <w:rPr>
            <w:b w:val="0"/>
            <w:i w:val="0"/>
            <w:color w:val="B8860B"/>
            <w:sz w:val="19"/>
          </w:rPr>
          <w:t>Golden Age: Talbott Documentary Sequence (Table)</w:t>
        </w:r>
      </w:hyperlink>
    </w:p>
    <w:p>
      <w:pPr>
        <w:pStyle w:val="Heading3"/>
        <w:keepNext/>
        <w:keepLines/>
      </w:pPr>
      <w:r>
        <w:t>Part XVIII — Narrative control</w:t>
      </w:r>
    </w:p>
    <w:p>
      <w:pPr>
        <w:pStyle w:val="ListBullet"/>
        <w:spacing w:before="20" w:after="20"/>
      </w:pPr>
      <w:hyperlink r:id="rId131">
        <w:r>
          <w:rPr>
            <w:b w:val="0"/>
            <w:i w:val="0"/>
            <w:color w:val="B8860B"/>
            <w:sz w:val="19"/>
          </w:rPr>
          <w:t>Narrative Control — Appendix Part XVIII</w:t>
        </w:r>
      </w:hyperlink>
    </w:p>
    <w:p>
      <w:pPr>
        <w:pStyle w:val="ListBullet"/>
        <w:spacing w:before="20" w:after="20"/>
      </w:pPr>
      <w:hyperlink r:id="rId132">
        <w:r>
          <w:rPr>
            <w:b w:val="0"/>
            <w:i w:val="0"/>
            <w:color w:val="B8860B"/>
            <w:sz w:val="19"/>
          </w:rPr>
          <w:t>Film, Television, and Games</w:t>
        </w:r>
      </w:hyperlink>
    </w:p>
    <w:p>
      <w:pPr>
        <w:pStyle w:val="ListBullet"/>
        <w:spacing w:before="20" w:after="20"/>
      </w:pPr>
      <w:hyperlink r:id="rId133">
        <w:r>
          <w:rPr>
            <w:b w:val="0"/>
            <w:i w:val="0"/>
            <w:color w:val="B8860B"/>
            <w:sz w:val="19"/>
          </w:rPr>
          <w:t>Literature — Extended Author Evidence</w:t>
        </w:r>
      </w:hyperlink>
    </w:p>
    <w:p>
      <w:pPr>
        <w:pStyle w:val="ListBullet"/>
        <w:spacing w:before="20" w:after="20"/>
      </w:pPr>
      <w:hyperlink r:id="rId134">
        <w:r>
          <w:rPr>
            <w:b w:val="0"/>
            <w:i w:val="0"/>
            <w:color w:val="B8860B"/>
            <w:sz w:val="19"/>
          </w:rPr>
          <w:t>Asimov: Three Laws and Marx Encoding — Extended Evidence</w:t>
        </w:r>
      </w:hyperlink>
    </w:p>
    <w:p>
      <w:pPr>
        <w:pStyle w:val="ListBullet"/>
        <w:spacing w:before="20" w:after="20"/>
      </w:pPr>
      <w:hyperlink r:id="rId135">
        <w:r>
          <w:rPr>
            <w:b w:val="0"/>
            <w:i w:val="0"/>
            <w:color w:val="B8860B"/>
            <w:sz w:val="19"/>
          </w:rPr>
          <w:t>The Thunderbolts Project: A Case Study in Managed Disclosure</w:t>
        </w:r>
      </w:hyperlink>
    </w:p>
    <w:p>
      <w:pPr>
        <w:pStyle w:val="ListBullet"/>
        <w:spacing w:before="20" w:after="20"/>
      </w:pPr>
      <w:hyperlink r:id="rId136">
        <w:r>
          <w:rPr>
            <w:b w:val="0"/>
            <w:i w:val="0"/>
            <w:color w:val="B8860B"/>
            <w:sz w:val="19"/>
          </w:rPr>
          <w:t>Operation Mockingbird: The Historical Chain</w:t>
        </w:r>
      </w:hyperlink>
    </w:p>
    <w:p>
      <w:pPr>
        <w:pStyle w:val="ListBullet"/>
        <w:spacing w:before="20" w:after="20"/>
      </w:pPr>
      <w:hyperlink r:id="rId137">
        <w:r>
          <w:rPr>
            <w:b w:val="0"/>
            <w:i w:val="0"/>
            <w:color w:val="B8860B"/>
            <w:sz w:val="19"/>
          </w:rPr>
          <w:t>Controlled Opposition and Managed Disclosure</w:t>
        </w:r>
      </w:hyperlink>
    </w:p>
    <w:p>
      <w:pPr>
        <w:pStyle w:val="ListBullet"/>
        <w:spacing w:before="20" w:after="20"/>
      </w:pPr>
      <w:hyperlink r:id="rId138">
        <w:r>
          <w:rPr>
            <w:b w:val="0"/>
            <w:i w:val="0"/>
            <w:color w:val="B8860B"/>
            <w:sz w:val="19"/>
          </w:rPr>
          <w:t>Censorship: Pattern (Appendix)</w:t>
        </w:r>
      </w:hyperlink>
    </w:p>
    <w:p>
      <w:pPr>
        <w:pStyle w:val="ListBullet"/>
        <w:spacing w:before="20" w:after="20"/>
      </w:pPr>
      <w:hyperlink r:id="rId139">
        <w:r>
          <w:rPr>
            <w:b w:val="0"/>
            <w:i w:val="0"/>
            <w:color w:val="B8860B"/>
            <w:sz w:val="19"/>
          </w:rPr>
          <w:t>Censorship: The Historical Record</w:t>
        </w:r>
      </w:hyperlink>
    </w:p>
    <w:p>
      <w:pPr>
        <w:pStyle w:val="Heading3"/>
        <w:keepNext/>
        <w:keepLines/>
      </w:pPr>
      <w:r>
        <w:t>Part XIX — Conflict, empire, manufactured war</w:t>
      </w:r>
    </w:p>
    <w:p>
      <w:pPr>
        <w:pStyle w:val="ListBullet"/>
        <w:spacing w:before="20" w:after="20"/>
      </w:pPr>
      <w:hyperlink r:id="rId140">
        <w:r>
          <w:rPr>
            <w:b w:val="0"/>
            <w:i w:val="0"/>
            <w:color w:val="B8860B"/>
            <w:sz w:val="19"/>
          </w:rPr>
          <w:t>Conflict, Empire, and Manufactured War — Appendix Part XIX</w:t>
        </w:r>
      </w:hyperlink>
    </w:p>
    <w:p>
      <w:pPr>
        <w:pStyle w:val="ListBullet"/>
        <w:spacing w:before="20" w:after="20"/>
      </w:pPr>
      <w:hyperlink r:id="rId141">
        <w:r>
          <w:rPr>
            <w:b w:val="0"/>
            <w:i w:val="0"/>
            <w:color w:val="B8860B"/>
            <w:sz w:val="19"/>
          </w:rPr>
          <w:t>False Flags: Architecture (Appendix)</w:t>
        </w:r>
      </w:hyperlink>
    </w:p>
    <w:p>
      <w:pPr>
        <w:pStyle w:val="ListBullet"/>
        <w:spacing w:before="20" w:after="20"/>
      </w:pPr>
      <w:hyperlink r:id="rId142">
        <w:r>
          <w:rPr>
            <w:b w:val="0"/>
            <w:i w:val="0"/>
            <w:color w:val="B8860B"/>
            <w:sz w:val="19"/>
          </w:rPr>
          <w:t>False Flags Investigation: Evidence Dossier</w:t>
        </w:r>
      </w:hyperlink>
    </w:p>
    <w:p>
      <w:pPr>
        <w:pStyle w:val="ListBullet"/>
        <w:spacing w:before="20" w:after="20"/>
      </w:pPr>
      <w:hyperlink r:id="rId143">
        <w:r>
          <w:rPr>
            <w:b w:val="0"/>
            <w:i w:val="0"/>
            <w:color w:val="B8860B"/>
            <w:sz w:val="19"/>
          </w:rPr>
          <w:t>Deep State breaks up the Hordian Empire</w:t>
        </w:r>
      </w:hyperlink>
    </w:p>
    <w:p>
      <w:pPr>
        <w:pStyle w:val="ListBullet"/>
        <w:spacing w:before="20" w:after="20"/>
      </w:pPr>
      <w:hyperlink r:id="rId144">
        <w:r>
          <w:rPr>
            <w:b w:val="0"/>
            <w:i w:val="0"/>
            <w:color w:val="B8860B"/>
            <w:sz w:val="19"/>
          </w:rPr>
          <w:t>Slave Trades: Evidence and Horde-Fracture Thesis</w:t>
        </w:r>
      </w:hyperlink>
    </w:p>
    <w:p>
      <w:pPr>
        <w:pStyle w:val="ListBullet"/>
        <w:spacing w:before="20" w:after="20"/>
      </w:pPr>
      <w:hyperlink r:id="rId145">
        <w:r>
          <w:rPr>
            <w:b w:val="0"/>
            <w:i w:val="0"/>
            <w:color w:val="B8860B"/>
            <w:sz w:val="19"/>
          </w:rPr>
          <w:t>British Empire as Deep State: Case Studies</w:t>
        </w:r>
      </w:hyperlink>
    </w:p>
    <w:p>
      <w:pPr>
        <w:pStyle w:val="ListBullet"/>
        <w:spacing w:before="20" w:after="20"/>
      </w:pPr>
      <w:hyperlink r:id="rId146">
        <w:r>
          <w:rPr>
            <w:b w:val="0"/>
            <w:i w:val="0"/>
            <w:color w:val="B8860B"/>
            <w:sz w:val="19"/>
          </w:rPr>
          <w:t>Jesuit Operations: Conversion, Catholicism, and the New World</w:t>
        </w:r>
      </w:hyperlink>
    </w:p>
    <w:p>
      <w:pPr>
        <w:pStyle w:val="ListBullet"/>
        <w:spacing w:before="20" w:after="20"/>
      </w:pPr>
      <w:hyperlink r:id="rId147">
        <w:r>
          <w:rPr>
            <w:b w:val="0"/>
            <w:i w:val="0"/>
            <w:color w:val="B8860B"/>
            <w:sz w:val="19"/>
          </w:rPr>
          <w:t>Napoleonic Wars and 1812 — Extended Evidence</w:t>
        </w:r>
      </w:hyperlink>
    </w:p>
    <w:p>
      <w:pPr>
        <w:pStyle w:val="ListBullet"/>
        <w:spacing w:before="20" w:after="20"/>
      </w:pPr>
      <w:hyperlink r:id="rId148">
        <w:r>
          <w:rPr>
            <w:b w:val="0"/>
            <w:i w:val="0"/>
            <w:color w:val="B8860B"/>
            <w:sz w:val="19"/>
          </w:rPr>
          <w:t>The Four Reverse Crusades: A Structural Comparison</w:t>
        </w:r>
      </w:hyperlink>
    </w:p>
    <w:p>
      <w:pPr>
        <w:pStyle w:val="ListBullet"/>
        <w:spacing w:before="20" w:after="20"/>
      </w:pPr>
      <w:hyperlink r:id="rId149">
        <w:r>
          <w:rPr>
            <w:b w:val="0"/>
            <w:i w:val="0"/>
            <w:color w:val="B8860B"/>
            <w:sz w:val="19"/>
          </w:rPr>
          <w:t>21st Century Geopolitics: Europe's War and America's Escalation Machine</w:t>
        </w:r>
      </w:hyperlink>
    </w:p>
    <w:p>
      <w:pPr>
        <w:pStyle w:val="ListBullet"/>
        <w:spacing w:before="20" w:after="20"/>
      </w:pPr>
      <w:hyperlink r:id="rId150">
        <w:r>
          <w:rPr>
            <w:b w:val="0"/>
            <w:i w:val="0"/>
            <w:color w:val="B8860B"/>
            <w:sz w:val="19"/>
          </w:rPr>
          <w:t>World War II Aftermath</w:t>
        </w:r>
      </w:hyperlink>
    </w:p>
    <w:p>
      <w:pPr>
        <w:pStyle w:val="Heading3"/>
        <w:keepNext/>
        <w:keepLines/>
      </w:pPr>
      <w:r>
        <w:t>Part XX — Science, displacement, antibodies</w:t>
      </w:r>
    </w:p>
    <w:p>
      <w:pPr>
        <w:pStyle w:val="ListBullet"/>
        <w:spacing w:before="20" w:after="20"/>
      </w:pPr>
      <w:hyperlink r:id="rId151">
        <w:r>
          <w:rPr>
            <w:b w:val="0"/>
            <w:i w:val="0"/>
            <w:color w:val="B8860B"/>
            <w:sz w:val="19"/>
          </w:rPr>
          <w:t>Science, Displacement, and Antibodies — Appendix Part XX</w:t>
        </w:r>
      </w:hyperlink>
    </w:p>
    <w:p>
      <w:pPr>
        <w:pStyle w:val="ListBullet"/>
        <w:spacing w:before="20" w:after="20"/>
      </w:pPr>
      <w:hyperlink r:id="rId152">
        <w:r>
          <w:rPr>
            <w:b w:val="0"/>
            <w:i w:val="0"/>
            <w:color w:val="B8860B"/>
            <w:sz w:val="19"/>
          </w:rPr>
          <w:t>Soviet Historiography: Bogdanov and Suppressed Science</w:t>
        </w:r>
      </w:hyperlink>
    </w:p>
    <w:p>
      <w:pPr>
        <w:pStyle w:val="ListBullet"/>
        <w:spacing w:before="20" w:after="20"/>
      </w:pPr>
      <w:hyperlink r:id="rId118">
        <w:r>
          <w:rPr>
            <w:b w:val="0"/>
            <w:i w:val="0"/>
            <w:color w:val="B8860B"/>
            <w:sz w:val="19"/>
          </w:rPr>
          <w:t>Suppressed Energy Technology: A Cross-Reference</w:t>
        </w:r>
      </w:hyperlink>
    </w:p>
    <w:p>
      <w:pPr>
        <w:pStyle w:val="ListBullet"/>
        <w:spacing w:before="20" w:after="20"/>
      </w:pPr>
      <w:hyperlink r:id="rId153">
        <w:r>
          <w:rPr>
            <w:b w:val="0"/>
            <w:i w:val="0"/>
            <w:color w:val="B8860B"/>
            <w:sz w:val="19"/>
          </w:rPr>
          <w:t>Einstein 1905: Aether and Theoretical Physics — Appendix</w:t>
        </w:r>
      </w:hyperlink>
    </w:p>
    <w:p>
      <w:pPr>
        <w:pStyle w:val="ListBullet"/>
        <w:spacing w:before="20" w:after="20"/>
      </w:pPr>
      <w:hyperlink r:id="rId154">
        <w:r>
          <w:rPr>
            <w:b w:val="0"/>
            <w:i w:val="0"/>
            <w:color w:val="B8860B"/>
            <w:sz w:val="19"/>
          </w:rPr>
          <w:t>Population Control: A Timeline (15th–21st Centuries)</w:t>
        </w:r>
      </w:hyperlink>
    </w:p>
    <w:p>
      <w:pPr>
        <w:pStyle w:val="ListBullet"/>
        <w:spacing w:before="20" w:after="20"/>
      </w:pPr>
      <w:hyperlink r:id="rId155">
        <w:r>
          <w:rPr>
            <w:b w:val="0"/>
            <w:i w:val="0"/>
            <w:color w:val="B8860B"/>
            <w:sz w:val="19"/>
          </w:rPr>
          <w:t>Historical Antibodies: Profiles</w:t>
        </w:r>
      </w:hyperlink>
    </w:p>
    <w:p>
      <w:pPr>
        <w:pStyle w:val="ListBullet"/>
        <w:spacing w:before="20" w:after="20"/>
      </w:pPr>
      <w:hyperlink r:id="rId156">
        <w:r>
          <w:rPr>
            <w:b w:val="0"/>
            <w:i w:val="0"/>
            <w:color w:val="B8860B"/>
            <w:sz w:val="19"/>
          </w:rPr>
          <w:t>Trump: Case Study</w:t>
        </w:r>
      </w:hyperlink>
    </w:p>
    <w:p>
      <w:pPr>
        <w:pStyle w:val="Heading3"/>
        <w:keepNext/>
        <w:keepLines/>
      </w:pPr>
      <w:r>
        <w:t>Part XXI — Cataclysm and memory</w:t>
      </w:r>
    </w:p>
    <w:p>
      <w:pPr>
        <w:pStyle w:val="ListBullet"/>
        <w:spacing w:before="20" w:after="20"/>
      </w:pPr>
      <w:hyperlink r:id="rId157">
        <w:r>
          <w:rPr>
            <w:b w:val="0"/>
            <w:i w:val="0"/>
            <w:color w:val="B8860B"/>
            <w:sz w:val="19"/>
          </w:rPr>
          <w:t>Cataclysm and Memory — Appendix Part XXI</w:t>
        </w:r>
      </w:hyperlink>
    </w:p>
    <w:p>
      <w:pPr>
        <w:pStyle w:val="ListBullet"/>
        <w:spacing w:before="20" w:after="20"/>
      </w:pPr>
      <w:hyperlink r:id="rId108">
        <w:r>
          <w:rPr>
            <w:b w:val="0"/>
            <w:i w:val="0"/>
            <w:color w:val="B8860B"/>
            <w:sz w:val="19"/>
          </w:rPr>
          <w:t>The MudFlood and World Cataclysm</w:t>
        </w:r>
      </w:hyperlink>
    </w:p>
    <w:p>
      <w:pPr>
        <w:pStyle w:val="ListBullet"/>
        <w:spacing w:before="20" w:after="20"/>
      </w:pPr>
      <w:hyperlink r:id="rId158">
        <w:r>
          <w:rPr>
            <w:b w:val="0"/>
            <w:i w:val="0"/>
            <w:color w:val="B8860B"/>
            <w:sz w:val="19"/>
          </w:rPr>
          <w:t>Orphan Trains, Trail of Tears, Siberian Exile — Extended Evidence</w:t>
        </w:r>
      </w:hyperlink>
    </w:p>
    <w:p>
      <w:pPr>
        <w:pStyle w:val="ListBullet"/>
        <w:spacing w:before="20" w:after="20"/>
      </w:pPr>
      <w:hyperlink r:id="rId159">
        <w:r>
          <w:rPr>
            <w:b w:val="0"/>
            <w:i w:val="0"/>
            <w:color w:val="B8860B"/>
            <w:sz w:val="19"/>
          </w:rPr>
          <w:t>Slow ecological collapse — MFEE through Donner era</w:t>
        </w:r>
      </w:hyperlink>
    </w:p>
    <w:p>
      <w:pPr>
        <w:pStyle w:val="ListBullet"/>
        <w:spacing w:before="20" w:after="20"/>
      </w:pPr>
      <w:hyperlink r:id="rId160">
        <w:r>
          <w:rPr>
            <w:b w:val="0"/>
            <w:i w:val="0"/>
            <w:color w:val="B8860B"/>
            <w:sz w:val="19"/>
          </w:rPr>
          <w:t>“New World” naming, MFEE, and colonization memory</w:t>
        </w:r>
      </w:hyperlink>
    </w:p>
    <w:p>
      <w:pPr>
        <w:pStyle w:val="ListBullet"/>
        <w:spacing w:before="20" w:after="20"/>
      </w:pPr>
      <w:hyperlink r:id="rId161">
        <w:r>
          <w:rPr>
            <w:b w:val="0"/>
            <w:i w:val="0"/>
            <w:color w:val="B8860B"/>
            <w:sz w:val="19"/>
          </w:rPr>
          <w:t>Giants, Infantry, Guerrilla, and the Children's Crusade — Etymology</w:t>
        </w:r>
      </w:hyperlink>
    </w:p>
    <w:p>
      <w:pPr>
        <w:pStyle w:val="Heading3"/>
        <w:keepNext/>
        <w:keepLines/>
      </w:pPr>
      <w:r>
        <w:t>Overview articles (main book)</w:t>
      </w:r>
    </w:p>
    <w:p>
      <w:pPr>
        <w:pStyle w:val="ListBullet"/>
        <w:spacing w:before="20" w:after="20"/>
      </w:pPr>
      <w:hyperlink r:id="rId14">
        <w:r>
          <w:rPr>
            <w:b w:val="0"/>
            <w:i w:val="0"/>
            <w:color w:val="B8860B"/>
            <w:sz w:val="19"/>
          </w:rPr>
          <w:t>Authors Who Read Ancient Sources as World Cataclysm</w:t>
        </w:r>
      </w:hyperlink>
    </w:p>
    <w:p>
      <w:pPr>
        <w:pStyle w:val="Heading3"/>
        <w:keepNext/>
        <w:keepLines/>
      </w:pPr>
      <w:r>
        <w:t>Files (no timeline event)</w:t>
      </w:r>
    </w:p>
    <w:p>
      <w:pPr>
        <w:pStyle w:val="ListBullet"/>
        <w:spacing w:before="20" w:after="20"/>
      </w:pPr>
      <w:r>
        <w:rPr>
          <w:b w:val="0"/>
          <w:i w:val="0"/>
          <w:sz w:val="19"/>
        </w:rPr>
      </w:r>
      <w:r>
        <w:rPr>
          <w:b/>
          <w:i w:val="0"/>
          <w:sz w:val="19"/>
        </w:rPr>
        <w:t>Lexical speculation:</w:t>
      </w:r>
      <w:r>
        <w:rPr>
          <w:b w:val="0"/>
          <w:i w:val="0"/>
          <w:sz w:val="19"/>
        </w:rPr>
        <w:t xml:space="preserve"> </w:t>
      </w:r>
      <w:hyperlink r:id="rId162">
        <w:r>
          <w:rPr>
            <w:b w:val="0"/>
            <w:i w:val="0"/>
            <w:color w:val="B8860B"/>
            <w:sz w:val="19"/>
          </w:rPr>
          <w:t>Rus-Horde echoes in English political and military lexicon</w:t>
        </w:r>
      </w:hyperlink>
    </w:p>
    <w:p>
      <w:pPr>
        <w:pStyle w:val="ListBullet"/>
        <w:spacing w:before="20" w:after="20"/>
      </w:pPr>
      <w:r>
        <w:rPr>
          <w:b w:val="0"/>
          <w:i w:val="0"/>
          <w:sz w:val="19"/>
        </w:rPr>
      </w:r>
      <w:r>
        <w:rPr>
          <w:b/>
          <w:i w:val="0"/>
          <w:sz w:val="19"/>
        </w:rPr>
        <w:t>Ancient testimony / Saturnian reading:</w:t>
      </w:r>
      <w:r>
        <w:rPr>
          <w:b w:val="0"/>
          <w:i w:val="0"/>
          <w:sz w:val="19"/>
        </w:rPr>
        <w:t xml:space="preserve"> </w:t>
      </w:r>
      <w:hyperlink r:id="rId163">
        <w:r>
          <w:rPr>
            <w:b w:val="0"/>
            <w:i w:val="0"/>
            <w:color w:val="B8860B"/>
            <w:sz w:val="19"/>
          </w:rPr>
          <w:t>Etana, Sumerian King List, and "Wheels in the Sky" testimony</w:t>
        </w:r>
      </w:hyperlink>
    </w:p>
    <w:p>
      <w:pPr>
        <w:pStyle w:val="Heading3"/>
        <w:keepNext/>
        <w:keepLines/>
      </w:pPr>
      <w:r>
        <w:t>Part XXII — Credits</w:t>
      </w:r>
    </w:p>
    <w:p>
      <w:pPr>
        <w:pStyle w:val="ListBullet"/>
        <w:spacing w:before="20" w:after="20"/>
      </w:pPr>
      <w:hyperlink r:id="rId164">
        <w:r>
          <w:rPr>
            <w:b w:val="0"/>
            <w:i w:val="0"/>
            <w:color w:val="B8860B"/>
            <w:sz w:val="19"/>
          </w:rPr>
          <w:t>Credits</w:t>
        </w:r>
      </w:hyperlink>
    </w:p>
    <w:p>
      <w:pPr>
        <w:pStyle w:val="Heading3"/>
        <w:keepNext/>
        <w:keepLines/>
      </w:pPr>
      <w:r>
        <w:t>Reader feedback and corrections</w:t>
      </w:r>
    </w:p>
    <w:p>
      <w:pPr>
        <w:pStyle w:val="ListBullet"/>
        <w:spacing w:before="20" w:after="20"/>
      </w:pPr>
      <w:r>
        <w:rPr>
          <w:b w:val="0"/>
          <w:i w:val="0"/>
          <w:sz w:val="19"/>
        </w:rPr>
      </w:r>
      <w:r>
        <w:rPr>
          <w:b/>
          <w:i w:val="0"/>
          <w:sz w:val="19"/>
        </w:rPr>
        <w:t>FB-001 — Anatoly Fomenko:</w:t>
      </w:r>
      <w:r>
        <w:rPr>
          <w:b w:val="0"/>
          <w:i w:val="0"/>
          <w:sz w:val="19"/>
        </w:rPr>
        <w:t xml:space="preserve"> A Russian-language reader objected to the phrase </w:t>
      </w:r>
      <w:r>
        <w:rPr>
          <w:b w:val="0"/>
          <w:i/>
          <w:sz w:val="19"/>
        </w:rPr>
        <w:t>state-sponsored historian</w:t>
      </w:r>
      <w:r>
        <w:rPr>
          <w:b w:val="0"/>
          <w:i w:val="0"/>
          <w:sz w:val="19"/>
        </w:rPr>
        <w:t xml:space="preserve"> applied to Fomenko. The English chronology overview has been corrected; summary and open follow-ups appear in the section below. Full anonymized post, investigation notes, and East/West citation policy: </w:t>
      </w:r>
      <w:hyperlink r:id="rId165">
        <w:r>
          <w:rPr>
            <w:b w:val="0"/>
            <w:i w:val="0"/>
            <w:color w:val="B8860B"/>
            <w:sz w:val="19"/>
          </w:rPr>
          <w:t>FEEDBACK.md</w:t>
        </w:r>
      </w:hyperlink>
      <w:r>
        <w:rPr>
          <w:b w:val="0"/>
          <w:i w:val="0"/>
          <w:sz w:val="19"/>
        </w:rPr>
        <w:t xml:space="preserve"> (repository dossier).</w:t>
      </w:r>
    </w:p>
    <w:p>
      <w:pPr>
        <w:pBdr>
          <w:bottom w:val="single" w:sz="6" w:space="1" w:color="CCCCCC"/>
        </w:pBdr>
      </w:pPr>
    </w:p>
    <w:p>
      <w:pPr>
        <w:pStyle w:val="Heading2"/>
        <w:keepNext/>
        <w:keepLines/>
      </w:pPr>
      <w:r>
        <w:t>Reader feedback and corrections (book-facing)</w:t>
      </w:r>
    </w:p>
    <w:p>
      <w:pPr>
        <w:pStyle w:val="Heading3"/>
        <w:keepNext/>
        <w:keepLines/>
      </w:pPr>
      <w:r>
        <w:t>FB-001 — Anatoly Fomenko: “state-sponsored historian” (retracted)</w:t>
      </w:r>
    </w:p>
    <w:p>
      <w:r>
        <w:rPr>
          <w:b w:val="0"/>
          <w:i w:val="0"/>
        </w:rPr>
        <w:t xml:space="preserve">A reader of the </w:t>
      </w:r>
      <w:r>
        <w:rPr>
          <w:b/>
          <w:i w:val="0"/>
        </w:rPr>
        <w:t>Russian translation</w:t>
      </w:r>
      <w:r>
        <w:rPr>
          <w:b w:val="0"/>
          <w:i w:val="0"/>
        </w:rPr>
        <w:t xml:space="preserve"> reported that calling Anatoly Fomenko a </w:t>
      </w:r>
      <w:r>
        <w:rPr>
          <w:b w:val="0"/>
          <w:i/>
        </w:rPr>
        <w:t>state-sponsored historian</w:t>
      </w:r>
      <w:r>
        <w:rPr>
          <w:b w:val="0"/>
          <w:i w:val="0"/>
        </w:rPr>
        <w:t xml:space="preserve"> is </w:t>
      </w:r>
      <w:r>
        <w:rPr>
          <w:b/>
          <w:i w:val="0"/>
        </w:rPr>
        <w:t>misleading</w:t>
      </w:r>
      <w:r>
        <w:rPr>
          <w:b w:val="0"/>
          <w:i w:val="0"/>
        </w:rPr>
        <w:t xml:space="preserve">: he is a </w:t>
      </w:r>
      <w:r>
        <w:rPr>
          <w:b/>
          <w:i w:val="0"/>
        </w:rPr>
        <w:t>recognized mathematician</w:t>
      </w:r>
      <w:r>
        <w:rPr>
          <w:b w:val="0"/>
          <w:i w:val="0"/>
        </w:rPr>
        <w:t xml:space="preserve">, elected </w:t>
      </w:r>
      <w:r>
        <w:rPr>
          <w:b/>
          <w:i w:val="0"/>
        </w:rPr>
        <w:t>full member of the Russian Academy of Sciences (1994)</w:t>
      </w:r>
      <w:r>
        <w:rPr>
          <w:b w:val="0"/>
          <w:i w:val="0"/>
        </w:rPr>
        <w:t xml:space="preserve"> for </w:t>
      </w:r>
      <w:r>
        <w:rPr>
          <w:b/>
          <w:i w:val="0"/>
        </w:rPr>
        <w:t>mathematics</w:t>
      </w:r>
      <w:r>
        <w:rPr>
          <w:b w:val="0"/>
          <w:i w:val="0"/>
        </w:rPr>
        <w:t xml:space="preserve">, while his and G.V. Nosovsky’s </w:t>
      </w:r>
      <w:r>
        <w:rPr>
          <w:b/>
          <w:i w:val="0"/>
        </w:rPr>
        <w:t>New Chronology</w:t>
      </w:r>
      <w:r>
        <w:rPr>
          <w:b w:val="0"/>
          <w:i w:val="0"/>
        </w:rPr>
        <w:t xml:space="preserve"> writings are </w:t>
      </w:r>
      <w:r>
        <w:rPr>
          <w:b/>
          <w:i w:val="0"/>
        </w:rPr>
        <w:t>rejected</w:t>
      </w:r>
      <w:r>
        <w:rPr>
          <w:b w:val="0"/>
          <w:i w:val="0"/>
        </w:rPr>
        <w:t xml:space="preserve"> by </w:t>
      </w:r>
      <w:r>
        <w:rPr>
          <w:b/>
          <w:i w:val="0"/>
        </w:rPr>
        <w:t>professional historians</w:t>
      </w:r>
      <w:r>
        <w:rPr>
          <w:b w:val="0"/>
          <w:i w:val="0"/>
        </w:rPr>
        <w:t xml:space="preserve"> in Russia and internationally—i.e. the “official” historical profession’s stance is </w:t>
      </w:r>
      <w:r>
        <w:rPr>
          <w:b/>
          <w:i w:val="0"/>
        </w:rPr>
        <w:t>hostile</w:t>
      </w:r>
      <w:r>
        <w:rPr>
          <w:b w:val="0"/>
          <w:i w:val="0"/>
        </w:rPr>
        <w:t xml:space="preserve">, not sponsoring. The reviewer added that </w:t>
      </w:r>
      <w:r>
        <w:rPr>
          <w:b/>
          <w:i w:val="0"/>
        </w:rPr>
        <w:t>New Chronology</w:t>
      </w:r>
      <w:r>
        <w:rPr>
          <w:b w:val="0"/>
          <w:i w:val="0"/>
        </w:rPr>
        <w:t xml:space="preserve"> was not treated as state-backed project work (no grants named; Soviet-era </w:t>
      </w:r>
      <w:r>
        <w:rPr>
          <w:b/>
          <w:i w:val="0"/>
        </w:rPr>
        <w:t>denunciations</w:t>
      </w:r>
      <w:r>
        <w:rPr>
          <w:b w:val="0"/>
          <w:i w:val="0"/>
        </w:rPr>
        <w:t xml:space="preserve"> alleged but </w:t>
      </w:r>
      <w:r>
        <w:rPr>
          <w:b/>
          <w:i w:val="0"/>
        </w:rPr>
        <w:t>no</w:t>
      </w:r>
      <w:r>
        <w:rPr>
          <w:b w:val="0"/>
          <w:i w:val="0"/>
        </w:rPr>
        <w:t xml:space="preserve"> systematic persecution described).</w:t>
      </w:r>
    </w:p>
    <w:p>
      <w:r>
        <w:rPr>
          <w:b w:val="0"/>
          <w:i w:val="0"/>
        </w:rPr>
      </w:r>
      <w:r>
        <w:rPr>
          <w:b/>
          <w:i w:val="0"/>
        </w:rPr>
        <w:t>Correction applied:</w:t>
      </w:r>
      <w:r>
        <w:rPr>
          <w:b w:val="0"/>
          <w:i w:val="0"/>
        </w:rPr>
        <w:t xml:space="preserve"> The same wording was removed from paradigm-threat-files </w:t>
      </w:r>
      <w:r>
        <w:rPr>
          <w:rFonts w:ascii="JetBrains Mono" w:hAnsi="JetBrains Mono"/>
          <w:sz w:val="20"/>
        </w:rPr>
        <w:t>history/chronology/page.md</w:t>
      </w:r>
      <w:hyperlink r:id="rId166">
        <w:r>
          <w:rPr>
            <w:b w:val="0"/>
            <w:i w:val="0"/>
            <w:color w:val="B8860B"/>
          </w:rPr>
        </w:r>
      </w:hyperlink>
      <w:r>
        <w:rPr>
          <w:b w:val="0"/>
          <w:i w:val="0"/>
        </w:rPr>
        <w:t xml:space="preserve"> and from the timeline overview </w:t>
      </w:r>
      <w:r>
        <w:rPr>
          <w:rFonts w:ascii="JetBrains Mono" w:hAnsi="JetBrains Mono"/>
          <w:sz w:val="20"/>
        </w:rPr>
        <w:t>content/00.overview/00.02.00-background.md</w:t>
      </w:r>
      <w:hyperlink r:id="rId167">
        <w:r>
          <w:rPr>
            <w:b w:val="0"/>
            <w:i w:val="0"/>
            <w:color w:val="B8860B"/>
          </w:rPr>
        </w:r>
      </w:hyperlink>
      <w:r>
        <w:rPr>
          <w:b w:val="0"/>
          <w:i w:val="0"/>
        </w:rPr>
        <w:t xml:space="preserve">; both now separate </w:t>
      </w:r>
      <w:r>
        <w:rPr>
          <w:b/>
          <w:i w:val="0"/>
        </w:rPr>
        <w:t>RAS membership (mathematics)</w:t>
      </w:r>
      <w:r>
        <w:rPr>
          <w:b w:val="0"/>
          <w:i w:val="0"/>
        </w:rPr>
        <w:t xml:space="preserve"> from </w:t>
      </w:r>
      <w:r>
        <w:rPr>
          <w:b/>
          <w:i w:val="0"/>
        </w:rPr>
        <w:t xml:space="preserve">mainstream rejection of </w:t>
      </w:r>
      <w:r>
        <w:rPr>
          <w:b/>
          <w:i/>
        </w:rPr>
        <w:t>New Chronology</w:t>
      </w:r>
      <w:r>
        <w:rPr>
          <w:b w:val="0"/>
          <w:i w:val="0"/>
        </w:rPr>
        <w:t xml:space="preserve">. Regenerate </w:t>
      </w:r>
      <w:r>
        <w:rPr>
          <w:b/>
          <w:i w:val="0"/>
        </w:rPr>
        <w:t>DOCX/PDF</w:t>
      </w:r>
      <w:r>
        <w:rPr>
          <w:b w:val="0"/>
          <w:i w:val="0"/>
        </w:rPr>
        <w:t xml:space="preserve"> (and any Russian export) so compiled books pick up the fix.</w:t>
      </w:r>
    </w:p>
    <w:p>
      <w:r>
        <w:rPr>
          <w:b w:val="0"/>
          <w:i w:val="0"/>
        </w:rPr>
      </w:r>
      <w:r>
        <w:rPr>
          <w:b/>
          <w:i w:val="0"/>
        </w:rPr>
        <w:t>Second thread (not “fixed,” recorded):</w:t>
      </w:r>
      <w:r>
        <w:rPr>
          <w:b w:val="0"/>
          <w:i w:val="0"/>
        </w:rPr>
        <w:t xml:space="preserve"> The same feedback bundled </w:t>
      </w:r>
      <w:r>
        <w:rPr>
          <w:b/>
          <w:i w:val="0"/>
        </w:rPr>
        <w:t>Saturnian / 4077 BCE / catastrophism</w:t>
      </w:r>
      <w:r>
        <w:rPr>
          <w:b w:val="0"/>
          <w:i w:val="0"/>
        </w:rPr>
        <w:t xml:space="preserve"> with </w:t>
      </w:r>
      <w:r>
        <w:rPr>
          <w:b/>
          <w:i w:val="0"/>
        </w:rPr>
        <w:t>New Chronology</w:t>
      </w:r>
      <w:r>
        <w:rPr>
          <w:b w:val="0"/>
          <w:i w:val="0"/>
        </w:rPr>
        <w:t xml:space="preserve"> and read the mix as </w:t>
      </w:r>
      <w:r>
        <w:rPr>
          <w:b/>
          <w:i w:val="0"/>
        </w:rPr>
        <w:t>fantasy or esotericism</w:t>
      </w:r>
      <w:r>
        <w:rPr>
          <w:b w:val="0"/>
          <w:i w:val="0"/>
        </w:rPr>
        <w:t xml:space="preserve"> rather than science—the “fly in the ointment” problem. This chronology </w:t>
      </w:r>
      <w:r>
        <w:rPr>
          <w:b/>
          <w:i w:val="0"/>
        </w:rPr>
        <w:t>already</w:t>
      </w:r>
      <w:r>
        <w:rPr>
          <w:b w:val="0"/>
          <w:i w:val="0"/>
        </w:rPr>
        <w:t xml:space="preserve"> treats </w:t>
      </w:r>
      <w:r>
        <w:rPr>
          <w:b/>
          <w:i w:val="0"/>
        </w:rPr>
        <w:t>Fomenko</w:t>
      </w:r>
      <w:r>
        <w:rPr>
          <w:b w:val="0"/>
          <w:i w:val="0"/>
        </w:rPr>
        <w:t xml:space="preserve"> and </w:t>
      </w:r>
      <w:r>
        <w:rPr>
          <w:b/>
          <w:i w:val="0"/>
        </w:rPr>
        <w:t>Saturnian</w:t>
      </w:r>
      <w:r>
        <w:rPr>
          <w:b w:val="0"/>
          <w:i w:val="0"/>
        </w:rPr>
        <w:t xml:space="preserve"> lines as </w:t>
      </w:r>
      <w:r>
        <w:rPr>
          <w:b/>
          <w:i w:val="0"/>
        </w:rPr>
        <w:t>different frameworks</w:t>
      </w:r>
      <w:r>
        <w:rPr>
          <w:b w:val="0"/>
          <w:i w:val="0"/>
        </w:rPr>
        <w:t xml:space="preserve"> in project rules; the actionable item is </w:t>
      </w:r>
      <w:r>
        <w:rPr>
          <w:b/>
          <w:i w:val="0"/>
        </w:rPr>
        <w:t>clearer chapter boundaries</w:t>
      </w:r>
      <w:r>
        <w:rPr>
          <w:b w:val="0"/>
          <w:i w:val="0"/>
        </w:rPr>
        <w:t xml:space="preserve"> in any </w:t>
      </w:r>
      <w:r>
        <w:rPr>
          <w:b/>
          <w:i w:val="0"/>
        </w:rPr>
        <w:t>compiled book</w:t>
      </w:r>
      <w:r>
        <w:rPr>
          <w:b w:val="0"/>
          <w:i w:val="0"/>
        </w:rPr>
        <w:t xml:space="preserve"> so readers who want </w:t>
      </w:r>
      <w:r>
        <w:rPr>
          <w:b/>
          <w:i w:val="0"/>
        </w:rPr>
        <w:t>only</w:t>
      </w:r>
      <w:r>
        <w:rPr>
          <w:b w:val="0"/>
          <w:i w:val="0"/>
        </w:rPr>
        <w:t xml:space="preserve"> statistical chronology are not forced through </w:t>
      </w:r>
      <w:r>
        <w:rPr>
          <w:b/>
          <w:i w:val="0"/>
        </w:rPr>
        <w:t>cosmology</w:t>
      </w:r>
      <w:r>
        <w:rPr>
          <w:b w:val="0"/>
          <w:i w:val="0"/>
        </w:rPr>
        <w:t xml:space="preserve"> in the same breath.</w:t>
      </w:r>
    </w:p>
    <w:p>
      <w:r>
        <w:rPr>
          <w:b w:val="0"/>
          <w:i w:val="0"/>
        </w:rPr>
      </w:r>
      <w:r>
        <w:rPr>
          <w:b/>
          <w:i w:val="0"/>
        </w:rPr>
        <w:t>Open:</w:t>
      </w:r>
      <w:r>
        <w:rPr>
          <w:b w:val="0"/>
          <w:i w:val="0"/>
        </w:rPr>
        <w:t xml:space="preserve"> Pass the same Fomenko wording correction through any </w:t>
      </w:r>
      <w:r>
        <w:rPr>
          <w:b/>
          <w:i w:val="0"/>
        </w:rPr>
        <w:t>standalone Russian book</w:t>
      </w:r>
      <w:r>
        <w:rPr>
          <w:b w:val="0"/>
          <w:i w:val="0"/>
        </w:rPr>
        <w:t xml:space="preserve"> source if it was not generated from </w:t>
      </w:r>
      <w:r>
        <w:rPr>
          <w:rFonts w:ascii="JetBrains Mono" w:hAnsi="JetBrains Mono"/>
          <w:sz w:val="20"/>
        </w:rPr>
        <w:t>page.md</w:t>
      </w:r>
      <w:r>
        <w:rPr>
          <w:b w:val="0"/>
          <w:i w:val="0"/>
        </w:rPr>
        <w:t xml:space="preserve">. Optional non-Western anchor for “academy vs. pseudohistory”: RAS digest </w:t>
      </w:r>
      <w:r>
        <w:rPr>
          <w:b w:val="0"/>
          <w:i/>
        </w:rPr>
        <w:t>В защиту науки</w:t>
      </w:r>
      <w:r>
        <w:rPr>
          <w:b w:val="0"/>
          <w:i w:val="0"/>
        </w:rPr>
        <w:t xml:space="preserve"> (“In defence of science”) bulletins on </w:t>
      </w:r>
      <w:hyperlink r:id="rId168">
        <w:r>
          <w:rPr>
            <w:b w:val="0"/>
            <w:i w:val="0"/>
            <w:color w:val="B8860B"/>
          </w:rPr>
          <w:t>ras.ru</w:t>
        </w:r>
      </w:hyperlink>
      <w:r>
        <w:rPr>
          <w:b w:val="0"/>
          <w:i w:val="0"/>
        </w:rPr>
        <w:t xml:space="preserve"> (see Wikipedia article on Fomenko for pointers).</w:t>
      </w:r>
    </w:p>
    <w:p>
      <w:r>
        <w:rPr>
          <w:b w:val="0"/>
          <w:i w:val="0"/>
        </w:rPr>
      </w:r>
      <w:r>
        <w:rPr>
          <w:b/>
          <w:i w:val="0"/>
        </w:rPr>
        <w:t>ID:</w:t>
      </w:r>
      <w:r>
        <w:rPr>
          <w:b w:val="0"/>
          <w:i w:val="0"/>
        </w:rPr>
        <w:t xml:space="preserve"> FB-001 — see </w:t>
      </w:r>
      <w:hyperlink r:id="rId165">
        <w:r>
          <w:rPr>
            <w:b w:val="0"/>
            <w:i w:val="0"/>
            <w:color w:val="B8860B"/>
          </w:rPr>
          <w:t>FEEDBACK.md</w:t>
        </w:r>
      </w:hyperlink>
      <w:r>
        <w:rPr>
          <w:b w:val="0"/>
          <w:i w:val="0"/>
        </w:rPr>
        <w:t xml:space="preserve"> for the full anonymized text and investigation table.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Other Challenges to Chronology</w:t>
      </w:r>
    </w:p>
    <w:p>
      <w:pPr>
        <w:pStyle w:val="Quote"/>
      </w:pPr>
      <w:r>
        <w:rPr>
          <w:b w:val="0"/>
          <w:i w:val="0"/>
          <w:sz w:val="19"/>
        </w:rPr>
      </w:r>
      <w:r>
        <w:rPr>
          <w:b/>
          <w:i w:val="0"/>
          <w:sz w:val="19"/>
        </w:rPr>
        <w:t>TL;DR:</w:t>
      </w:r>
      <w:r>
        <w:rPr>
          <w:b w:val="0"/>
          <w:i w:val="0"/>
          <w:sz w:val="19"/>
        </w:rPr>
        <w:t xml:space="preserve"> TODO</w:t>
      </w:r>
    </w:p>
    <w:p>
      <w:r>
        <w:rPr>
          <w:b w:val="0"/>
          <w:i w:val="0"/>
        </w:rPr>
        <w:t xml:space="preserve">Detailed comparison tables and Year Zero frameworks supplementing the main article: </w:t>
      </w:r>
      <w:hyperlink r:id="rId112">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169">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170">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12">
        <w:r>
          <w:rPr>
            <w:b w:val="0"/>
            <w:i w:val="0"/>
            <w:color w:val="B8860B"/>
          </w:rPr>
          <w:t>Other Challenges to Chronology</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Detailed scholar profiles supplementing the main article: </w:t>
      </w:r>
      <w:hyperlink r:id="rId171">
        <w:r>
          <w:rPr>
            <w:b w:val="0"/>
            <w:i w:val="0"/>
            <w:color w:val="B8860B"/>
          </w:rPr>
          <w:t>Building the New Chronology</w:t>
        </w:r>
      </w:hyperlink>
      <w:r>
        <w:rPr>
          <w:b w:val="0"/>
          <w:i w:val="0"/>
        </w:rPr>
        <w:t>.</w:t>
      </w:r>
    </w:p>
    <w:p>
      <w:pPr>
        <w:pBdr>
          <w:bottom w:val="single" w:sz="6" w:space="1" w:color="CCCCCC"/>
        </w:pBdr>
      </w:pPr>
    </w:p>
    <w:p>
      <w:pPr>
        <w:pStyle w:val="Heading3"/>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3"/>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00">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19">
        <w:r>
          <w:rPr>
            <w:b w:val="0"/>
            <w:i w:val="0"/>
            <w:color w:val="B8860B"/>
          </w:rPr>
          <w:t>Fomenko profile</w:t>
        </w:r>
      </w:hyperlink>
      <w:r>
        <w:rPr>
          <w:b w:val="0"/>
          <w:i w:val="0"/>
        </w:rPr>
        <w:t>.</w:t>
      </w:r>
    </w:p>
    <w:p>
      <w:r>
        <w:rPr>
          <w:b w:val="0"/>
          <w:i w:val="0"/>
        </w:rPr>
        <w:t xml:space="preserve">For gap-size comparison, see </w:t>
      </w:r>
      <w:hyperlink r:id="rId112">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Timeline Synchronization</w:t>
      </w:r>
    </w:p>
    <w:p>
      <w:r>
        <w:rPr>
          <w:b w:val="0"/>
          <w:i w:val="0"/>
        </w:rPr>
        <w:t xml:space="preserve">Detailed date tables and source validation supplementing the main article: </w:t>
      </w:r>
      <w:hyperlink r:id="rId172">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173">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132">
        <w:r>
          <w:rPr>
            <w:b w:val="0"/>
            <w:i w:val="0"/>
            <w:color w:val="B8860B"/>
          </w:rPr>
          <w:t>Predictive Programming</w:t>
        </w:r>
      </w:hyperlink>
      <w:r>
        <w:rPr>
          <w:b w:val="0"/>
          <w:i w:val="0"/>
        </w:rPr>
        <w:t xml:space="preserve"> | </w:t>
      </w:r>
      <w:hyperlink r:id="rId174">
        <w:r>
          <w:rPr>
            <w:b w:val="0"/>
            <w:i w:val="0"/>
            <w:color w:val="B8860B"/>
          </w:rPr>
          <w:t>The Mars Catastrophe</w:t>
        </w:r>
      </w:hyperlink>
    </w:p>
    <w:p>
      <w:pPr>
        <w:pBdr>
          <w:bottom w:val="single" w:sz="6" w:space="1" w:color="CCCCCC"/>
        </w:pBdr>
      </w:pPr>
    </w:p>
    <w:p>
      <w:pPr>
        <w:pStyle w:val="Heading3"/>
        <w:keepNext/>
        <w:keepLines/>
      </w:pPr>
      <w:r>
        <w:t>~1774: The MFEE — Mars Catastrophe</w:t>
      </w:r>
    </w:p>
    <w:p>
      <w:r>
        <w:rPr>
          <w:b w:val="0"/>
          <w:i w:val="0"/>
        </w:rPr>
        <w:t xml:space="preserve">During the </w:t>
      </w:r>
      <w:hyperlink r:id="rId175">
        <w:r>
          <w:rPr>
            <w:b w:val="0"/>
            <w:i w:val="0"/>
            <w:color w:val="B8860B"/>
          </w:rPr>
          <w:t>Pugachev Rebellion</w:t>
        </w:r>
      </w:hyperlink>
      <w:r>
        <w:rPr>
          <w:b w:val="0"/>
          <w:i w:val="0"/>
        </w:rPr>
        <w:t xml:space="preserve"> (~1773–1774), humans on Mars deployed </w:t>
      </w:r>
      <w:hyperlink r:id="rId176">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177">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178">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132">
        <w:r>
          <w:rPr>
            <w:b w:val="0"/>
            <w:i w:val="0"/>
            <w:color w:val="B8860B"/>
          </w:rPr>
          <w:t>predictive programming dead end</w:t>
        </w:r>
      </w:hyperlink>
      <w:r>
        <w:rPr>
          <w:b w:val="0"/>
          <w:i w:val="0"/>
        </w:rPr>
        <w:t xml:space="preserve">: the mystery is real, his framing is the trap. Full rebound theory: </w:t>
      </w:r>
      <w:hyperlink r:id="rId174">
        <w:r>
          <w:rPr>
            <w:b w:val="0"/>
            <w:i w:val="0"/>
            <w:color w:val="B8860B"/>
          </w:rPr>
          <w:t>The Mars Catastrophe</w:t>
        </w:r>
      </w:hyperlink>
      <w:r>
        <w:rPr>
          <w:b w:val="0"/>
          <w:i w:val="0"/>
        </w:rPr>
        <w:t>.</w:t>
      </w:r>
    </w:p>
    <w:p>
      <w:pPr>
        <w:pBdr>
          <w:bottom w:val="single" w:sz="6" w:space="1" w:color="CCCCCC"/>
        </w:pBdr>
      </w:pPr>
    </w:p>
    <w:p>
      <w:pPr>
        <w:pStyle w:val="Heading3"/>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3"/>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179">
        <w:r>
          <w:rPr>
            <w:b w:val="0"/>
            <w:i w:val="0"/>
            <w:color w:val="B8860B"/>
          </w:rPr>
          <w:t>Moreau investigation</w:t>
        </w:r>
      </w:hyperlink>
      <w:r>
        <w:rPr>
          <w:b w:val="0"/>
          <w:i w:val="0"/>
        </w:rPr>
        <w:t>.</w:t>
      </w:r>
    </w:p>
    <w:p>
      <w:pPr>
        <w:pBdr>
          <w:bottom w:val="single" w:sz="6" w:space="1" w:color="CCCCCC"/>
        </w:pBdr>
      </w:pPr>
    </w:p>
    <w:p>
      <w:pPr>
        <w:pStyle w:val="Heading3"/>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180">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3"/>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3"/>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3"/>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3"/>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181">
        <w:r>
          <w:rPr>
            <w:b w:val="0"/>
            <w:i w:val="0"/>
            <w:color w:val="B8860B"/>
          </w:rPr>
          <w:t>Aftermath of 1812</w:t>
        </w:r>
      </w:hyperlink>
      <w:r>
        <w:rPr>
          <w:b w:val="0"/>
          <w:i w:val="0"/>
        </w:rPr>
        <w:t>.</w:t>
      </w:r>
    </w:p>
    <w:p>
      <w:pPr>
        <w:pBdr>
          <w:bottom w:val="single" w:sz="6" w:space="1" w:color="CCCCCC"/>
        </w:pBdr>
      </w:pPr>
    </w:p>
    <w:p>
      <w:pPr>
        <w:pStyle w:val="Heading3"/>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141">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3"/>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3"/>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3"/>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3"/>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3"/>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3"/>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182">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Pyramids: Myths vs Reality</w:t>
      </w:r>
    </w:p>
    <w:p>
      <w:r>
        <w:rPr>
          <w:b w:val="0"/>
          <w:i w:val="0"/>
        </w:rPr>
        <w:t xml:space="preserve">This appendix extends </w:t>
      </w:r>
      <w:hyperlink r:id="rId183">
        <w:r>
          <w:rPr>
            <w:b w:val="0"/>
            <w:i w:val="0"/>
            <w:color w:val="B8860B"/>
          </w:rPr>
          <w:t>Pyramids: Myths vs Reality</w:t>
        </w:r>
      </w:hyperlink>
      <w:r>
        <w:rPr>
          <w:b w:val="0"/>
          <w:i w:val="0"/>
        </w:rPr>
        <w:t>. Detailed evidence for each myth rebuttal.</w:t>
      </w:r>
    </w:p>
    <w:p>
      <w:pPr>
        <w:pBdr>
          <w:bottom w:val="single" w:sz="6" w:space="1" w:color="CCCCCC"/>
        </w:pBdr>
      </w:pPr>
    </w:p>
    <w:p>
      <w:pPr>
        <w:pStyle w:val="Heading2"/>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84">
        <w:r>
          <w:rPr>
            <w:b w:val="0"/>
            <w:i w:val="0"/>
            <w:color w:val="B8860B"/>
          </w:rPr>
          <w:t>Fomenko, HiW §4.13</w:t>
        </w:r>
      </w:hyperlink>
      <w:r>
        <w:rPr>
          <w:b w:val="0"/>
          <w:i w:val="0"/>
        </w:rPr>
        <w:t>). Worst-designed tomb ever: no burial goods, no identification, no remains.</w:t>
      </w:r>
    </w:p>
    <w:p>
      <w:pPr>
        <w:pStyle w:val="Heading2"/>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85">
        <w:r>
          <w:rPr>
            <w:b w:val="0"/>
            <w:i w:val="0"/>
            <w:color w:val="B8860B"/>
          </w:rPr>
          <w:t>The Pyramids: An Enigma Solved</w:t>
        </w:r>
      </w:hyperlink>
      <w:r>
        <w:rPr>
          <w:b w:val="0"/>
          <w:i w:val="0"/>
        </w:rPr>
        <w:t xml:space="preserve">). Matting marks from casting visible above 50 m. See </w:t>
      </w:r>
      <w:hyperlink r:id="rId186">
        <w:r>
          <w:rPr>
            <w:b w:val="0"/>
            <w:i w:val="0"/>
            <w:color w:val="B8860B"/>
          </w:rPr>
          <w:t>Geopolymer Concrete</w:t>
        </w:r>
      </w:hyperlink>
      <w:r>
        <w:rPr>
          <w:b w:val="0"/>
          <w:i w:val="0"/>
        </w:rPr>
        <w:t>.</w:t>
      </w:r>
    </w:p>
    <w:p>
      <w:pPr>
        <w:pStyle w:val="Heading2"/>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2"/>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Seven Days and other Creation Narratives</w:t>
      </w:r>
    </w:p>
    <w:p>
      <w:pPr>
        <w:pStyle w:val="Quote"/>
      </w:pPr>
      <w:r>
        <w:rPr>
          <w:b w:val="0"/>
          <w:i w:val="0"/>
          <w:sz w:val="19"/>
        </w:rPr>
      </w:r>
      <w:r>
        <w:rPr>
          <w:b/>
          <w:i w:val="0"/>
          <w:sz w:val="19"/>
        </w:rPr>
        <w:t>TL;DR:</w:t>
      </w:r>
      <w:r>
        <w:rPr>
          <w:b w:val="0"/>
          <w:i w:val="0"/>
          <w:sz w:val="19"/>
        </w:rPr>
        <w:t xml:space="preserve"> TODO</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67">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187">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73">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188">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189">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190">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189">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191">
        <w:r>
          <w:rPr>
            <w:b w:val="0"/>
            <w:i w:val="0"/>
            <w:color w:val="B8860B"/>
          </w:rPr>
          <w:t>Northern Hemisphere Configuration</w:t>
        </w:r>
      </w:hyperlink>
      <w:r>
        <w:rPr>
          <w:b w:val="0"/>
          <w:i w:val="0"/>
        </w:rPr>
        <w:t xml:space="preserve"> | </w:t>
      </w:r>
      <w:hyperlink r:id="rId192">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93">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191">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189">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193">
        <w:r>
          <w:rPr>
            <w:b w:val="0"/>
            <w:i w:val="0"/>
            <w:color w:val="B8860B"/>
          </w:rPr>
          <w:t>The Golden Age Ends Violently</w:t>
        </w:r>
      </w:hyperlink>
      <w:r>
        <w:rPr>
          <w:b w:val="0"/>
          <w:i w:val="0"/>
        </w:rPr>
        <w:t xml:space="preserve"> | </w:t>
      </w:r>
      <w:hyperlink r:id="rId194">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192">
        <w:r>
          <w:rPr>
            <w:b w:val="0"/>
            <w:i w:val="0"/>
            <w:color w:val="B8860B"/>
          </w:rPr>
          <w:t>Southern Hemisphere Configuration</w:t>
        </w:r>
      </w:hyperlink>
      <w:r>
        <w:rPr>
          <w:b w:val="0"/>
          <w:i w:val="0"/>
        </w:rPr>
        <w:t xml:space="preserve"> | </w:t>
      </w:r>
      <w:hyperlink r:id="rId67">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193">
        <w:r>
          <w:rPr>
            <w:b w:val="0"/>
            <w:i w:val="0"/>
            <w:color w:val="B8860B"/>
          </w:rPr>
          <w:t>The Golden Age Ends Violently</w:t>
        </w:r>
      </w:hyperlink>
      <w:r>
        <w:rPr>
          <w:b w:val="0"/>
          <w:i w:val="0"/>
        </w:rPr>
        <w:t xml:space="preserve"> and </w:t>
      </w:r>
      <w:hyperlink r:id="rId194">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5">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196">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197">
        <w:r>
          <w:rPr>
            <w:b w:val="0"/>
            <w:i w:val="0"/>
            <w:color w:val="B8860B"/>
            <w:sz w:val="19"/>
          </w:rPr>
          <w:t>Genesis 7:4</w:t>
        </w:r>
      </w:hyperlink>
    </w:p>
    <w:p>
      <w:pPr>
        <w:pStyle w:val="ListBullet"/>
        <w:spacing w:before="20" w:after="20"/>
      </w:pPr>
      <w:hyperlink r:id="rId198">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188">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73">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189">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190">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191">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192">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189">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193">
        <w:r>
          <w:rPr>
            <w:b w:val="0"/>
            <w:i w:val="0"/>
            <w:color w:val="B8860B"/>
            <w:sz w:val="19"/>
          </w:rPr>
          <w:t>The Golden Age Ends Violently</w:t>
        </w:r>
      </w:hyperlink>
      <w:r>
        <w:rPr>
          <w:b w:val="0"/>
          <w:i w:val="0"/>
          <w:sz w:val="19"/>
        </w:rPr>
        <w:t xml:space="preserve"> — Day 7 catastrophe</w:t>
      </w:r>
    </w:p>
    <w:p>
      <w:pPr>
        <w:pStyle w:val="ListBullet"/>
        <w:spacing w:before="20" w:after="20"/>
      </w:pPr>
      <w:hyperlink r:id="rId194">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9">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00">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01">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95">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196">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202">
        <w:r>
          <w:rPr>
            <w:b w:val="0"/>
            <w:i w:val="0"/>
            <w:color w:val="B8860B"/>
            <w:sz w:val="19"/>
          </w:rPr>
          <w:t>Genesis 1–2, KJV</w:t>
        </w:r>
      </w:hyperlink>
    </w:p>
    <w:p>
      <w:pPr>
        <w:pStyle w:val="ListBullet"/>
        <w:spacing w:before="20" w:after="20"/>
      </w:pPr>
      <w:hyperlink r:id="rId197">
        <w:r>
          <w:rPr>
            <w:b w:val="0"/>
            <w:i w:val="0"/>
            <w:color w:val="B8860B"/>
            <w:sz w:val="19"/>
          </w:rPr>
          <w:t>Genesis 7:4, KJV</w:t>
        </w:r>
      </w:hyperlink>
      <w:r>
        <w:rPr>
          <w:b w:val="0"/>
          <w:i w:val="0"/>
          <w:sz w:val="19"/>
        </w:rPr>
        <w:t xml:space="preserve"> — seven-day delay before the Flood</w:t>
      </w:r>
    </w:p>
    <w:p>
      <w:pPr>
        <w:pStyle w:val="ListBullet"/>
        <w:spacing w:before="20" w:after="20"/>
      </w:pPr>
      <w:hyperlink r:id="rId198">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187">
        <w:r>
          <w:rPr>
            <w:b w:val="0"/>
            <w:i w:val="0"/>
            <w:color w:val="B8860B"/>
            <w:sz w:val="19"/>
          </w:rPr>
          <w:t>Cronus / Kronos — Wikipedia</w:t>
        </w:r>
      </w:hyperlink>
    </w:p>
    <w:p>
      <w:pPr>
        <w:pStyle w:val="ListBullet"/>
        <w:spacing w:before="20" w:after="20"/>
      </w:pPr>
      <w:hyperlink r:id="rId203">
        <w:r>
          <w:rPr>
            <w:b w:val="0"/>
            <w:i w:val="0"/>
            <w:color w:val="B8860B"/>
            <w:sz w:val="19"/>
          </w:rPr>
          <w:t>Week — Wikipedia: Origin of the seven-day week</w:t>
        </w:r>
      </w:hyperlink>
    </w:p>
    <w:p/>
    <w:p>
      <w:pPr>
        <w:jc w:val="center"/>
      </w:pPr>
      <w:r>
        <w:rPr>
          <w:color w:val="B8860B"/>
          <w:sz w:val="24"/>
        </w:rPr>
        <w:t>— ✦ —</w:t>
      </w:r>
    </w:p>
    <w:p>
      <w:r>
        <w:rPr>
          <w:b w:val="0"/>
          <w:i w:val="0"/>
        </w:rPr>
        <w:t xml:space="preserve">Supplementary table for </w:t>
      </w:r>
      <w:hyperlink r:id="rId93">
        <w:r>
          <w:rPr>
            <w:b w:val="0"/>
            <w:i w:val="0"/>
            <w:color w:val="B8860B"/>
          </w:rPr>
          <w:t>The Golden Age</w:t>
        </w:r>
      </w:hyperlink>
      <w:r>
        <w:rPr>
          <w:b w:val="0"/>
          <w:i w:val="0"/>
        </w:rPr>
        <w:t>. The main chapter gives the sequence in prose; here the same steps appear in tabular form with date placeholders.</w:t>
      </w:r>
    </w:p>
    <w:p>
      <w:r>
        <w:rPr>
          <w:b w:val="0"/>
          <w:i w:val="0"/>
        </w:rPr>
      </w:r>
      <w:r>
        <w:rPr>
          <w:b/>
          <w:i w:val="0"/>
        </w:rPr>
        <w:t>Source:</w:t>
      </w:r>
      <w:r>
        <w:rPr>
          <w:b w:val="0"/>
          <w:i w:val="0"/>
        </w:rPr>
        <w:t xml:space="preserve"> David Talbott, </w:t>
      </w:r>
      <w:r>
        <w:rPr>
          <w:b w:val="0"/>
          <w:i/>
        </w:rPr>
        <w:t>Remembering the End of the World</w:t>
      </w:r>
      <w:r>
        <w:rPr>
          <w:b w:val="0"/>
          <w:i w:val="0"/>
        </w:rPr>
        <w:t xml:space="preserve"> (</w:t>
      </w:r>
      <w:hyperlink r:id="rId204">
        <w:r>
          <w:rPr>
            <w:b w:val="0"/>
            <w:i w:val="0"/>
            <w:color w:val="B8860B"/>
          </w:rPr>
          <w:t>YouTube</w:t>
        </w:r>
      </w:hyperlink>
      <w:r>
        <w:rPr>
          <w:b w:val="0"/>
          <w:i w:val="0"/>
        </w:rPr>
        <w:t xml:space="preserve">). </w:t>
      </w:r>
      <w:r>
        <w:rPr>
          <w:b/>
          <w:i w:val="0"/>
        </w:rPr>
        <w:t>Cook dates:</w:t>
      </w:r>
      <w:r>
        <w:rPr>
          <w:b w:val="0"/>
          <w:i w:val="0"/>
        </w:rPr>
        <w:t xml:space="preserve"> Jno Cook places the bright crescent / Saturn nova at </w:t>
      </w:r>
      <w:r>
        <w:rPr>
          <w:b/>
          <w:i w:val="0"/>
        </w:rPr>
        <w:t>4077 BCE</w:t>
      </w:r>
      <w:r>
        <w:rPr>
          <w:b w:val="0"/>
          <w:i w:val="0"/>
        </w:rPr>
        <w:t xml:space="preserve"> and the end of the collinear configuration at </w:t>
      </w:r>
      <w:r>
        <w:rPr>
          <w:b/>
          <w:i w:val="0"/>
        </w:rPr>
        <w:t>3147 BCE</w:t>
      </w:r>
      <w:r>
        <w:rPr>
          <w:b w:val="0"/>
          <w:i w:val="0"/>
        </w:rPr>
        <w:t xml:space="preserve">; those anchors are shown in the Date column where they align with a step. All other steps are </w:t>
      </w:r>
      <w:r>
        <w:rPr>
          <w:b/>
          <w:i w:val="0"/>
        </w:rPr>
        <w:t>?</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rPr>
                <w:rFonts w:ascii="Libre Franklin" w:hAnsi="Libre Franklin"/>
                <w:b/>
                <w:sz w:val="18"/>
              </w:rPr>
              <w:t>Step</w:t>
            </w:r>
          </w:p>
        </w:tc>
        <w:tc>
          <w:tcPr>
            <w:tcW w:type="dxa" w:w="767"/>
            <w:shd w:val="clear" w:color="auto" w:fill="F0F0F0"/>
          </w:tcPr>
          <w:p>
            <w:pPr>
              <w:spacing w:before="20" w:after="20"/>
              <w:jc w:val="center"/>
            </w:pPr>
            <w:r>
              <w:rPr>
                <w:rFonts w:ascii="Libre Franklin" w:hAnsi="Libre Franklin"/>
                <w:b/>
                <w:sz w:val="18"/>
              </w:rPr>
              <w:t>Date</w:t>
            </w:r>
          </w:p>
        </w:tc>
        <w:tc>
          <w:tcPr>
            <w:tcW w:type="dxa" w:w="4838"/>
            <w:shd w:val="clear" w:color="auto" w:fill="F0F0F0"/>
          </w:tcPr>
          <w:p>
            <w:pPr>
              <w:spacing w:before="20" w:after="20"/>
              <w:jc w:val="center"/>
            </w:pPr>
            <w:r>
              <w:rPr>
                <w:rFonts w:ascii="Libre Franklin" w:hAnsi="Libre Franklin"/>
                <w:b/>
                <w:sz w:val="18"/>
              </w:rPr>
              <w:t>Event</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rPr>
                <w:b w:val="0"/>
                <w:i w:val="0"/>
                <w:sz w:val="18"/>
              </w:rPr>
              <w:t>Timeless epoch (diffuse cloud)</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rPr>
                <w:b w:val="0"/>
                <w:i w:val="0"/>
                <w:sz w:val="18"/>
              </w:rPr>
              <w:t>Cloud dissipates</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rPr>
                <w:b w:val="0"/>
                <w:i w:val="0"/>
                <w:sz w:val="18"/>
              </w:rPr>
              <w:t>Crescent appears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rPr>
          <w:b w:val="0"/>
          <w:i w:val="0"/>
        </w:rPr>
        <w:t xml:space="preserve">See </w:t>
      </w:r>
      <w:hyperlink r:id="rId205">
        <w:r>
          <w:rPr>
            <w:b w:val="0"/>
            <w:i w:val="0"/>
            <w:color w:val="B8860B"/>
          </w:rPr>
          <w:t>Golden Age event dates investigation</w:t>
        </w:r>
      </w:hyperlink>
      <w:r>
        <w:rPr>
          <w:b w:val="0"/>
          <w:i w:val="0"/>
        </w:rPr>
        <w:t xml:space="preserve"> for documentary order, </w:t>
      </w:r>
      <w:r>
        <w:rPr>
          <w:b w:val="0"/>
          <w:i/>
        </w:rPr>
        <w:t>Saturn Myth</w:t>
      </w:r>
      <w:r>
        <w:rPr>
          <w:b w:val="0"/>
          <w:i w:val="0"/>
        </w:rPr>
        <w:t xml:space="preserve"> comparison, and source notes.</w:t>
      </w:r>
    </w:p>
    <w:p/>
    <w:p>
      <w:pPr>
        <w:sectPr>
          <w:headerReference w:type="default" r:id="rId119"/>
          <w:footerReference w:type="default" r:id="rId12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XVIII</w:t>
      </w:r>
    </w:p>
    <w:p>
      <w:pPr>
        <w:pStyle w:val="Heading1"/>
        <w:jc w:val="center"/>
      </w:pPr>
      <w:r>
        <w:rPr>
          <w:b/>
        </w:rPr>
        <w:t>Appendix — Narrative Control</w:t>
      </w:r>
    </w:p>
    <w:p>
      <w:r>
        <w:rPr>
          <w:b w:val="0"/>
          <w:i w:val="0"/>
        </w:rPr>
        <w:t>Predictive programming in fiction, controlled opposition and managed disclosure, and censorship from antiquity to electronic media. Chapters in this part keep their original numbering in filenames (</w:t>
      </w:r>
      <w:r>
        <w:rPr>
          <w:rFonts w:ascii="JetBrains Mono" w:hAnsi="JetBrains Mono"/>
          <w:sz w:val="20"/>
        </w:rPr>
        <w:t>18.43.*</w:t>
      </w:r>
      <w:r>
        <w:rPr>
          <w:b w:val="0"/>
          <w:i w:val="0"/>
        </w:rPr>
        <w:t xml:space="preserve">, </w:t>
      </w:r>
      <w:r>
        <w:rPr>
          <w:rFonts w:ascii="JetBrains Mono" w:hAnsi="JetBrains Mono"/>
          <w:sz w:val="20"/>
        </w:rPr>
        <w:t>18.44.*</w:t>
      </w:r>
      <w:r>
        <w:rPr>
          <w:b w:val="0"/>
          <w:i w:val="0"/>
        </w:rPr>
        <w:t xml:space="preserve">, </w:t>
      </w:r>
      <w:r>
        <w:rPr>
          <w:rFonts w:ascii="JetBrains Mono" w:hAnsi="JetBrains Mono"/>
          <w:sz w:val="20"/>
        </w:rPr>
        <w:t>18.46.*</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Predictive Programming: Fiction as Control</w:t>
      </w:r>
    </w:p>
    <w:p>
      <w:pPr>
        <w:pStyle w:val="Quote"/>
      </w:pPr>
      <w:r>
        <w:rPr>
          <w:b w:val="0"/>
          <w:i w:val="0"/>
          <w:sz w:val="19"/>
        </w:rPr>
      </w:r>
      <w:r>
        <w:rPr>
          <w:b/>
          <w:i w:val="0"/>
          <w:sz w:val="19"/>
        </w:rPr>
        <w:t>TL;DR:</w:t>
      </w:r>
      <w:r>
        <w:rPr>
          <w:b w:val="0"/>
          <w:i w:val="0"/>
          <w:sz w:val="19"/>
        </w:rPr>
        <w:t xml:space="preserve"> TODO</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208">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137">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209">
        <w:r>
          <w:rPr>
            <w:b w:val="0"/>
            <w:i w:val="0"/>
            <w:color w:val="B8860B"/>
          </w:rPr>
          <w:t>1939 film</w:t>
        </w:r>
      </w:hyperlink>
      <w:r>
        <w:rPr>
          <w:b w:val="0"/>
          <w:i w:val="0"/>
        </w:rPr>
        <w:t xml:space="preserve"> encode the structure of </w:t>
      </w:r>
      <w:hyperlink r:id="rId189">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210">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211">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212">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213">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214">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215">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174">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216">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217">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133">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179">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218">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179">
        <w:r>
          <w:rPr>
            <w:b w:val="0"/>
            <w:i w:val="0"/>
            <w:color w:val="B8860B"/>
            <w:sz w:val="19"/>
          </w:rPr>
          <w:t>Island of Dr. Moreau: Gland/Blood Investigation</w:t>
        </w:r>
      </w:hyperlink>
      <w:r>
        <w:rPr>
          <w:b w:val="0"/>
          <w:i w:val="0"/>
          <w:sz w:val="19"/>
        </w:rPr>
        <w:t xml:space="preserve"> | </w:t>
      </w:r>
      <w:hyperlink r:id="rId219">
        <w:r>
          <w:rPr>
            <w:b w:val="0"/>
            <w:i w:val="0"/>
            <w:color w:val="B8860B"/>
            <w:sz w:val="19"/>
          </w:rPr>
          <w:t>Dracula: Book as Fact</w:t>
        </w:r>
      </w:hyperlink>
      <w:r>
        <w:rPr>
          <w:b w:val="0"/>
          <w:i w:val="0"/>
          <w:sz w:val="19"/>
        </w:rPr>
        <w:t xml:space="preserve"> | </w:t>
      </w:r>
      <w:hyperlink r:id="rId218">
        <w:r>
          <w:rPr>
            <w:b w:val="0"/>
            <w:i w:val="0"/>
            <w:color w:val="B8860B"/>
            <w:sz w:val="19"/>
          </w:rPr>
          <w:t>Thompson Managed Disclosure</w:t>
        </w:r>
      </w:hyperlink>
      <w:r>
        <w:rPr>
          <w:b w:val="0"/>
          <w:i w:val="0"/>
          <w:sz w:val="19"/>
        </w:rPr>
        <w:t xml:space="preserve"> | </w:t>
      </w:r>
      <w:hyperlink r:id="rId215">
        <w:r>
          <w:rPr>
            <w:b w:val="0"/>
            <w:i w:val="0"/>
            <w:color w:val="B8860B"/>
            <w:sz w:val="19"/>
          </w:rPr>
          <w:t>Compromised Court Cases / Wells</w:t>
        </w:r>
      </w:hyperlink>
    </w:p>
    <w:p>
      <w:pPr>
        <w:pStyle w:val="ListBullet"/>
        <w:spacing w:before="20" w:after="20"/>
      </w:pPr>
      <w:hyperlink r:id="rId189">
        <w:r>
          <w:rPr>
            <w:b w:val="0"/>
            <w:i w:val="0"/>
            <w:color w:val="B8860B"/>
            <w:sz w:val="19"/>
          </w:rPr>
          <w:t>Atlantis and the Tree of Knowledge</w:t>
        </w:r>
      </w:hyperlink>
      <w:r>
        <w:rPr>
          <w:b w:val="0"/>
          <w:i w:val="0"/>
          <w:sz w:val="19"/>
        </w:rPr>
        <w:t xml:space="preserve"> | </w:t>
      </w:r>
      <w:hyperlink r:id="rId210">
        <w:r>
          <w:rPr>
            <w:b w:val="0"/>
            <w:i w:val="0"/>
            <w:color w:val="B8860B"/>
            <w:sz w:val="19"/>
          </w:rPr>
          <w:t>Giants of the Rus-Horde</w:t>
        </w:r>
      </w:hyperlink>
    </w:p>
    <w:p>
      <w:pPr>
        <w:pStyle w:val="ListBullet"/>
        <w:spacing w:before="20" w:after="20"/>
      </w:pPr>
      <w:hyperlink r:id="rId220">
        <w:r>
          <w:rPr>
            <w:b w:val="0"/>
            <w:i w:val="0"/>
            <w:color w:val="B8860B"/>
            <w:sz w:val="19"/>
          </w:rPr>
          <w:t>Star Metal / Hundred Years War</w:t>
        </w:r>
      </w:hyperlink>
      <w:r>
        <w:rPr>
          <w:b w:val="0"/>
          <w:i w:val="0"/>
          <w:sz w:val="19"/>
        </w:rPr>
        <w:t xml:space="preserve"> | </w:t>
      </w:r>
      <w:hyperlink r:id="rId217">
        <w:r>
          <w:rPr>
            <w:b w:val="0"/>
            <w:i w:val="0"/>
            <w:color w:val="B8860B"/>
            <w:sz w:val="19"/>
          </w:rPr>
          <w:t>Language of the Deep State</w:t>
        </w:r>
      </w:hyperlink>
    </w:p>
    <w:p>
      <w:pPr>
        <w:pStyle w:val="ListBullet"/>
        <w:spacing w:before="20" w:after="20"/>
      </w:pPr>
      <w:hyperlink r:id="rId174">
        <w:r>
          <w:rPr>
            <w:b w:val="0"/>
            <w:i w:val="0"/>
            <w:color w:val="B8860B"/>
            <w:sz w:val="19"/>
          </w:rPr>
          <w:t>The Mars Catastrophe: Research Dead End</w:t>
        </w:r>
      </w:hyperlink>
      <w:r>
        <w:rPr>
          <w:b w:val="0"/>
          <w:i w:val="0"/>
          <w:sz w:val="19"/>
        </w:rPr>
        <w:t xml:space="preserve"> | </w:t>
      </w:r>
      <w:hyperlink r:id="rId214">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133">
        <w:r>
          <w:rPr>
            <w:b w:val="0"/>
            <w:i w:val="0"/>
            <w:color w:val="B8860B"/>
          </w:rPr>
          <w:t>Predictive Programming: Literature as Historical Erasure</w:t>
        </w:r>
      </w:hyperlink>
      <w:r>
        <w:rPr>
          <w:b w:val="0"/>
          <w:i w:val="0"/>
        </w:rPr>
        <w:t xml:space="preserve">. For the general overview of predictive programming, see </w:t>
      </w:r>
      <w:hyperlink r:id="rId132">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221">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154">
        <w:r>
          <w:rPr>
            <w:b w:val="0"/>
            <w:i w:val="0"/>
            <w:color w:val="B8860B"/>
          </w:rPr>
          <w:t>Population Control: From 1492 to the Technocratic Grid</w:t>
        </w:r>
      </w:hyperlink>
      <w:r>
        <w:rPr>
          <w:b w:val="0"/>
          <w:i w:val="0"/>
        </w:rPr>
        <w:t xml:space="preserve"> and </w:t>
      </w:r>
      <w:hyperlink r:id="rId154">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133">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132">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174">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136">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Extended </w:t>
      </w:r>
      <w:r>
        <w:rPr>
          <w:b/>
          <w:i w:val="0"/>
          <w:sz w:val="19"/>
        </w:rPr>
        <w:t>author-by-author</w:t>
      </w:r>
      <w:r>
        <w:rPr>
          <w:b w:val="0"/>
          <w:i w:val="0"/>
          <w:sz w:val="19"/>
        </w:rPr>
        <w:t xml:space="preserve"> cases (Wells through Card) treat </w:t>
      </w:r>
      <w:r>
        <w:rPr>
          <w:b/>
          <w:i w:val="0"/>
          <w:sz w:val="19"/>
        </w:rPr>
        <w:t>print</w:t>
      </w:r>
      <w:r>
        <w:rPr>
          <w:b w:val="0"/>
          <w:i w:val="0"/>
          <w:sz w:val="19"/>
        </w:rPr>
        <w:t xml:space="preserve"> as the same class of instrument as film/TV: </w:t>
      </w:r>
      <w:r>
        <w:rPr>
          <w:b/>
          <w:i w:val="0"/>
          <w:sz w:val="19"/>
        </w:rPr>
        <w:t>encoded tech, timing, and institutional placement</w:t>
      </w:r>
      <w:r>
        <w:rPr>
          <w:b w:val="0"/>
          <w:i w:val="0"/>
          <w:sz w:val="19"/>
        </w:rPr>
        <w:t xml:space="preserve">, often assuming textbook dates until an alternate chronology is applied. </w:t>
      </w:r>
      <w:r>
        <w:rPr>
          <w:b/>
          <w:i w:val="0"/>
          <w:sz w:val="19"/>
        </w:rPr>
        <w:t>Swift (1726)</w:t>
      </w:r>
      <w:r>
        <w:rPr>
          <w:b w:val="0"/>
          <w:i w:val="0"/>
          <w:sz w:val="19"/>
        </w:rPr>
        <w:t xml:space="preserve"> is folded in as an </w:t>
      </w:r>
      <w:r>
        <w:rPr>
          <w:b/>
          <w:i w:val="0"/>
          <w:sz w:val="19"/>
        </w:rPr>
        <w:t>early</w:t>
      </w:r>
      <w:r>
        <w:rPr>
          <w:b w:val="0"/>
          <w:i w:val="0"/>
          <w:sz w:val="19"/>
        </w:rPr>
        <w:t xml:space="preserve"> hoax-memoir → </w:t>
      </w:r>
      <w:r>
        <w:rPr>
          <w:b/>
          <w:i w:val="0"/>
          <w:sz w:val="19"/>
        </w:rPr>
        <w:t>satire shelf</w:t>
      </w:r>
      <w:r>
        <w:rPr>
          <w:b w:val="0"/>
          <w:i w:val="0"/>
          <w:sz w:val="19"/>
        </w:rPr>
        <w:t xml:space="preserve"> move with </w:t>
      </w:r>
      <w:r>
        <w:rPr>
          <w:b/>
          <w:i w:val="0"/>
          <w:sz w:val="19"/>
        </w:rPr>
        <w:t>Mars + Tartary-scale</w:t>
      </w:r>
      <w:r>
        <w:rPr>
          <w:b w:val="0"/>
          <w:i w:val="0"/>
          <w:sz w:val="19"/>
        </w:rPr>
        <w:t xml:space="preserve"> residue; the </w:t>
      </w:r>
      <w:r>
        <w:rPr>
          <w:b/>
          <w:i w:val="0"/>
          <w:sz w:val="19"/>
        </w:rPr>
        <w:t>conclusion</w:t>
      </w:r>
      <w:r>
        <w:rPr>
          <w:b w:val="0"/>
          <w:i w:val="0"/>
          <w:sz w:val="19"/>
        </w:rPr>
        <w:t xml:space="preserve"> matches the parent thesis—</w:t>
      </w:r>
      <w:r>
        <w:rPr>
          <w:b/>
          <w:i w:val="0"/>
          <w:sz w:val="19"/>
        </w:rPr>
        <w:t>fiction labels quarantine testimony</w:t>
      </w:r>
      <w:r>
        <w:rPr>
          <w:b w:val="0"/>
          <w:i w:val="0"/>
          <w:sz w:val="19"/>
        </w:rPr>
        <w:t xml:space="preserve">, and </w:t>
      </w:r>
      <w:r>
        <w:rPr>
          <w:b/>
          <w:i w:val="0"/>
          <w:sz w:val="19"/>
        </w:rPr>
        <w:t>parallel hunts</w:t>
      </w:r>
      <w:r>
        <w:rPr>
          <w:b w:val="0"/>
          <w:i w:val="0"/>
          <w:sz w:val="19"/>
        </w:rPr>
        <w:t xml:space="preserve"> stay </w:t>
      </w:r>
      <w:r>
        <w:rPr>
          <w:b/>
          <w:i w:val="0"/>
          <w:sz w:val="19"/>
        </w:rPr>
        <w:t>content-first</w:t>
      </w:r>
      <w:r>
        <w:rPr>
          <w:b w:val="0"/>
          <w:i w:val="0"/>
          <w:sz w:val="19"/>
        </w:rPr>
        <w:t>, not genre-dismissal.</w:t>
      </w:r>
    </w:p>
    <w:p>
      <w:r>
        <w:rPr>
          <w:b w:val="0"/>
          <w:i w:val="0"/>
        </w:rPr>
        <w:t xml:space="preserve">This appendix extends </w:t>
      </w:r>
      <w:hyperlink r:id="rId133">
        <w:r>
          <w:rPr>
            <w:b w:val="0"/>
            <w:i w:val="0"/>
            <w:color w:val="B8860B"/>
          </w:rPr>
          <w:t>20th Century Predictive Programming: Literature</w:t>
        </w:r>
      </w:hyperlink>
      <w:r>
        <w:rPr>
          <w:b w:val="0"/>
          <w:i w:val="0"/>
        </w:rPr>
        <w:t>. For the thesis and pattern, see the main article.</w:t>
      </w:r>
    </w:p>
    <w:p>
      <w:r>
        <w:rPr>
          <w:b w:val="0"/>
          <w:i w:val="0"/>
        </w:rPr>
        <w:t xml:space="preserve">For a complementary religious-text case in the same predictive-programming lane, see </w:t>
      </w:r>
      <w:hyperlink r:id="rId222">
        <w:r>
          <w:rPr>
            <w:b w:val="0"/>
            <w:i w:val="0"/>
            <w:color w:val="B8860B"/>
          </w:rPr>
          <w:t>Urantia Book investigation</w:t>
        </w:r>
      </w:hyperlink>
      <w:r>
        <w:rPr>
          <w:b w:val="0"/>
          <w:i w:val="0"/>
        </w:rPr>
        <w:t>.</w:t>
      </w:r>
    </w:p>
    <w:p>
      <w:pPr>
        <w:pStyle w:val="Heading3"/>
        <w:keepNext/>
        <w:keepLines/>
      </w:pPr>
      <w:r>
        <w:t>Jonathan Swift (1667–1745)</w:t>
      </w:r>
    </w:p>
    <w:p>
      <w:r>
        <w:rPr>
          <w:b w:val="0"/>
          <w:i/>
        </w:rPr>
        <w:t>Gulliver's Travels</w:t>
      </w:r>
      <w:r>
        <w:rPr>
          <w:b w:val="0"/>
          <w:i w:val="0"/>
        </w:rPr>
        <w:t xml:space="preserve"> (1726) was sold as </w:t>
      </w:r>
      <w:r>
        <w:rPr>
          <w:b/>
          <w:i w:val="0"/>
        </w:rPr>
        <w:t>Captain Lemuel Gulliver’s</w:t>
      </w:r>
      <w:r>
        <w:rPr>
          <w:b w:val="0"/>
          <w:i w:val="0"/>
        </w:rPr>
        <w:t xml:space="preserve"> memoir—the same documentary frame catalogued in the </w:t>
      </w:r>
      <w:hyperlink r:id="rId208">
        <w:r>
          <w:rPr>
            <w:b w:val="0"/>
            <w:i w:val="0"/>
            <w:color w:val="B8860B"/>
          </w:rPr>
          <w:t>fiction-presented-as-fact investigation</w:t>
        </w:r>
      </w:hyperlink>
      <w:r>
        <w:rPr>
          <w:b w:val="0"/>
          <w:i w:val="0"/>
        </w:rPr>
        <w:t xml:space="preserve">. Reception then filed the book as satire and children’s literature; this appendix counts that relabeling as the same family of moves later applied under library </w:t>
      </w:r>
      <w:r>
        <w:rPr>
          <w:b/>
          <w:i w:val="0"/>
        </w:rPr>
        <w:t>fiction</w:t>
      </w:r>
      <w:r>
        <w:rPr>
          <w:b w:val="0"/>
          <w:i w:val="0"/>
        </w:rPr>
        <w:t xml:space="preserve"> taxonomy. </w:t>
      </w:r>
      <w:r>
        <w:rPr>
          <w:b/>
          <w:i w:val="0"/>
        </w:rPr>
        <w:t>Brobdingnag</w:t>
      </w:r>
      <w:r>
        <w:rPr>
          <w:b w:val="0"/>
          <w:i w:val="0"/>
        </w:rPr>
        <w:t xml:space="preserve"> supplies horde-scale monarchy, cannon arithmetic, and “Great Tartary” diction on the rails laid out in </w:t>
      </w:r>
      <w:hyperlink r:id="rId223">
        <w:r>
          <w:rPr>
            <w:b w:val="0"/>
            <w:i w:val="0"/>
            <w:color w:val="B8860B"/>
          </w:rPr>
          <w:t>Swift — Tartary / Rus timeline mirrors</w:t>
        </w:r>
      </w:hyperlink>
      <w:r>
        <w:rPr>
          <w:b w:val="0"/>
          <w:i w:val="0"/>
        </w:rPr>
        <w:t xml:space="preserve">. </w:t>
      </w:r>
      <w:r>
        <w:rPr>
          <w:b/>
          <w:i w:val="0"/>
        </w:rPr>
        <w:t>Laputa</w:t>
      </w:r>
      <w:r>
        <w:rPr>
          <w:b w:val="0"/>
          <w:i w:val="0"/>
        </w:rPr>
        <w:t xml:space="preserve">’s paired close satellites of Mars are summarized against Hall (1877) in </w:t>
      </w:r>
      <w:hyperlink r:id="rId224">
        <w:r>
          <w:rPr>
            <w:b w:val="0"/>
            <w:i w:val="0"/>
            <w:color w:val="B8860B"/>
          </w:rPr>
          <w:t>Swift — Mars, giants, publication stance</w:t>
        </w:r>
      </w:hyperlink>
      <w:r>
        <w:rPr>
          <w:b w:val="0"/>
          <w:i w:val="0"/>
        </w:rPr>
        <w:t xml:space="preserve">. Publication pressure and managed-disclosure form: </w:t>
      </w:r>
      <w:hyperlink r:id="rId225">
        <w:r>
          <w:rPr>
            <w:b w:val="0"/>
            <w:i w:val="0"/>
            <w:color w:val="B8860B"/>
          </w:rPr>
          <w:t>debate rails and drift</w:t>
        </w:r>
      </w:hyperlink>
      <w:r>
        <w:rPr>
          <w:b w:val="0"/>
          <w:i w:val="0"/>
        </w:rPr>
        <w:t xml:space="preserve">. Timeline hub: </w:t>
      </w:r>
      <w:hyperlink r:id="rId226">
        <w:r>
          <w:rPr>
            <w:b w:val="0"/>
            <w:i w:val="0"/>
            <w:color w:val="B8860B"/>
          </w:rPr>
          <w:t>1726 CE: Gulliver's Travels</w:t>
        </w:r>
      </w:hyperlink>
      <w:r>
        <w:rPr>
          <w:b w:val="0"/>
          <w:i w:val="0"/>
        </w:rPr>
        <w:t>.</w:t>
      </w:r>
    </w:p>
    <w:p>
      <w:r>
        <w:rPr>
          <w:b w:val="0"/>
          <w:i w:val="0"/>
        </w:rPr>
        <w:t xml:space="preserve">Author-by-author parallel hunts below almost always assume textbook chronology. The main </w:t>
      </w:r>
      <w:hyperlink r:id="rId133">
        <w:r>
          <w:rPr>
            <w:b w:val="0"/>
            <w:i w:val="0"/>
            <w:color w:val="B8860B"/>
          </w:rPr>
          <w:t>20th C. Predictive Programming</w:t>
        </w:r>
      </w:hyperlink>
      <w:r>
        <w:rPr>
          <w:b w:val="0"/>
          <w:i w:val="0"/>
        </w:rPr>
        <w:t xml:space="preserve"> article states the working view that wrong or redacted timelines can block proof that fiction echoes real sequences—and that case studies may converge once a serious alternate comparator is used. See </w:t>
      </w:r>
      <w:hyperlink r:id="rId227">
        <w:r>
          <w:rPr>
            <w:b w:val="0"/>
            <w:i w:val="0"/>
            <w:color w:val="B8860B"/>
          </w:rPr>
          <w:t>GRRM investigation — chronology bottleneck</w:t>
        </w:r>
      </w:hyperlink>
      <w:r>
        <w:rPr>
          <w:b w:val="0"/>
          <w:i w:val="0"/>
        </w:rPr>
        <w:t xml:space="preserve"> and </w:t>
      </w:r>
      <w:hyperlink r:id="rId228">
        <w:r>
          <w:rPr>
            <w:b w:val="0"/>
            <w:i w:val="0"/>
            <w:color w:val="B8860B"/>
          </w:rPr>
          <w:t>history / chronology</w:t>
        </w:r>
      </w:hyperlink>
      <w:r>
        <w:rPr>
          <w:b w:val="0"/>
          <w:i w:val="0"/>
        </w:rPr>
        <w:t>.</w:t>
      </w:r>
    </w:p>
    <w:p>
      <w:pPr>
        <w:pBdr>
          <w:bottom w:val="single" w:sz="6" w:space="1" w:color="CCCCCC"/>
        </w:pBdr>
      </w:pPr>
    </w:p>
    <w:p>
      <w:pPr>
        <w:pStyle w:val="Heading3"/>
        <w:keepNext/>
        <w:keepLines/>
      </w:pPr>
      <w:r>
        <w:t>H.G. Wells (1866–1946): The Template</w:t>
      </w:r>
    </w:p>
    <w:p>
      <w:r>
        <w:rPr>
          <w:b w:val="0"/>
          <w:i w:val="0"/>
        </w:rPr>
        <w:t xml:space="preserve">Wells set the pattern. </w:t>
      </w:r>
      <w:r>
        <w:rPr>
          <w:b w:val="0"/>
          <w:i/>
        </w:rPr>
        <w:t>Crystal Egg</w:t>
      </w:r>
      <w:r>
        <w:rPr>
          <w:b w:val="0"/>
          <w:i w:val="0"/>
        </w:rPr>
        <w:t xml:space="preserve"> (1897): a crystal sphere provides real-time visual surveillance of Mars—the observer on Earth watches Martians; Martians watch back. </w:t>
      </w:r>
      <w:r>
        <w:rPr>
          <w:b w:val="0"/>
          <w:i/>
        </w:rPr>
        <w:t>"Sent hither from that planet, in order to give the Martians a near view of our affairs."</w:t>
      </w:r>
      <w:r>
        <w:rPr>
          <w:b w:val="0"/>
          <w:i w:val="0"/>
        </w:rPr>
        <w:t xml:space="preserve"> </w:t>
      </w:r>
      <w:r>
        <w:rPr>
          <w:b/>
          <w:i w:val="0"/>
        </w:rPr>
        <w:t>Two-way scrying</w:t>
      </w:r>
      <w:r>
        <w:rPr>
          <w:b w:val="0"/>
          <w:i w:val="0"/>
        </w:rPr>
        <w:t xml:space="preserve"> in line with Tolkien’s Palantíri and Stargate remote-viewing tech (declassified 1995). Same logic: guard a realm, deploy the device for harm.</w:t>
      </w:r>
    </w:p>
    <w:p>
      <w:r>
        <w:rPr>
          <w:b w:val="0"/>
          <w:i/>
        </w:rPr>
        <w:t>War of the Worlds</w:t>
      </w:r>
      <w:r>
        <w:rPr>
          <w:b w:val="0"/>
          <w:i w:val="0"/>
        </w:rPr>
        <w:t xml:space="preserve"> (1898) inverted prior Mars fiction (benign Martians) into invasion narrative. The </w:t>
      </w:r>
      <w:r>
        <w:rPr>
          <w:b/>
          <w:i w:val="0"/>
        </w:rPr>
        <w:t>heat ray</w:t>
      </w:r>
      <w:r>
        <w:rPr>
          <w:b w:val="0"/>
          <w:i w:val="0"/>
        </w:rPr>
        <w:t xml:space="preserve">—invisible, capacitor-driven—matches the U.S. </w:t>
      </w:r>
      <w:hyperlink r:id="rId212">
        <w:r>
          <w:rPr>
            <w:b w:val="0"/>
            <w:i w:val="0"/>
            <w:color w:val="B8860B"/>
          </w:rPr>
          <w:t>Active Denial System</w:t>
        </w:r>
      </w:hyperlink>
      <w:r>
        <w:rPr>
          <w:b w:val="0"/>
          <w:i w:val="0"/>
        </w:rPr>
        <w:t>. The 2017 sequel (</w:t>
      </w:r>
      <w:r>
        <w:rPr>
          <w:b w:val="0"/>
          <w:i/>
        </w:rPr>
        <w:t>The Massacre of Mankind</w:t>
      </w:r>
      <w:r>
        <w:rPr>
          <w:b w:val="0"/>
          <w:i w:val="0"/>
        </w:rPr>
        <w:t xml:space="preserve">) restored an invisible beam one year after Havana syndrome. </w:t>
      </w:r>
      <w:r>
        <w:rPr>
          <w:b/>
          <w:i w:val="0"/>
        </w:rPr>
        <w:t>Red weed</w:t>
      </w:r>
      <w:r>
        <w:rPr>
          <w:b w:val="0"/>
          <w:i w:val="0"/>
        </w:rPr>
        <w:t xml:space="preserve">—a Martian organism that arrived with the incursions and could not survive on Earth—echoes, six years before the timeline’s </w:t>
      </w:r>
      <w:hyperlink r:id="rId214">
        <w:r>
          <w:rPr>
            <w:b w:val="0"/>
            <w:i w:val="0"/>
            <w:color w:val="B8860B"/>
          </w:rPr>
          <w:t>American chestnut blight</w:t>
        </w:r>
      </w:hyperlink>
      <w:r>
        <w:rPr>
          <w:b w:val="0"/>
          <w:i w:val="0"/>
        </w:rPr>
        <w:t xml:space="preserve">, an unintended interplanetary contamination from the same incursions: different species, same event frame. </w:t>
      </w:r>
      <w:r>
        <w:rPr>
          <w:b w:val="0"/>
          <w:i/>
        </w:rPr>
        <w:t>War in the Air</w:t>
      </w:r>
      <w:r>
        <w:rPr>
          <w:b w:val="0"/>
          <w:i w:val="0"/>
        </w:rPr>
        <w:t xml:space="preserve"> (1908): aerial bombing a decade early. </w:t>
      </w:r>
      <w:r>
        <w:rPr>
          <w:b w:val="0"/>
          <w:i/>
        </w:rPr>
        <w:t>The World Set Free</w:t>
      </w:r>
      <w:r>
        <w:rPr>
          <w:b w:val="0"/>
          <w:i w:val="0"/>
        </w:rPr>
        <w:t xml:space="preserve"> (1914): coined </w:t>
      </w:r>
      <w:r>
        <w:rPr>
          <w:b w:val="0"/>
          <w:i/>
        </w:rPr>
        <w:t>atomic bomb</w:t>
      </w:r>
      <w:r>
        <w:rPr>
          <w:b w:val="0"/>
          <w:i w:val="0"/>
        </w:rPr>
        <w:t xml:space="preserve"> thirty years before Hiroshima. </w:t>
      </w:r>
      <w:r>
        <w:rPr>
          <w:b/>
          <w:i w:val="0"/>
        </w:rPr>
        <w:t>Fabian insider</w:t>
      </w:r>
      <w:r>
        <w:rPr>
          <w:b w:val="0"/>
          <w:i w:val="0"/>
        </w:rPr>
        <w:t xml:space="preserve">; </w:t>
      </w:r>
      <w:hyperlink r:id="rId211">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a chemistry teacher enters a </w:t>
      </w:r>
      <w:r>
        <w:rPr>
          <w:b/>
          <w:i w:val="0"/>
        </w:rPr>
        <w:t>fourth spatial dimension</w:t>
      </w:r>
      <w:r>
        <w:rPr>
          <w:b w:val="0"/>
          <w:i w:val="0"/>
        </w:rPr>
        <w:t xml:space="preserve"> via explosion; he returns </w:t>
      </w:r>
      <w:r>
        <w:rPr>
          <w:b/>
          <w:i w:val="0"/>
        </w:rPr>
        <w:t>mirror-reversed</w:t>
      </w:r>
      <w:r>
        <w:rPr>
          <w:b w:val="0"/>
          <w:i w:val="0"/>
        </w:rPr>
        <w:t xml:space="preserve"> (heart on right)—dimensional displacement. </w:t>
      </w:r>
      <w:r>
        <w:rPr>
          <w:b w:val="0"/>
          <w:i/>
        </w:rPr>
        <w:t>Davidson's Eyes</w:t>
      </w:r>
      <w:r>
        <w:rPr>
          <w:b w:val="0"/>
          <w:i w:val="0"/>
        </w:rPr>
        <w:t>: spontaneous remote viewing—a man in London sees in real time through a lighthouse keeper on a South Sea island. Both normalize interdimensional and remote-viewing conceits as fantasy long before U.S. government admission.</w:t>
      </w:r>
    </w:p>
    <w:p>
      <w:pPr>
        <w:pStyle w:val="Heading3"/>
        <w:keepNext/>
        <w:keepLines/>
      </w:pPr>
      <w:r>
        <w:t>Arthur Machen (1863–1947)</w:t>
      </w:r>
    </w:p>
    <w:p>
      <w:r>
        <w:rPr>
          <w:b w:val="0"/>
          <w:i/>
        </w:rPr>
        <w:t>Great God Pan</w:t>
      </w:r>
      <w:r>
        <w:rPr>
          <w:b w:val="0"/>
          <w:i w:val="0"/>
        </w:rPr>
        <w:t xml:space="preserve"> (1894): brain surgery opens dimensional perception; the patient sees beyond the veil and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the public believed it true—</w:t>
      </w:r>
      <w:r>
        <w:rPr>
          <w:b/>
          <w:i w:val="0"/>
        </w:rPr>
        <w:t>fiction to belief</w:t>
      </w:r>
      <w:r>
        <w:rPr>
          <w:b w:val="0"/>
          <w:i w:val="0"/>
        </w:rPr>
        <w:t xml:space="preserve"> documented; fact→fiction runs the same way in reverse.</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operative—a physician detecting non-human influence. The encoding: such knowledge is </w:t>
      </w:r>
      <w:r>
        <w:rPr>
          <w:b/>
          <w:i w:val="0"/>
        </w:rPr>
        <w:t>real, learnable, operational</w:t>
      </w:r>
      <w:r>
        <w:rPr>
          <w:b w:val="0"/>
          <w:i w:val="0"/>
        </w:rPr>
        <w:t>—filed as fiction.</w:t>
      </w:r>
    </w:p>
    <w:p>
      <w:pPr>
        <w:pStyle w:val="Heading3"/>
        <w:keepNext/>
        <w:keepLines/>
      </w:pPr>
      <w:r>
        <w:t>H.P. Lovecraft (1890–1937)</w:t>
      </w:r>
    </w:p>
    <w:p>
      <w:r>
        <w:rPr>
          <w:b w:val="0"/>
          <w:i w:val="0"/>
        </w:rPr>
        <w:t>104 stories encode suppressed knowledge: Shining Trapezohedron (scrying—Wells/Tolkien);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32">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Thavas—detail Lowell could not supply. No known intel links; failed businessman at 36. </w:t>
      </w:r>
      <w:r>
        <w:rPr>
          <w:b/>
          <w:i w:val="0"/>
        </w:rPr>
        <w:t>Same mechanism</w:t>
      </w:r>
      <w:r>
        <w:rPr>
          <w:b w:val="0"/>
          <w:i w:val="0"/>
        </w:rPr>
        <w:t xml:space="preserve"> as </w:t>
      </w:r>
      <w:r>
        <w:rPr>
          <w:b w:val="0"/>
          <w:i/>
        </w:rPr>
        <w:t>Crystal Egg</w:t>
      </w:r>
      <w:r>
        <w:rPr>
          <w:b w:val="0"/>
          <w:i w:val="0"/>
        </w:rPr>
        <w:t xml:space="preserve">, Palantíri, seer stones. </w:t>
      </w:r>
      <w:hyperlink r:id="rId229">
        <w:r>
          <w:rPr>
            <w:b w:val="0"/>
            <w:i w:val="0"/>
            <w:color w:val="B8860B"/>
          </w:rPr>
          <w:t>Mars Literature Index</w:t>
        </w:r>
      </w:hyperlink>
      <w:r>
        <w:rPr>
          <w:b w:val="0"/>
          <w:i w:val="0"/>
        </w:rPr>
        <w:t xml:space="preserve">. Tolkien convergence: both needed money; both produced work suggesting </w:t>
      </w:r>
      <w:r>
        <w:rPr>
          <w:b/>
          <w:i w:val="0"/>
        </w:rPr>
        <w:t>pre-existing structured data</w:t>
      </w:r>
      <w:r>
        <w:rPr>
          <w:b w:val="0"/>
          <w:i w:val="0"/>
        </w:rPr>
        <w:t>; both protected by the genius assumption.</w:t>
      </w:r>
    </w:p>
    <w:p>
      <w:pPr>
        <w:pStyle w:val="Heading3"/>
        <w:keepNext/>
        <w:keepLines/>
      </w:pPr>
      <w:r>
        <w:t>J.R.R. Tolkien (1892–1973)</w:t>
      </w:r>
    </w:p>
    <w:p>
      <w:r>
        <w:rPr>
          <w:b w:val="0"/>
          <w:i w:val="0"/>
        </w:rPr>
        <w:t xml:space="preserve">Red Book of Westmarch = pseudotranslation; he insisted on </w:t>
      </w:r>
      <w:r>
        <w:rPr>
          <w:b w:val="0"/>
          <w:i/>
        </w:rPr>
        <w:t>recovery</w:t>
      </w:r>
      <w:r>
        <w:rPr>
          <w:b w:val="0"/>
          <w:i w:val="0"/>
        </w:rPr>
        <w:t xml:space="preserve">, not invention. Red Book modeled on </w:t>
      </w:r>
      <w:hyperlink r:id="rId230">
        <w:r>
          <w:rPr>
            <w:b w:val="0"/>
            <w:i w:val="0"/>
            <w:color w:val="B8860B"/>
          </w:rPr>
          <w:t>Red Book of Hergest</w:t>
        </w:r>
      </w:hyperlink>
      <w:r>
        <w:rPr>
          <w:b w:val="0"/>
          <w:i w:val="0"/>
        </w:rPr>
        <w:t xml:space="preserve">; forged physical artifacts (McIlwaine 2018). </w:t>
      </w:r>
      <w:r>
        <w:rPr>
          <w:b w:val="0"/>
          <w:i/>
        </w:rPr>
        <w:t>Silmarillion</w:t>
      </w:r>
      <w:r>
        <w:rPr>
          <w:b w:val="0"/>
          <w:i w:val="0"/>
        </w:rPr>
        <w:t xml:space="preserve">: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as literary reworking of Rus-Horde history. Copyright until 2043+.</w:t>
      </w:r>
    </w:p>
    <w:p>
      <w:pPr>
        <w:pStyle w:val="Heading3"/>
        <w:keepNext/>
        <w:keepLines/>
      </w:pPr>
      <w:r>
        <w:t>William Goldman (1931–2018)</w:t>
      </w:r>
    </w:p>
    <w:p>
      <w:r>
        <w:rPr>
          <w:b w:val="0"/>
          <w:i/>
        </w:rPr>
        <w:t>The Princess Bride</w:t>
      </w:r>
      <w:r>
        <w:rPr>
          <w:b w:val="0"/>
          <w:i w:val="0"/>
        </w:rPr>
        <w:t xml:space="preserve"> (novel 1973; film 1987) carries the same family of moves as earlier encoded literature: </w:t>
      </w:r>
      <w:r>
        <w:rPr>
          <w:b/>
          <w:i w:val="0"/>
        </w:rPr>
        <w:t>displaced authorship</w:t>
      </w:r>
      <w:r>
        <w:rPr>
          <w:b w:val="0"/>
          <w:i w:val="0"/>
        </w:rPr>
        <w:t xml:space="preserve"> (S. Morgenstern / “good parts” abridger), childhood obsession and parent→child relay of the text, and dialogue that reads forward against later mass face-covering (Fezzik / Man in Black: everybody in masks “in the near future,” “terribly comfortable”). André the Giant as Fezzik intersects the colossus / Andrey naming cluster explored in the full file.</w:t>
      </w:r>
    </w:p>
    <w:p>
      <w:r>
        <w:rPr>
          <w:b w:val="0"/>
          <w:i w:val="0"/>
        </w:rPr>
        <w:t xml:space="preserve">The narrator obtains his own copy, reads to his son, and discovers his father had skipped and edited Morgenstern aloud—the “original” was too dull; the character Goldman then publishes an abridgement that cuts boring stretches and keeps action and intrigue. </w:t>
      </w:r>
      <w:r>
        <w:rPr>
          <w:b/>
          <w:i w:val="0"/>
        </w:rPr>
        <w:t>Redaction is narrated as family editorial tradition</w:t>
      </w:r>
      <w:r>
        <w:rPr>
          <w:b w:val="0"/>
          <w:i w:val="0"/>
        </w:rPr>
        <w:t xml:space="preserve">: the printed book is not the whole posited text—shape of a confession under the joke. Full analysis: </w:t>
      </w:r>
      <w:hyperlink r:id="rId231">
        <w:r>
          <w:rPr>
            <w:b w:val="0"/>
            <w:i w:val="0"/>
            <w:color w:val="B8860B"/>
          </w:rPr>
          <w:t>Princess Bride investigation</w:t>
        </w:r>
      </w:hyperlink>
      <w:r>
        <w:rPr>
          <w:b w:val="0"/>
          <w:i w:val="0"/>
        </w:rPr>
        <w:t>.</w:t>
      </w:r>
    </w:p>
    <w:p>
      <w:r>
        <w:rPr>
          <w:b w:val="0"/>
          <w:i w:val="0"/>
        </w:rPr>
        <w:t xml:space="preserve">Decades after World War II, the public quarrel with myth-making and documentary-framed fiction (Wells, Tolkien, and parallel fights over who owns science and history, including figures such as Einstein) had faded from living memory. </w:t>
      </w:r>
      <w:r>
        <w:rPr>
          <w:b/>
          <w:i w:val="0"/>
        </w:rPr>
        <w:t>Predictive programming in print could proceed without the same visible establishment backlash</w:t>
      </w:r>
      <w:r>
        <w:rPr>
          <w:b w:val="0"/>
          <w:i w:val="0"/>
        </w:rPr>
        <w:t xml:space="preserve"> that marked the late nineteenth and early twentieth centuries.</w:t>
      </w:r>
    </w:p>
    <w:p>
      <w:r>
        <w:rPr>
          <w:b w:val="0"/>
          <w:i w:val="0"/>
        </w:rPr>
        <w:t xml:space="preserve">By the 1970s, successful, connected writers—Goldman had major screen success after </w:t>
      </w:r>
      <w:r>
        <w:rPr>
          <w:b w:val="0"/>
          <w:i/>
        </w:rPr>
        <w:t>Butch Cassidy and the Sundance Kid</w:t>
      </w:r>
      <w:r>
        <w:rPr>
          <w:b w:val="0"/>
          <w:i w:val="0"/>
        </w:rPr>
        <w:t xml:space="preserve"> (1969) and Knopf-tier novel placement—sit where </w:t>
      </w:r>
      <w:r>
        <w:rPr>
          <w:b/>
          <w:i w:val="0"/>
        </w:rPr>
        <w:t>institutional favors</w:t>
      </w:r>
      <w:r>
        <w:rPr>
          <w:b w:val="0"/>
          <w:i w:val="0"/>
        </w:rPr>
        <w:t xml:space="preserve"> may be called in: multi-category encoding in one popular package. Sole authorship as the complete explanation is treated as unsettled; circumstantial overlap points to a mass-publishing layer that promotes and buries according to agenda, not merit alone. Full argument, key findings, and evidence checks: </w:t>
      </w:r>
      <w:hyperlink r:id="rId231">
        <w:r>
          <w:rPr>
            <w:b w:val="0"/>
            <w:i w:val="0"/>
            <w:color w:val="B8860B"/>
          </w:rPr>
          <w:t>Princess Bride — Andronicus, Fezzik, COVID mask line, Morgenstern frame (investigation)</w:t>
        </w:r>
      </w:hyperlink>
      <w:r>
        <w:rPr>
          <w:b w:val="0"/>
          <w:i w:val="0"/>
        </w:rPr>
        <w:t>.</w:t>
      </w:r>
    </w:p>
    <w:p>
      <w:r>
        <w:rPr>
          <w:b w:val="0"/>
          <w:i w:val="0"/>
        </w:rPr>
        <w:t xml:space="preserve">Orthodoxy treats S. Morgenstern as pure fiction. The open investigation holds it very likely that Morgenstern was real (or named a real lost line of text) and that Goldman would not have risked the 1973 book if a </w:t>
      </w:r>
      <w:r>
        <w:rPr>
          <w:b/>
          <w:i w:val="0"/>
        </w:rPr>
        <w:t>checkable Morgenstern edition</w:t>
      </w:r>
      <w:r>
        <w:rPr>
          <w:b w:val="0"/>
          <w:i w:val="0"/>
        </w:rPr>
        <w:t xml:space="preserve"> could still surface. Whoever cleared the project would need confidence that the underlying work was gone from circulation—finally eliminated—before releasing a replacement framed as abridgement and meta-joke. That window coincides with room for a new “historic fantasy” genre shell: copyright fiction, ironic distance, no public compare to a missing original. </w:t>
      </w:r>
      <w:hyperlink r:id="rId231">
        <w:r>
          <w:rPr>
            <w:b w:val="0"/>
            <w:i w:val="0"/>
            <w:color w:val="B8860B"/>
          </w:rPr>
          <w:t>Investigation — Key findings §5 and Conclusion subsection</w:t>
        </w:r>
      </w:hyperlink>
      <w:r>
        <w:rPr>
          <w:b w:val="0"/>
          <w:i w:val="0"/>
        </w:rPr>
        <w:t>.</w:t>
      </w:r>
    </w:p>
    <w:p>
      <w:r>
        <w:rPr>
          <w:b w:val="0"/>
          <w:i w:val="0"/>
        </w:rPr>
        <w:t xml:space="preserve">The novel flatters impatience with anything that is not immediate plot: reasons, kingdoms, traditions, Morgenstern’s historical satire—all filed as dull unless the father or abridger cuts to action. Ancient or dense matter is framed as boring from a small boy’s point of view; the text then serves torture, court intrigue, and war as entertainment rather than as material the reader is asked to place in real historical coordinates. </w:t>
      </w:r>
      <w:r>
        <w:rPr>
          <w:b/>
          <w:i w:val="0"/>
        </w:rPr>
        <w:t>Identification is explicit</w:t>
      </w:r>
      <w:r>
        <w:rPr>
          <w:b w:val="0"/>
          <w:i w:val="0"/>
        </w:rPr>
        <w:t xml:space="preserve">: the audience stands with the child listener who only wants to be amused and to skip the heavy parts. On this site’s working reading, that joke overlaps a model of mass readership as </w:t>
      </w:r>
      <w:r>
        <w:rPr>
          <w:b w:val="0"/>
          <w:i/>
        </w:rPr>
        <w:t>anti-curious</w:t>
      </w:r>
      <w:r>
        <w:rPr>
          <w:b w:val="0"/>
          <w:i w:val="0"/>
        </w:rPr>
        <w:t xml:space="preserve">—thrills over inquiry—while the “boring” layers remain where redacted history can hide. </w:t>
      </w:r>
      <w:hyperlink r:id="rId231">
        <w:r>
          <w:rPr>
            <w:b w:val="0"/>
            <w:i w:val="0"/>
            <w:color w:val="B8860B"/>
          </w:rPr>
          <w:t>Key findings §6; Anti-intellectual frame section</w:t>
        </w:r>
      </w:hyperlink>
      <w:r>
        <w:rPr>
          <w:b w:val="0"/>
          <w:i w:val="0"/>
        </w:rPr>
        <w:t>.</w:t>
      </w:r>
    </w:p>
    <w:p>
      <w:r>
        <w:rPr>
          <w:b w:val="0"/>
          <w:i w:val="0"/>
        </w:rPr>
        <w:t>If stakeholders bet on no surviving Morgenstern original, random obscurity is a weak explanation for that confidence. May 1933: Nazi Germany—mass public book burnings, including Berlin’s Bebelplatz, destroyed large stocks of targeted works—</w:t>
      </w:r>
      <w:hyperlink r:id="rId232">
        <w:r>
          <w:rPr>
            <w:b w:val="0"/>
            <w:i w:val="0"/>
            <w:color w:val="B8860B"/>
          </w:rPr>
          <w:t>Nazi book burnings</w:t>
        </w:r>
      </w:hyperlink>
      <w:r>
        <w:rPr>
          <w:b w:val="0"/>
          <w:i w:val="0"/>
        </w:rPr>
        <w:t>. Post-1945: German denazification and Italian / Allied purges—e.g. Allied Order No. 4 (13 May 1946), removal and destruction of fascist, militarist, and Nazi literature from libraries, schools, and bookstores—extend the same class of mechanisms. Hypothesis (no archival Morgenstern hit cited yet): a real line might have been lost in 1933 and/or caught in postwar sweeps, freeing a fictional Morgenstern abridgement—</w:t>
      </w:r>
      <w:r>
        <w:rPr>
          <w:b/>
          <w:i w:val="0"/>
        </w:rPr>
        <w:t>“perfect crime” shape</w:t>
      </w:r>
      <w:r>
        <w:rPr>
          <w:b w:val="0"/>
          <w:i w:val="0"/>
        </w:rPr>
        <w:t xml:space="preserve"> against provenance. </w:t>
      </w:r>
      <w:hyperlink r:id="rId231">
        <w:r>
          <w:rPr>
            <w:b w:val="0"/>
            <w:i w:val="0"/>
            <w:color w:val="B8860B"/>
          </w:rPr>
          <w:t>§5 coda; Book destruction (1933, 1946) and the “perfect crime” window</w:t>
        </w:r>
      </w:hyperlink>
      <w:r>
        <w:rPr>
          <w:b w:val="0"/>
          <w:i w:val="0"/>
        </w:rPr>
        <w:t>.</w:t>
      </w:r>
    </w:p>
    <w:p>
      <w:pPr>
        <w:pStyle w:val="Heading4"/>
        <w:keepNext/>
        <w:keepLines/>
      </w:pPr>
      <w:r>
        <w:t>Real geography inside the fairy tale: Florin and Guilder as thin overlay</w:t>
      </w:r>
    </w:p>
    <w:p>
      <w:r>
        <w:rPr>
          <w:b w:val="0"/>
          <w:i w:val="0"/>
        </w:rPr>
        <w:t xml:space="preserve">The Morgenstern / “good parts” diegesis (from </w:t>
      </w:r>
      <w:r>
        <w:rPr>
          <w:b w:val="0"/>
          <w:i/>
        </w:rPr>
        <w:t>The Bride</w:t>
      </w:r>
      <w:r>
        <w:rPr>
          <w:b w:val="0"/>
          <w:i w:val="0"/>
        </w:rPr>
        <w:t xml:space="preserve"> onward in the 1973 novel) </w:t>
      </w:r>
      <w:r>
        <w:rPr>
          <w:b/>
          <w:i w:val="0"/>
        </w:rPr>
        <w:t>names real countries, cities, and regions</w:t>
      </w:r>
      <w:r>
        <w:rPr>
          <w:b w:val="0"/>
          <w:i w:val="0"/>
        </w:rPr>
        <w:t xml:space="preserve"> throughout: Paris, Sussex, the Thames, London, America; Central Spain, Toledo, Madrid; Venice, Bruges, Budapest; Spain, Portugal, France, Italy, Germany, Switzerland, the Balkans, Scandinavia, Mother Russia, the Mediterranean; Turkey with </w:t>
      </w:r>
      <w:r>
        <w:rPr>
          <w:b/>
          <w:i w:val="0"/>
        </w:rPr>
        <w:t>Constantinople</w:t>
      </w:r>
      <w:r>
        <w:rPr>
          <w:b w:val="0"/>
          <w:i w:val="0"/>
        </w:rPr>
        <w:t xml:space="preserve">, Sandiki, Ispir, Bolu, Zile, Simal; Greece, Bulgaria, Yugoslavia, Czechoslovakia, Romania; Mongolia, the Gobi, Greenland; Korea, Siam, India, Bengal, Indonesia; Patagonia; Liverpool; zoological pins (Orinoco, Zambesi, ocean off India); Araby / Arabian; Voltaire, the Duke de Guiche; historical fencing masters (Agrippa, Bonetti, Thibault, Capo Ferro, Fabris; Corsica / Bastia; MacPherson the Scot); ethnic tags in dialogue (Spaniard, Sicilian, Turk, Polack). Florin is set </w:t>
      </w:r>
      <w:r>
        <w:rPr>
          <w:b/>
          <w:i w:val="0"/>
        </w:rPr>
        <w:t>between where Sweden and Germany would eventually settle</w:t>
      </w:r>
      <w:r>
        <w:rPr>
          <w:b w:val="0"/>
          <w:i w:val="0"/>
        </w:rPr>
        <w:t xml:space="preserve">, with parenthetical jokes about “before Europe” and “after Paris.” </w:t>
      </w:r>
      <w:r>
        <w:rPr>
          <w:b/>
          <w:i w:val="0"/>
        </w:rPr>
        <w:t>Plot sovereignty</w:t>
      </w:r>
      <w:r>
        <w:rPr>
          <w:b w:val="0"/>
          <w:i w:val="0"/>
        </w:rPr>
        <w:t xml:space="preserve"> still sits in </w:t>
      </w:r>
      <w:r>
        <w:rPr>
          <w:b/>
          <w:i w:val="0"/>
        </w:rPr>
        <w:t>Florin, Guilder, Florin City</w:t>
      </w:r>
      <w:r>
        <w:rPr>
          <w:b w:val="0"/>
          <w:i w:val="0"/>
        </w:rPr>
        <w:t>, and the Channel.</w:t>
      </w:r>
    </w:p>
    <w:p>
      <w:r>
        <w:rPr>
          <w:b w:val="0"/>
          <w:i w:val="0"/>
        </w:rPr>
      </w:r>
      <w:r>
        <w:rPr>
          <w:b/>
          <w:i w:val="0"/>
        </w:rPr>
        <w:t>User sentiment (captured here):</w:t>
      </w:r>
      <w:r>
        <w:rPr>
          <w:b w:val="0"/>
          <w:i w:val="0"/>
        </w:rPr>
        <w:t xml:space="preserve"> That mix does not read as a sealed secondary world; it reads as </w:t>
      </w:r>
      <w:r>
        <w:rPr>
          <w:b/>
          <w:i w:val="0"/>
        </w:rPr>
        <w:t>real history and real maps with a mask</w:t>
      </w:r>
      <w:r>
        <w:rPr>
          <w:b w:val="0"/>
          <w:i w:val="0"/>
        </w:rPr>
        <w:t xml:space="preserve">. The author </w:t>
      </w:r>
      <w:r>
        <w:rPr>
          <w:b/>
          <w:i w:val="0"/>
        </w:rPr>
        <w:t>majorly padded</w:t>
      </w:r>
      <w:r>
        <w:rPr>
          <w:b w:val="0"/>
          <w:i w:val="0"/>
        </w:rPr>
        <w:t xml:space="preserve"> the invented realm with </w:t>
      </w:r>
      <w:r>
        <w:rPr>
          <w:b/>
          <w:i w:val="0"/>
        </w:rPr>
        <w:t>real locations and real historical texture</w:t>
      </w:r>
      <w:r>
        <w:rPr>
          <w:b w:val="0"/>
          <w:i w:val="0"/>
        </w:rPr>
        <w:t xml:space="preserve">, which makes the </w:t>
      </w:r>
      <w:r>
        <w:rPr>
          <w:b/>
          <w:i w:val="0"/>
        </w:rPr>
        <w:t>fictional kingdoms more suspicious, not more grounded</w:t>
      </w:r>
      <w:r>
        <w:rPr>
          <w:b w:val="0"/>
          <w:i w:val="0"/>
        </w:rPr>
        <w:t xml:space="preserve">—as if the text </w:t>
      </w:r>
      <w:r>
        <w:rPr>
          <w:b/>
          <w:i w:val="0"/>
        </w:rPr>
        <w:t>trained</w:t>
      </w:r>
      <w:r>
        <w:rPr>
          <w:b w:val="0"/>
          <w:i w:val="0"/>
        </w:rPr>
        <w:t xml:space="preserve"> the reader’s mental map on Earth and then </w:t>
      </w:r>
      <w:r>
        <w:rPr>
          <w:b/>
          <w:i w:val="0"/>
        </w:rPr>
        <w:t>swapped</w:t>
      </w:r>
      <w:r>
        <w:rPr>
          <w:b w:val="0"/>
          <w:i w:val="0"/>
        </w:rPr>
        <w:t xml:space="preserve"> the crown labels. Chronological collage is </w:t>
      </w:r>
      <w:r>
        <w:rPr>
          <w:b/>
          <w:i w:val="0"/>
        </w:rPr>
        <w:t>advertised</w:t>
      </w:r>
      <w:r>
        <w:rPr>
          <w:b w:val="0"/>
          <w:i w:val="0"/>
        </w:rPr>
        <w:t xml:space="preserve">, not hidden. Mainstream reading: comic anachronism. This appendix’s working fork: </w:t>
      </w:r>
      <w:r>
        <w:rPr>
          <w:b/>
          <w:i w:val="0"/>
        </w:rPr>
        <w:t>deliberate</w:t>
      </w:r>
      <w:r>
        <w:rPr>
          <w:b w:val="0"/>
          <w:i w:val="0"/>
        </w:rPr>
        <w:t xml:space="preserve"> fiction-built-on-history, compatible with encoding and redacted-chronology investigation—</w:t>
      </w:r>
      <w:r>
        <w:rPr>
          <w:b/>
          <w:i w:val="0"/>
        </w:rPr>
        <w:t>high</w:t>
      </w:r>
      <w:r>
        <w:rPr>
          <w:b w:val="0"/>
          <w:i w:val="0"/>
        </w:rPr>
        <w:t xml:space="preserve"> confidence on density of real names in text; </w:t>
      </w:r>
      <w:r>
        <w:rPr>
          <w:b/>
          <w:i w:val="0"/>
        </w:rPr>
        <w:t>low</w:t>
      </w:r>
      <w:r>
        <w:rPr>
          <w:b w:val="0"/>
          <w:i w:val="0"/>
        </w:rPr>
        <w:t xml:space="preserve"> on proof of private authorial intent. Full inventory, reading fork, and cross-links: </w:t>
      </w:r>
      <w:hyperlink r:id="rId231">
        <w:r>
          <w:rPr>
            <w:b w:val="0"/>
            <w:i w:val="0"/>
            <w:color w:val="B8860B"/>
          </w:rPr>
          <w:t>Princess Bride investigation — Key findings §7; Morgenstern layer: real Earth geography as padding</w:t>
        </w:r>
      </w:hyperlink>
      <w:r>
        <w:rPr>
          <w:b w:val="0"/>
          <w:i w:val="0"/>
        </w:rPr>
        <w:t>.</w:t>
      </w:r>
    </w:p>
    <w:p>
      <w:pPr>
        <w:pStyle w:val="Heading3"/>
        <w:keepNext/>
        <w:keepLines/>
      </w:pPr>
      <w:r>
        <w:t>Orson Scott Card (b. 1951)</w:t>
      </w:r>
    </w:p>
    <w:p>
      <w:r>
        <w:rPr>
          <w:b w:val="0"/>
          <w:i/>
        </w:rPr>
        <w:t>Ender's Game</w:t>
      </w:r>
      <w:r>
        <w:rPr>
          <w:b w:val="0"/>
          <w:i w:val="0"/>
        </w:rPr>
        <w:t xml:space="preserve"> (1985): a child commands planetary destruction via "simulations" that are real battles; telepathic hive-mind; secondary discharge destroys the attacker's fleet. U.S. Marine Corps Reading List. Drone warfare replicates the scenario. Mars catastrophe retold. Pattern (planet attacks, blow-back) in Wells, Lovecraft, Lucas, Hubbard, </w:t>
      </w:r>
      <w:r>
        <w:rPr>
          <w:b w:val="0"/>
          <w:i/>
        </w:rPr>
        <w:t>Stargate</w:t>
      </w:r>
      <w:r>
        <w:rPr>
          <w:b w:val="0"/>
          <w:i w:val="0"/>
        </w:rPr>
        <w:t>—</w:t>
      </w:r>
      <w:r>
        <w:rPr>
          <w:b/>
          <w:i w:val="0"/>
        </w:rPr>
        <w:t>common source</w:t>
      </w:r>
      <w:r>
        <w:rPr>
          <w:b w:val="0"/>
          <w:i w:val="0"/>
        </w:rPr>
        <w:t xml:space="preserve"> hypothesis.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134">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3"/>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3"/>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3"/>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3"/>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3"/>
        <w:keepNext/>
        <w:keepLines/>
      </w:pPr>
      <w:r>
        <w:t>See Also</w:t>
      </w:r>
    </w:p>
    <w:p>
      <w:pPr>
        <w:pStyle w:val="ListBullet"/>
        <w:spacing w:before="20" w:after="20"/>
      </w:pPr>
      <w:hyperlink r:id="rId134">
        <w:r>
          <w:rPr>
            <w:b w:val="0"/>
            <w:i w:val="0"/>
            <w:color w:val="B8860B"/>
            <w:sz w:val="19"/>
          </w:rPr>
          <w:t>Asimov: Marx in Space!</w:t>
        </w:r>
      </w:hyperlink>
      <w:r>
        <w:rPr>
          <w:b w:val="0"/>
          <w:i w:val="0"/>
          <w:sz w:val="19"/>
        </w:rPr>
        <w:t xml:space="preserve"> — main article</w:t>
      </w:r>
    </w:p>
    <w:p>
      <w:pPr>
        <w:pStyle w:val="ListBullet"/>
        <w:spacing w:before="20" w:after="20"/>
      </w:pPr>
      <w:hyperlink r:id="rId126">
        <w:r>
          <w:rPr>
            <w:b w:val="0"/>
            <w:i w:val="0"/>
            <w:color w:val="B8860B"/>
            <w:sz w:val="19"/>
          </w:rPr>
          <w:t>Mars Literature: Author Profiles</w:t>
        </w:r>
      </w:hyperlink>
      <w:r>
        <w:rPr>
          <w:b w:val="0"/>
          <w:i w:val="0"/>
          <w:sz w:val="19"/>
        </w:rPr>
        <w:t xml:space="preserve"> — Asimov profile, robots on Mars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provides detailed author profiles and textual evidence supporting the argument in </w:t>
      </w:r>
      <w:hyperlink r:id="rId233">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179">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215">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179">
        <w:r>
          <w:rPr>
            <w:b w:val="0"/>
            <w:i w:val="0"/>
            <w:color w:val="B8860B"/>
          </w:rPr>
          <w:t>Moreau</w:t>
        </w:r>
      </w:hyperlink>
      <w:r>
        <w:rPr>
          <w:b w:val="0"/>
          <w:i w:val="0"/>
        </w:rPr>
        <w:t xml:space="preserve"> | </w:t>
      </w:r>
      <w:hyperlink r:id="rId219">
        <w:r>
          <w:rPr>
            <w:b w:val="0"/>
            <w:i w:val="0"/>
            <w:color w:val="B8860B"/>
          </w:rPr>
          <w:t>Dracula</w:t>
        </w:r>
      </w:hyperlink>
      <w:r>
        <w:rPr>
          <w:b w:val="0"/>
          <w:i w:val="0"/>
        </w:rPr>
        <w:t xml:space="preserve"> | </w:t>
      </w:r>
      <w:hyperlink r:id="rId218">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234">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177">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134">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77">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82">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179">
        <w:r>
          <w:rPr>
            <w:b w:val="0"/>
            <w:i w:val="0"/>
            <w:color w:val="B8860B"/>
            <w:sz w:val="19"/>
          </w:rPr>
          <w:t>Island of Dr. Moreau: Gland/Blood Investigation</w:t>
        </w:r>
      </w:hyperlink>
      <w:r>
        <w:rPr>
          <w:b w:val="0"/>
          <w:i w:val="0"/>
          <w:sz w:val="19"/>
        </w:rPr>
        <w:t xml:space="preserve"> | </w:t>
      </w:r>
      <w:hyperlink r:id="rId219">
        <w:r>
          <w:rPr>
            <w:b w:val="0"/>
            <w:i w:val="0"/>
            <w:color w:val="B8860B"/>
            <w:sz w:val="19"/>
          </w:rPr>
          <w:t>Dracula: Book as Fact</w:t>
        </w:r>
      </w:hyperlink>
      <w:r>
        <w:rPr>
          <w:b w:val="0"/>
          <w:i w:val="0"/>
          <w:sz w:val="19"/>
        </w:rPr>
        <w:t xml:space="preserve"> | </w:t>
      </w:r>
      <w:hyperlink r:id="rId218">
        <w:r>
          <w:rPr>
            <w:b w:val="0"/>
            <w:i w:val="0"/>
            <w:color w:val="B8860B"/>
            <w:sz w:val="19"/>
          </w:rPr>
          <w:t>Thompson Managed Disclosure</w:t>
        </w:r>
      </w:hyperlink>
    </w:p>
    <w:p>
      <w:pPr>
        <w:pStyle w:val="ListBullet"/>
        <w:spacing w:before="20" w:after="20"/>
      </w:pPr>
      <w:hyperlink r:id="rId134">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233">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177">
        <w:r>
          <w:rPr>
            <w:b w:val="0"/>
            <w:i w:val="0"/>
            <w:color w:val="B8860B"/>
            <w:sz w:val="19"/>
          </w:rPr>
          <w:t>The Mars Catastrophe</w:t>
        </w:r>
      </w:hyperlink>
      <w:r>
        <w:rPr>
          <w:b w:val="0"/>
          <w:i w:val="0"/>
          <w:sz w:val="19"/>
        </w:rPr>
        <w:t xml:space="preserve"> — core theory</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235">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Controlled Opposition</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35">
        <w:r>
          <w:rPr>
            <w:b w:val="0"/>
            <w:i w:val="0"/>
            <w:color w:val="B8860B"/>
            <w:sz w:val="19"/>
          </w:rPr>
          <w:t>The Thunderbolts Project: A Case Study in Managed Disclosure</w:t>
        </w:r>
      </w:hyperlink>
    </w:p>
    <w:p>
      <w:pPr>
        <w:pStyle w:val="ListBullet"/>
        <w:spacing w:before="20" w:after="20"/>
      </w:pPr>
      <w:hyperlink r:id="rId136">
        <w:r>
          <w:rPr>
            <w:b w:val="0"/>
            <w:i w:val="0"/>
            <w:color w:val="B8860B"/>
            <w:sz w:val="19"/>
          </w:rPr>
          <w:t>Operation Mockingbird: The Historical Chain</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article provides the detailed evidentiary record supporting the assessment in </w:t>
      </w:r>
      <w:hyperlink r:id="rId137">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136">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236">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237">
        <w:r>
          <w:rPr>
            <w:b w:val="0"/>
            <w:i w:val="0"/>
            <w:color w:val="B8860B"/>
          </w:rPr>
          <w:t>King James Version</w:t>
        </w:r>
      </w:hyperlink>
      <w:r>
        <w:rPr>
          <w:b w:val="0"/>
          <w:i w:val="0"/>
        </w:rPr>
        <w:t xml:space="preserve"> and Vulgate are Reformation propaganda — Hordian chronicles seized, redacted, translated into </w:t>
      </w:r>
      <w:hyperlink r:id="rId217">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238">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217">
        <w:r>
          <w:rPr>
            <w:b w:val="0"/>
            <w:i w:val="0"/>
            <w:color w:val="B8860B"/>
          </w:rPr>
          <w:t>Latin</w:t>
        </w:r>
      </w:hyperlink>
      <w:r>
        <w:rPr>
          <w:b w:val="0"/>
          <w:i w:val="0"/>
        </w:rPr>
        <w:t xml:space="preserve"> derivatives, systematically erasing the memory of the empire. Those who remembered </w:t>
      </w:r>
      <w:hyperlink r:id="rId238">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239">
        <w:r>
          <w:rPr>
            <w:b w:val="0"/>
            <w:i w:val="0"/>
            <w:color w:val="B8860B"/>
          </w:rPr>
          <w:t>Jerusalem</w:t>
        </w:r>
      </w:hyperlink>
      <w:r>
        <w:rPr>
          <w:b w:val="0"/>
          <w:i w:val="0"/>
        </w:rPr>
        <w:t xml:space="preserve"> were accused of blasphemy and put to death.</w:t>
      </w:r>
    </w:p>
    <w:p>
      <w:r>
        <w:rPr>
          <w:b w:val="0"/>
          <w:i w:val="0"/>
        </w:rPr>
        <w:t xml:space="preserve">The </w:t>
      </w:r>
      <w:hyperlink r:id="rId240">
        <w:r>
          <w:rPr>
            <w:b w:val="0"/>
            <w:i w:val="0"/>
            <w:color w:val="B8860B"/>
          </w:rPr>
          <w:t>Romanov seizure</w:t>
        </w:r>
      </w:hyperlink>
      <w:r>
        <w:rPr>
          <w:b w:val="0"/>
          <w:i w:val="0"/>
        </w:rPr>
        <w:t xml:space="preserve"> formalized this into state policy for Russia. The </w:t>
      </w:r>
      <w:hyperlink r:id="rId241">
        <w:r>
          <w:rPr>
            <w:b w:val="0"/>
            <w:i w:val="0"/>
            <w:color w:val="B8860B"/>
          </w:rPr>
          <w:t>Scaligerian chronology</w:t>
        </w:r>
      </w:hyperlink>
      <w:r>
        <w:rPr>
          <w:b w:val="0"/>
          <w:i w:val="0"/>
        </w:rPr>
        <w:t xml:space="preserve"> provided the fraudulent timeline. The </w:t>
      </w:r>
      <w:hyperlink r:id="rId152">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242">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pPr>
        <w:pStyle w:val="Heading3"/>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3"/>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3"/>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3"/>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208">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219">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233">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3"/>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93">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35">
        <w:r>
          <w:rPr>
            <w:b w:val="0"/>
            <w:i w:val="0"/>
            <w:color w:val="B8860B"/>
          </w:rPr>
          <w:t>The Thunderbolts Project: A Case Study in Managed Disclosure</w:t>
        </w:r>
      </w:hyperlink>
      <w:r>
        <w:rPr>
          <w:b w:val="0"/>
          <w:i w:val="0"/>
        </w:rPr>
        <w:t>.</w:t>
      </w:r>
    </w:p>
    <w:p>
      <w:pPr>
        <w:pStyle w:val="Heading3"/>
        <w:keepNext/>
        <w:keepLines/>
      </w:pPr>
      <w:r>
        <w:t>Author's theory: Velikovsky and Talbott as divide-and-conquer</w:t>
      </w:r>
    </w:p>
    <w:p>
      <w:r>
        <w:rPr>
          <w:b w:val="0"/>
          <w:i w:val="0"/>
        </w:rPr>
      </w:r>
      <w:r>
        <w:rPr>
          <w:b/>
          <w:i w:val="0"/>
        </w:rPr>
        <w:t>Author's thesis:</w:t>
      </w:r>
      <w:r>
        <w:rPr>
          <w:b w:val="0"/>
          <w:i w:val="0"/>
        </w:rPr>
        <w:t xml:space="preserve"> The public record of Saturnian cosmology has a telling gap. No authors are known to have published on Saturnian cosmology before </w:t>
      </w:r>
      <w:r>
        <w:rPr>
          <w:b/>
          <w:i w:val="0"/>
        </w:rPr>
        <w:t>Velikovsky</w:t>
      </w:r>
      <w:r>
        <w:rPr>
          <w:b w:val="0"/>
          <w:i w:val="0"/>
        </w:rPr>
        <w:t xml:space="preserve"> — and in his published work he </w:t>
      </w:r>
      <w:r>
        <w:rPr>
          <w:b/>
          <w:i w:val="0"/>
        </w:rPr>
        <w:t>left out Saturn</w:t>
      </w:r>
      <w:r>
        <w:rPr>
          <w:b w:val="0"/>
          <w:i w:val="0"/>
        </w:rPr>
        <w:t xml:space="preserve">, despite (as his unpublished manuscript and later Talbott attest) having identified Saturn as the dominant heavenly body and with the Golden Age. Then no one published on Saturnian cosmology </w:t>
      </w:r>
      <w:r>
        <w:rPr>
          <w:b/>
          <w:i w:val="0"/>
        </w:rPr>
        <w:t>including Saturn</w:t>
      </w:r>
      <w:r>
        <w:rPr>
          <w:b w:val="0"/>
          <w:i w:val="0"/>
        </w:rPr>
        <w:t xml:space="preserve"> before </w:t>
      </w:r>
      <w:r>
        <w:rPr>
          <w:b/>
          <w:i w:val="0"/>
        </w:rPr>
        <w:t>Talbott</w:t>
      </w:r>
      <w:r>
        <w:rPr>
          <w:b w:val="0"/>
          <w:i w:val="0"/>
        </w:rPr>
        <w:t xml:space="preserve"> — but Talbott and the Thunderbolts project, while putting Saturn back in, created a </w:t>
      </w:r>
      <w:r>
        <w:rPr>
          <w:b/>
          <w:i w:val="0"/>
        </w:rPr>
        <w:t>boundary specific to the Golden Age</w:t>
      </w:r>
      <w:r>
        <w:rPr>
          <w:b w:val="0"/>
          <w:i w:val="0"/>
        </w:rPr>
        <w:t xml:space="preserve">: an interval within which inquiry is permitted, and </w:t>
      </w:r>
      <w:r>
        <w:rPr>
          <w:b/>
          <w:i w:val="0"/>
        </w:rPr>
        <w:t>beyond which</w:t>
      </w:r>
      <w:r>
        <w:rPr>
          <w:b w:val="0"/>
          <w:i w:val="0"/>
        </w:rPr>
        <w:t xml:space="preserve"> discussion of what happened after the Golden Age is effectively forbidden or marginalised. That control position — the permitted "Saturn was once our sun" narrative with a hard stop before chronology, Bible, or post–Golden Age catastrophe — can be referenced in </w:t>
      </w:r>
      <w:r>
        <w:rPr>
          <w:b/>
          <w:i w:val="0"/>
        </w:rPr>
        <w:t>Jno Cook's writings</w:t>
      </w:r>
      <w:r>
        <w:rPr>
          <w:b w:val="0"/>
          <w:i w:val="0"/>
        </w:rPr>
        <w:t xml:space="preserve"> on the Thunderbolts project (Cook did not use the phrase "controlled opposition," but his analysis of the project's boundaries and deletions supports the reading; the author applies the term here).</w:t>
      </w:r>
    </w:p>
    <w:p>
      <w:r>
        <w:rPr>
          <w:b w:val="0"/>
          <w:i w:val="0"/>
        </w:rPr>
      </w:r>
      <w:r>
        <w:rPr>
          <w:b/>
          <w:i w:val="0"/>
        </w:rPr>
        <w:t>Divide-and-conquer:</w:t>
      </w:r>
      <w:r>
        <w:rPr>
          <w:b w:val="0"/>
          <w:i w:val="0"/>
        </w:rPr>
        <w:t xml:space="preserve"> Velikovsky and Talbott (and the camps around them) can be read as a </w:t>
      </w:r>
      <w:r>
        <w:rPr>
          <w:b/>
          <w:i w:val="0"/>
        </w:rPr>
        <w:t>deliberate strategy</w:t>
      </w:r>
      <w:r>
        <w:rPr>
          <w:b w:val="0"/>
          <w:i w:val="0"/>
        </w:rPr>
        <w:t xml:space="preserve">. Velikovsky opens the door to catastrophism and ancient planetary disorder but omits Saturn; Talbott restores Saturn but draws a line that keeps the most dangerous connections off the table. The result is a </w:t>
      </w:r>
      <w:r>
        <w:rPr>
          <w:b/>
          <w:i w:val="0"/>
        </w:rPr>
        <w:t>controversy</w:t>
      </w:r>
      <w:r>
        <w:rPr>
          <w:b w:val="0"/>
          <w:i w:val="0"/>
        </w:rPr>
        <w:t xml:space="preserve"> in which each side accuses the other of being wrong — Velikovskians vs. Talbott/Thunderbolts, or mainstream vs. both — and the </w:t>
      </w:r>
      <w:r>
        <w:rPr>
          <w:b/>
          <w:i w:val="0"/>
        </w:rPr>
        <w:t>general public</w:t>
      </w:r>
      <w:r>
        <w:rPr>
          <w:b w:val="0"/>
          <w:i w:val="0"/>
        </w:rPr>
        <w:t xml:space="preserve"> watches and concludes that </w:t>
      </w:r>
      <w:r>
        <w:rPr>
          <w:b/>
          <w:i w:val="0"/>
        </w:rPr>
        <w:t>both</w:t>
      </w:r>
      <w:r>
        <w:rPr>
          <w:b w:val="0"/>
          <w:i w:val="0"/>
        </w:rPr>
        <w:t xml:space="preserve"> are wrong. Researchers interested in these topics are caught in the crossfire and cannot easily go further; the field is contained.</w:t>
      </w:r>
    </w:p>
    <w:p>
      <w:r>
        <w:rPr>
          <w:b w:val="0"/>
          <w:i w:val="0"/>
        </w:rPr>
      </w:r>
      <w:r>
        <w:rPr>
          <w:b/>
          <w:i w:val="0"/>
        </w:rPr>
        <w:t>Talbott and associates as controlled opposition:</w:t>
      </w:r>
      <w:r>
        <w:rPr>
          <w:b w:val="0"/>
          <w:i w:val="0"/>
        </w:rPr>
        <w:t xml:space="preserve"> Talbott and many of the people he worked with appear, in this reading, to function as </w:t>
      </w:r>
      <w:r>
        <w:rPr>
          <w:b/>
          <w:i w:val="0"/>
        </w:rPr>
        <w:t>controlled opposition</w:t>
      </w:r>
      <w:r>
        <w:rPr>
          <w:b w:val="0"/>
          <w:i w:val="0"/>
        </w:rPr>
        <w:t xml:space="preserve"> to a high degree. They present as bumbling, not very scientific or serious or accurate, and advance theories that are </w:t>
      </w:r>
      <w:r>
        <w:rPr>
          <w:b/>
          <w:i w:val="0"/>
        </w:rPr>
        <w:t>clearly flawed</w:t>
      </w:r>
      <w:r>
        <w:rPr>
          <w:b w:val="0"/>
          <w:i w:val="0"/>
        </w:rPr>
        <w:t xml:space="preserve"> — for example pushing a </w:t>
      </w:r>
      <w:r>
        <w:rPr>
          <w:b/>
          <w:i w:val="0"/>
        </w:rPr>
        <w:t>collinear configuration with gravity</w:t>
      </w:r>
      <w:r>
        <w:rPr>
          <w:b w:val="0"/>
          <w:i w:val="0"/>
        </w:rPr>
        <w:t xml:space="preserve"> that is physically untenable and that mainstream scientists can easily dismiss. That kind of formulation can </w:t>
      </w:r>
      <w:r>
        <w:rPr>
          <w:b/>
          <w:i w:val="0"/>
        </w:rPr>
        <w:t>cause major delays</w:t>
      </w:r>
      <w:r>
        <w:rPr>
          <w:b w:val="0"/>
          <w:i w:val="0"/>
        </w:rPr>
        <w:t xml:space="preserve"> in the general population of scientists (or the educated public) taking any of this seriously. It acts as a </w:t>
      </w:r>
      <w:r>
        <w:rPr>
          <w:b/>
          <w:i w:val="0"/>
        </w:rPr>
        <w:t>straw man</w:t>
      </w:r>
      <w:r>
        <w:rPr>
          <w:b w:val="0"/>
          <w:i w:val="0"/>
        </w:rPr>
        <w:t>: the "catastrophist" or "Electric Universe" position is identified with these weak or indefensible claims, so that the entire tradition is tarred and serious work (e.g. Cook's chronology, Peratt's plasma archaeology, Thornhill's EU mechanism) is lumped in and dismissed.</w:t>
      </w:r>
    </w:p>
    <w:p>
      <w:r>
        <w:rPr>
          <w:b w:val="0"/>
          <w:i w:val="0"/>
        </w:rPr>
      </w:r>
      <w:r>
        <w:rPr>
          <w:b/>
          <w:i w:val="0"/>
        </w:rPr>
        <w:t>Thornhill as the exception:</w:t>
      </w:r>
      <w:r>
        <w:rPr>
          <w:b w:val="0"/>
          <w:i w:val="0"/>
        </w:rPr>
        <w:t xml:space="preserve"> In contrast to that pattern, </w:t>
      </w:r>
      <w:r>
        <w:rPr>
          <w:b/>
          <w:i w:val="0"/>
        </w:rPr>
        <w:t>Wallace Thornhill</w:t>
      </w:r>
      <w:r>
        <w:rPr>
          <w:b w:val="0"/>
          <w:i w:val="0"/>
        </w:rPr>
        <w:t xml:space="preserve"> does not appear to be a controlled opposition agent. Although he was associated with Talbott and the Thunderbolts project, Thornhill — in the author's assessment — seems to be </w:t>
      </w:r>
      <w:r>
        <w:rPr>
          <w:b/>
          <w:i w:val="0"/>
        </w:rPr>
        <w:t>the real deal</w:t>
      </w:r>
      <w:r>
        <w:rPr>
          <w:b w:val="0"/>
          <w:i w:val="0"/>
        </w:rPr>
        <w:t>: rigorous on the physics, willing to engage with evidence, and not invested in the same boundary-drawing or straw-man dynamics. The association can obscure that distinction; the author treats Thornhill as a genuine researcher whose work stands apart from the managed-disclosure structure of the project around him.</w:t>
      </w:r>
    </w:p>
    <w:p>
      <w:r>
        <w:rPr>
          <w:b w:val="0"/>
          <w:i w:val="0"/>
        </w:rPr>
        <w:t xml:space="preserve">For Cook's analysis of the Thunderbolts project's boundaries and behaviour, see saturniancosmology.org and the </w:t>
      </w:r>
      <w:hyperlink r:id="rId135">
        <w:r>
          <w:rPr>
            <w:b w:val="0"/>
            <w:i w:val="0"/>
            <w:color w:val="B8860B"/>
          </w:rPr>
          <w:t>Thunderbolts Case Study</w:t>
        </w:r>
      </w:hyperlink>
      <w:r>
        <w:rPr>
          <w:b w:val="0"/>
          <w:i w:val="0"/>
        </w:rPr>
        <w:t>.</w:t>
      </w:r>
    </w:p>
    <w:p>
      <w:pPr>
        <w:pStyle w:val="Heading3"/>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136">
        <w:r>
          <w:rPr>
            <w:b w:val="0"/>
            <w:i w:val="0"/>
            <w:color w:val="B8860B"/>
          </w:rPr>
          <w:t>Mockingbird</w:t>
        </w:r>
      </w:hyperlink>
      <w:r>
        <w:rPr>
          <w:b w:val="0"/>
          <w:i w:val="0"/>
        </w:rPr>
        <w:t xml:space="preserve">, genre reclassification (1926–50s), </w:t>
      </w:r>
      <w:hyperlink r:id="rId141">
        <w:r>
          <w:rPr>
            <w:b w:val="0"/>
            <w:i w:val="0"/>
            <w:color w:val="B8860B"/>
          </w:rPr>
          <w:t>false flags</w:t>
        </w:r>
      </w:hyperlink>
      <w:r>
        <w:rPr>
          <w:b w:val="0"/>
          <w:i w:val="0"/>
        </w:rPr>
        <w:t xml:space="preserve">. You suppress by surrounding information with a controlled version of itself. For full timeline: </w:t>
      </w:r>
      <w:hyperlink r:id="rId135">
        <w:r>
          <w:rPr>
            <w:b w:val="0"/>
            <w:i w:val="0"/>
            <w:color w:val="B8860B"/>
          </w:rPr>
          <w:t>Thunderbolts Case Study</w:t>
        </w:r>
      </w:hyperlink>
      <w:r>
        <w:rPr>
          <w:b w:val="0"/>
          <w:i w:val="0"/>
        </w:rPr>
        <w:t>.</w:t>
      </w:r>
    </w:p>
    <w:p>
      <w:pPr>
        <w:pStyle w:val="Heading3"/>
        <w:keepNext/>
        <w:keepLines/>
      </w:pPr>
      <w:r>
        <w:t>Cross-References</w:t>
      </w:r>
    </w:p>
    <w:p>
      <w:pPr>
        <w:pStyle w:val="ListBullet"/>
        <w:spacing w:before="20" w:after="20"/>
      </w:pPr>
      <w:hyperlink r:id="rId219">
        <w:r>
          <w:rPr>
            <w:b w:val="0"/>
            <w:i w:val="0"/>
            <w:color w:val="B8860B"/>
            <w:sz w:val="19"/>
          </w:rPr>
          <w:t>Dracula: book as fact</w:t>
        </w:r>
      </w:hyperlink>
    </w:p>
    <w:p>
      <w:pPr>
        <w:pStyle w:val="ListBullet"/>
        <w:spacing w:before="20" w:after="20"/>
      </w:pPr>
      <w:hyperlink r:id="rId233">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243">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136">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35">
        <w:r>
          <w:rPr>
            <w:b w:val="0"/>
            <w:i w:val="0"/>
            <w:color w:val="B8860B"/>
            <w:sz w:val="19"/>
          </w:rPr>
          <w:t>The Thunderbolts Project</w:t>
        </w:r>
      </w:hyperlink>
      <w:r>
        <w:rPr>
          <w:b w:val="0"/>
          <w:i w:val="0"/>
          <w:sz w:val="19"/>
        </w:rPr>
        <w:t xml:space="preserve"> — full managed-disclosure case study</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Censorship and Book Burning</w:t>
      </w:r>
    </w:p>
    <w:p>
      <w:r>
        <w:rPr>
          <w:b w:val="0"/>
          <w:i w:val="0"/>
        </w:rPr>
        <w:t xml:space="preserve">Full narrative, chronology, methodology, and digital censorship treatment live in </w:t>
      </w:r>
      <w:hyperlink r:id="rId243">
        <w:r>
          <w:rPr>
            <w:b w:val="0"/>
            <w:i w:val="0"/>
            <w:color w:val="B8860B"/>
          </w:rPr>
          <w:t>Censorship and Book Burning: From Alexandria to the Internet</w:t>
        </w:r>
      </w:hyperlink>
      <w:r>
        <w:rPr>
          <w:b w:val="0"/>
          <w:i w:val="0"/>
        </w:rPr>
        <w:t xml:space="preserve"> (ch. 15). The appendix entries below are </w:t>
      </w:r>
      <w:r>
        <w:rPr>
          <w:b/>
          <w:i w:val="0"/>
        </w:rPr>
        <w:t>hubs and bibliography stubs</w:t>
      </w:r>
      <w:r>
        <w:rPr>
          <w:b w:val="0"/>
          <w:i w:val="0"/>
        </w:rPr>
        <w:t xml:space="preserve"> only.</w:t>
      </w:r>
    </w:p>
    <w:p>
      <w:pPr>
        <w:pStyle w:val="ListBullet"/>
        <w:spacing w:before="20" w:after="20"/>
      </w:pPr>
      <w:hyperlink r:id="rId138">
        <w:r>
          <w:rPr>
            <w:b w:val="0"/>
            <w:i w:val="0"/>
            <w:color w:val="B8860B"/>
            <w:sz w:val="19"/>
          </w:rPr>
          <w:t>Censorship: Pattern (Appendix)</w:t>
        </w:r>
      </w:hyperlink>
      <w:r>
        <w:rPr>
          <w:b w:val="0"/>
          <w:i w:val="0"/>
          <w:sz w:val="19"/>
        </w:rPr>
        <w:t xml:space="preserve"> — cross-reference hub</w:t>
      </w:r>
    </w:p>
    <w:p>
      <w:pPr>
        <w:pStyle w:val="ListBullet"/>
        <w:spacing w:before="20" w:after="20"/>
      </w:pPr>
      <w:hyperlink r:id="rId139">
        <w:r>
          <w:rPr>
            <w:b w:val="0"/>
            <w:i w:val="0"/>
            <w:color w:val="B8860B"/>
            <w:sz w:val="19"/>
          </w:rPr>
          <w:t>Censorship: The Historical Record</w:t>
        </w:r>
      </w:hyperlink>
      <w:r>
        <w:rPr>
          <w:b w:val="0"/>
          <w:i w:val="0"/>
          <w:sz w:val="19"/>
        </w:rPr>
        <w:t xml:space="preserve"> — references list</w:t>
      </w:r>
    </w:p>
    <w:p/>
    <w:p>
      <w:pPr>
        <w:jc w:val="center"/>
      </w:pPr>
      <w:r>
        <w:rPr>
          <w:color w:val="B8860B"/>
          <w:sz w:val="24"/>
        </w:rPr>
        <w:t>— ✦ —</w:t>
      </w:r>
    </w:p>
    <w:p>
      <w:r>
        <w:rPr>
          <w:b w:val="0"/>
          <w:i w:val="0"/>
        </w:rPr>
        <w:t xml:space="preserve">The standing pattern, investigator rules, and 21st-century digital layer are now written out in </w:t>
      </w:r>
      <w:hyperlink r:id="rId243">
        <w:r>
          <w:rPr>
            <w:b w:val="0"/>
            <w:i w:val="0"/>
            <w:color w:val="B8860B"/>
          </w:rPr>
          <w:t>Censorship and Book Burning: From Alexandria to the Internet</w:t>
        </w:r>
      </w:hyperlink>
      <w:r>
        <w:rPr>
          <w:b w:val="0"/>
          <w:i w:val="0"/>
        </w:rPr>
        <w:t xml:space="preserve"> (chapter 15). This appendix entry remains a </w:t>
      </w:r>
      <w:r>
        <w:rPr>
          <w:b/>
          <w:i w:val="0"/>
        </w:rPr>
        <w:t>hub</w:t>
      </w:r>
      <w:r>
        <w:rPr>
          <w:b w:val="0"/>
          <w:i w:val="0"/>
        </w:rPr>
        <w:t xml:space="preserve"> for sibling links.</w:t>
      </w:r>
    </w:p>
    <w:p>
      <w:pPr>
        <w:pStyle w:val="Heading3"/>
        <w:keepNext/>
        <w:keepLines/>
      </w:pPr>
      <w:r>
        <w:t>Cross-References</w:t>
      </w:r>
    </w:p>
    <w:p>
      <w:pPr>
        <w:pStyle w:val="ListBullet"/>
        <w:spacing w:before="20" w:after="20"/>
      </w:pPr>
      <w:hyperlink r:id="rId152">
        <w:r>
          <w:rPr>
            <w:b w:val="0"/>
            <w:i w:val="0"/>
            <w:color w:val="B8860B"/>
            <w:sz w:val="19"/>
          </w:rPr>
          <w:t>14.03.00 — Soviet Historiography</w:t>
        </w:r>
      </w:hyperlink>
    </w:p>
    <w:p>
      <w:pPr>
        <w:pStyle w:val="ListBullet"/>
        <w:spacing w:before="20" w:after="20"/>
      </w:pPr>
      <w:hyperlink r:id="rId244">
        <w:r>
          <w:rPr>
            <w:b w:val="0"/>
            <w:i w:val="0"/>
            <w:color w:val="B8860B"/>
            <w:sz w:val="19"/>
          </w:rPr>
          <w:t>14.02.00 — The Russian Intellectual Emigration</w:t>
        </w:r>
      </w:hyperlink>
    </w:p>
    <w:p>
      <w:pPr>
        <w:pStyle w:val="ListBullet"/>
        <w:spacing w:before="20" w:after="20"/>
      </w:pPr>
      <w:hyperlink r:id="rId136">
        <w:r>
          <w:rPr>
            <w:b w:val="0"/>
            <w:i w:val="0"/>
            <w:color w:val="B8860B"/>
            <w:sz w:val="19"/>
          </w:rPr>
          <w:t>14.06.00 — Operation Mockingbird</w:t>
        </w:r>
      </w:hyperlink>
    </w:p>
    <w:p>
      <w:pPr>
        <w:pStyle w:val="ListBullet"/>
        <w:spacing w:before="20" w:after="20"/>
      </w:pPr>
      <w:hyperlink r:id="rId137">
        <w:r>
          <w:rPr>
            <w:b w:val="0"/>
            <w:i w:val="0"/>
            <w:color w:val="B8860B"/>
            <w:sz w:val="19"/>
          </w:rPr>
          <w:t>Controlled Opposition: Managed Disclosure</w:t>
        </w:r>
      </w:hyperlink>
    </w:p>
    <w:p>
      <w:pPr>
        <w:pStyle w:val="ListBullet"/>
        <w:spacing w:before="20" w:after="20"/>
      </w:pPr>
      <w:hyperlink r:id="rId139">
        <w:r>
          <w:rPr>
            <w:b w:val="0"/>
            <w:i w:val="0"/>
            <w:color w:val="B8860B"/>
            <w:sz w:val="19"/>
          </w:rPr>
          <w:t>Censorship: The Historical Record</w:t>
        </w:r>
      </w:hyperlink>
      <w:r>
        <w:rPr>
          <w:b w:val="0"/>
          <w:i w:val="0"/>
          <w:sz w:val="19"/>
        </w:rPr>
        <w:t xml:space="preserve"> — compact references list</w:t>
      </w:r>
    </w:p>
    <w:p/>
    <w:p>
      <w:pPr>
        <w:jc w:val="center"/>
      </w:pPr>
      <w:r>
        <w:rPr>
          <w:color w:val="B8860B"/>
          <w:sz w:val="24"/>
        </w:rPr>
        <w:t>— ✦ —</w:t>
      </w:r>
    </w:p>
    <w:p>
      <w:r>
        <w:rPr>
          <w:b w:val="0"/>
          <w:i w:val="0"/>
        </w:rPr>
        <w:t xml:space="preserve">The episode-by-episode chronology, methodology checklist, and source notes that formerly lived here are now folded into the main book article </w:t>
      </w:r>
      <w:hyperlink r:id="rId243">
        <w:r>
          <w:rPr>
            <w:b w:val="0"/>
            <w:i w:val="0"/>
            <w:color w:val="B8860B"/>
          </w:rPr>
          <w:t>Censorship and Book Burning: From Alexandria to the Internet</w:t>
        </w:r>
      </w:hyperlink>
      <w:r>
        <w:rPr>
          <w:b w:val="0"/>
          <w:i w:val="0"/>
        </w:rPr>
        <w:t xml:space="preserve">. This appendix page keeps a compact </w:t>
      </w:r>
      <w:r>
        <w:rPr>
          <w:b/>
          <w:i w:val="0"/>
        </w:rPr>
        <w:t>references</w:t>
      </w:r>
      <w:r>
        <w:rPr>
          <w:b w:val="0"/>
          <w:i w:val="0"/>
        </w:rPr>
        <w:t xml:space="preserve"> list for citation; narrative detail should be read there.</w:t>
      </w:r>
    </w:p>
    <w:p>
      <w:pPr>
        <w:pStyle w:val="Heading3"/>
        <w:keepNext/>
        <w:keepLines/>
      </w:pPr>
      <w:r>
        <w:t>References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ectPr>
          <w:headerReference w:type="default" r:id="rId206"/>
          <w:footerReference w:type="default" r:id="rId207"/>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XIX</w:t>
      </w:r>
    </w:p>
    <w:p>
      <w:pPr>
        <w:pStyle w:val="Heading1"/>
        <w:jc w:val="center"/>
      </w:pPr>
      <w:r>
        <w:rPr>
          <w:b/>
        </w:rPr>
        <w:t>Appendix — Conflict, Empire, and Manufactured War</w:t>
      </w:r>
    </w:p>
    <w:p>
      <w:r>
        <w:rPr>
          <w:b w:val="0"/>
          <w:i w:val="0"/>
        </w:rPr>
        <w:t xml:space="preserve">False-flag architecture, deep-state and imperial dossiers, reverse crusades in modern wars, and extended operational evidence. Chapters use the original bands </w:t>
      </w:r>
      <w:r>
        <w:rPr>
          <w:rFonts w:ascii="JetBrains Mono" w:hAnsi="JetBrains Mono"/>
          <w:sz w:val="20"/>
        </w:rPr>
        <w:t>19.47.*</w:t>
      </w:r>
      <w:r>
        <w:rPr>
          <w:b w:val="0"/>
          <w:i w:val="0"/>
        </w:rPr>
        <w:t xml:space="preserve">, </w:t>
      </w:r>
      <w:r>
        <w:rPr>
          <w:rFonts w:ascii="JetBrains Mono" w:hAnsi="JetBrains Mono"/>
          <w:sz w:val="20"/>
        </w:rPr>
        <w:t>19.48.*</w:t>
      </w:r>
      <w:r>
        <w:rPr>
          <w:b w:val="0"/>
          <w:i w:val="0"/>
        </w:rPr>
        <w:t xml:space="preserve">, </w:t>
      </w:r>
      <w:r>
        <w:rPr>
          <w:rFonts w:ascii="JetBrains Mono" w:hAnsi="JetBrains Mono"/>
          <w:sz w:val="20"/>
        </w:rPr>
        <w:t>19.50.*</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False Flags</w:t>
      </w:r>
    </w:p>
    <w:p>
      <w:r>
        <w:rPr>
          <w:b w:val="0"/>
          <w:i w:val="0"/>
        </w:rPr>
        <w:t xml:space="preserve">The main narrative, catalogue, quotations, and investigator checklist are in </w:t>
      </w:r>
      <w:hyperlink r:id="rId247">
        <w:r>
          <w:rPr>
            <w:b w:val="0"/>
            <w:i w:val="0"/>
            <w:color w:val="B8860B"/>
          </w:rPr>
          <w:t>False Flags: Architecture of Manufactured War</w:t>
        </w:r>
      </w:hyperlink>
      <w:r>
        <w:rPr>
          <w:b w:val="0"/>
          <w:i w:val="0"/>
        </w:rPr>
        <w:t xml:space="preserve"> (ch. 15). The entries below are </w:t>
      </w:r>
      <w:r>
        <w:rPr>
          <w:b/>
          <w:i w:val="0"/>
        </w:rPr>
        <w:t>appendix hubs</w:t>
      </w:r>
      <w:r>
        <w:rPr>
          <w:b w:val="0"/>
          <w:i w:val="0"/>
        </w:rPr>
        <w:t xml:space="preserve">: cross-links and an extended </w:t>
      </w:r>
      <w:r>
        <w:rPr>
          <w:b/>
          <w:i w:val="0"/>
        </w:rPr>
        <w:t>bibliography</w:t>
      </w:r>
      <w:r>
        <w:rPr>
          <w:b w:val="0"/>
          <w:i w:val="0"/>
        </w:rPr>
        <w:t xml:space="preserve"> permalink.</w:t>
      </w:r>
    </w:p>
    <w:p>
      <w:pPr>
        <w:pStyle w:val="ListBullet"/>
        <w:spacing w:before="20" w:after="20"/>
      </w:pPr>
      <w:hyperlink r:id="rId141">
        <w:r>
          <w:rPr>
            <w:b w:val="0"/>
            <w:i w:val="0"/>
            <w:color w:val="B8860B"/>
            <w:sz w:val="19"/>
          </w:rPr>
          <w:t>False Flags: Architecture (Appendix)</w:t>
        </w:r>
      </w:hyperlink>
      <w:r>
        <w:rPr>
          <w:b w:val="0"/>
          <w:i w:val="0"/>
          <w:sz w:val="19"/>
        </w:rPr>
        <w:t xml:space="preserve"> — cross-reference hub</w:t>
      </w:r>
    </w:p>
    <w:p>
      <w:pPr>
        <w:pStyle w:val="ListBullet"/>
        <w:spacing w:before="20" w:after="20"/>
      </w:pPr>
      <w:hyperlink r:id="rId142">
        <w:r>
          <w:rPr>
            <w:b w:val="0"/>
            <w:i w:val="0"/>
            <w:color w:val="B8860B"/>
            <w:sz w:val="19"/>
          </w:rPr>
          <w:t>False Flags Investigation: Evidence Dossier</w:t>
        </w:r>
      </w:hyperlink>
      <w:r>
        <w:rPr>
          <w:b w:val="0"/>
          <w:i w:val="0"/>
          <w:sz w:val="19"/>
        </w:rPr>
        <w:t xml:space="preserve"> — consolidated bibliography</w:t>
      </w:r>
    </w:p>
    <w:p/>
    <w:p>
      <w:pPr>
        <w:jc w:val="center"/>
      </w:pPr>
      <w:r>
        <w:rPr>
          <w:color w:val="B8860B"/>
          <w:sz w:val="24"/>
        </w:rPr>
        <w:t>— ✦ —</w:t>
      </w:r>
    </w:p>
    <w:p>
      <w:r>
        <w:rPr>
          <w:b w:val="0"/>
          <w:i w:val="0"/>
        </w:rPr>
        <w:t xml:space="preserve">Narrative, catalogue, Pearl Harbor quotations, Los Angeles 1942, nuclear narrative, case sketches, and reading rules now live in </w:t>
      </w:r>
      <w:hyperlink r:id="rId247">
        <w:r>
          <w:rPr>
            <w:b w:val="0"/>
            <w:i w:val="0"/>
            <w:color w:val="B8860B"/>
          </w:rPr>
          <w:t>False Flags: Architecture of Manufactured War</w:t>
        </w:r>
      </w:hyperlink>
      <w:r>
        <w:rPr>
          <w:b w:val="0"/>
          <w:i w:val="0"/>
        </w:rPr>
        <w:t xml:space="preserve"> (chapter 15). This entry remains an </w:t>
      </w:r>
      <w:r>
        <w:rPr>
          <w:b/>
          <w:i w:val="0"/>
        </w:rPr>
        <w:t>appendix hub</w:t>
      </w:r>
      <w:r>
        <w:rPr>
          <w:b w:val="0"/>
          <w:i w:val="0"/>
        </w:rPr>
        <w:t xml:space="preserve"> for sibling links.</w:t>
      </w:r>
    </w:p>
    <w:p>
      <w:pPr>
        <w:pStyle w:val="Heading3"/>
        <w:keepNext/>
        <w:keepLines/>
      </w:pPr>
      <w:r>
        <w:t>Cross-references</w:t>
      </w:r>
    </w:p>
    <w:p>
      <w:pPr>
        <w:pStyle w:val="ListBullet"/>
        <w:spacing w:before="20" w:after="20"/>
      </w:pPr>
      <w:hyperlink r:id="rId142">
        <w:r>
          <w:rPr>
            <w:b w:val="0"/>
            <w:i w:val="0"/>
            <w:color w:val="B8860B"/>
            <w:sz w:val="19"/>
          </w:rPr>
          <w:t>False Flags Investigation: Evidence Dossier</w:t>
        </w:r>
      </w:hyperlink>
      <w:r>
        <w:rPr>
          <w:b w:val="0"/>
          <w:i w:val="0"/>
          <w:sz w:val="19"/>
        </w:rPr>
        <w:t xml:space="preserve"> — extended bibliography and permalink</w:t>
      </w:r>
    </w:p>
    <w:p>
      <w:pPr>
        <w:pStyle w:val="ListBullet"/>
        <w:spacing w:before="20" w:after="20"/>
      </w:pPr>
      <w:hyperlink r:id="rId248">
        <w:r>
          <w:rPr>
            <w:b w:val="0"/>
            <w:i w:val="0"/>
            <w:color w:val="B8860B"/>
            <w:sz w:val="19"/>
          </w:rPr>
          <w:t>9/11 investigation</w:t>
        </w:r>
      </w:hyperlink>
    </w:p>
    <w:p>
      <w:pPr>
        <w:pStyle w:val="ListBullet"/>
        <w:spacing w:before="20" w:after="20"/>
      </w:pPr>
      <w:hyperlink r:id="rId136">
        <w:r>
          <w:rPr>
            <w:b w:val="0"/>
            <w:i w:val="0"/>
            <w:color w:val="B8860B"/>
            <w:sz w:val="19"/>
          </w:rPr>
          <w:t>Operation Mockingbird</w:t>
        </w:r>
      </w:hyperlink>
    </w:p>
    <w:p>
      <w:pPr>
        <w:pStyle w:val="ListBullet"/>
        <w:spacing w:before="20" w:after="20"/>
      </w:pPr>
      <w:hyperlink r:id="rId132">
        <w:r>
          <w:rPr>
            <w:b w:val="0"/>
            <w:i w:val="0"/>
            <w:color w:val="B8860B"/>
            <w:sz w:val="19"/>
          </w:rPr>
          <w:t>Predictive programming</w:t>
        </w:r>
      </w:hyperlink>
    </w:p>
    <w:p>
      <w:pPr>
        <w:pStyle w:val="ListBullet"/>
        <w:spacing w:before="20" w:after="20"/>
      </w:pPr>
      <w:hyperlink r:id="rId137">
        <w:r>
          <w:rPr>
            <w:b w:val="0"/>
            <w:i w:val="0"/>
            <w:color w:val="B8860B"/>
            <w:sz w:val="19"/>
          </w:rPr>
          <w:t>Controlled opposition: managed disclosure</w:t>
        </w:r>
      </w:hyperlink>
    </w:p>
    <w:p>
      <w:pPr>
        <w:pStyle w:val="ListBullet"/>
        <w:spacing w:before="20" w:after="20"/>
      </w:pPr>
      <w:hyperlink r:id="rId125">
        <w:r>
          <w:rPr>
            <w:b w:val="0"/>
            <w:i w:val="0"/>
            <w:color w:val="B8860B"/>
            <w:sz w:val="19"/>
          </w:rPr>
          <w:t>Mars contacts timeline</w:t>
        </w:r>
      </w:hyperlink>
    </w:p>
    <w:p/>
    <w:p>
      <w:pPr>
        <w:jc w:val="center"/>
      </w:pPr>
      <w:r>
        <w:rPr>
          <w:color w:val="B8860B"/>
          <w:sz w:val="24"/>
        </w:rPr>
        <w:t>— ✦ —</w:t>
      </w:r>
    </w:p>
    <w:p>
      <w:r>
        <w:rPr>
          <w:b w:val="0"/>
          <w:i w:val="0"/>
        </w:rPr>
        <w:t xml:space="preserve">The episode-level evidence blocks (McCollum text, Magic routing, Tonkin NSA notes, Los Angeles timeline, controlled-opposition sourcing) are summarized in </w:t>
      </w:r>
      <w:hyperlink r:id="rId247">
        <w:r>
          <w:rPr>
            <w:b w:val="0"/>
            <w:i w:val="0"/>
            <w:color w:val="B8860B"/>
          </w:rPr>
          <w:t>False Flags: Architecture of Manufactured War</w:t>
        </w:r>
      </w:hyperlink>
      <w:r>
        <w:rPr>
          <w:b w:val="0"/>
          <w:i w:val="0"/>
        </w:rPr>
        <w:t xml:space="preserve">. This appendix page keeps a </w:t>
      </w:r>
      <w:r>
        <w:rPr>
          <w:b/>
          <w:i w:val="0"/>
        </w:rPr>
        <w:t>consolidated bibliography</w:t>
      </w:r>
      <w:r>
        <w:rPr>
          <w:b w:val="0"/>
          <w:i w:val="0"/>
        </w:rPr>
        <w:t xml:space="preserve"> for citation and deep follow-up.</w:t>
      </w:r>
    </w:p>
    <w:p>
      <w:pPr>
        <w:pStyle w:val="Heading3"/>
        <w:keepNext/>
        <w:keepLines/>
      </w:pPr>
      <w:r>
        <w:t>Source bibliography</w:t>
      </w:r>
    </w:p>
    <w:p>
      <w:pPr>
        <w:pStyle w:val="Heading4"/>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4"/>
        <w:keepNext/>
        <w:keepLines/>
      </w:pPr>
      <w:r>
        <w:t>Articles and documents</w:t>
      </w:r>
    </w:p>
    <w:p>
      <w:pPr>
        <w:pStyle w:val="ListBullet"/>
        <w:spacing w:before="20" w:after="20"/>
      </w:pPr>
      <w:r>
        <w:rPr>
          <w:b w:val="0"/>
          <w:i w:val="0"/>
          <w:sz w:val="19"/>
        </w:rPr>
        <w:t xml:space="preserve">James Perloff, </w:t>
      </w:r>
      <w:hyperlink r:id="rId249">
        <w:r>
          <w:rPr>
            <w:b w:val="0"/>
            <w:i w:val="0"/>
            <w:color w:val="B8860B"/>
            <w:sz w:val="19"/>
          </w:rPr>
          <w:t>"Pearl Harbor: Roosevelt's 9/11"</w:t>
        </w:r>
      </w:hyperlink>
      <w:r>
        <w:rPr>
          <w:b w:val="0"/>
          <w:i w:val="0"/>
          <w:sz w:val="19"/>
        </w:rPr>
        <w:t xml:space="preserve"> (2014)</w:t>
      </w:r>
    </w:p>
    <w:p>
      <w:pPr>
        <w:pStyle w:val="ListBullet"/>
        <w:spacing w:before="20" w:after="20"/>
      </w:pPr>
      <w:hyperlink r:id="rId250">
        <w:r>
          <w:rPr>
            <w:b w:val="0"/>
            <w:i w:val="0"/>
            <w:color w:val="B8860B"/>
            <w:sz w:val="19"/>
          </w:rPr>
          <w:t>FalseFlag.info: Pearl Harbor</w:t>
        </w:r>
      </w:hyperlink>
    </w:p>
    <w:p>
      <w:pPr>
        <w:pStyle w:val="ListBullet"/>
        <w:spacing w:before="20" w:after="20"/>
      </w:pPr>
      <w:hyperlink r:id="rId251">
        <w:r>
          <w:rPr>
            <w:b w:val="0"/>
            <w:i w:val="0"/>
            <w:color w:val="B8860B"/>
            <w:sz w:val="19"/>
          </w:rPr>
          <w:t>The Encyclopedia of False Flag Staged Operations</w:t>
        </w:r>
      </w:hyperlink>
    </w:p>
    <w:p>
      <w:pPr>
        <w:pStyle w:val="ListBullet"/>
        <w:spacing w:before="20" w:after="20"/>
      </w:pPr>
      <w:hyperlink r:id="rId252">
        <w:r>
          <w:rPr>
            <w:b w:val="0"/>
            <w:i w:val="0"/>
            <w:color w:val="B8860B"/>
            <w:sz w:val="19"/>
          </w:rPr>
          <w:t>Pearl Harbor advance-knowledge conspiracy theory</w:t>
        </w:r>
      </w:hyperlink>
      <w:r>
        <w:rPr>
          <w:b w:val="0"/>
          <w:i w:val="0"/>
          <w:sz w:val="19"/>
        </w:rPr>
        <w:t>, Wikipedia</w:t>
      </w:r>
    </w:p>
    <w:p>
      <w:pPr>
        <w:pStyle w:val="ListBullet"/>
        <w:spacing w:before="20" w:after="20"/>
      </w:pPr>
      <w:hyperlink r:id="rId253">
        <w:r>
          <w:rPr>
            <w:b w:val="0"/>
            <w:i w:val="0"/>
            <w:color w:val="B8860B"/>
            <w:sz w:val="19"/>
          </w:rPr>
          <w:t>McCollum memo</w:t>
        </w:r>
      </w:hyperlink>
      <w:r>
        <w:rPr>
          <w:b w:val="0"/>
          <w:i w:val="0"/>
          <w:sz w:val="19"/>
        </w:rPr>
        <w:t>, Wikipedia</w:t>
      </w:r>
    </w:p>
    <w:p>
      <w:pPr>
        <w:pStyle w:val="ListBullet"/>
        <w:spacing w:before="20" w:after="20"/>
      </w:pPr>
      <w:hyperlink r:id="rId254">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255">
        <w:r>
          <w:rPr>
            <w:b w:val="0"/>
            <w:i w:val="0"/>
            <w:color w:val="B8860B"/>
            <w:sz w:val="19"/>
          </w:rPr>
          <w:t>"A Forgotten Holocaust"</w:t>
        </w:r>
      </w:hyperlink>
      <w:r>
        <w:rPr>
          <w:b w:val="0"/>
          <w:i w:val="0"/>
          <w:sz w:val="19"/>
        </w:rPr>
        <w:t xml:space="preserve">, </w:t>
      </w:r>
      <w:r>
        <w:rPr>
          <w:b w:val="0"/>
          <w:i/>
          <w:sz w:val="19"/>
        </w:rPr>
        <w:t>Asia-Pacific Journal</w:t>
      </w:r>
    </w:p>
    <w:p>
      <w:pPr>
        <w:pStyle w:val="ListBullet"/>
        <w:spacing w:before="20" w:after="20"/>
      </w:pPr>
      <w:hyperlink r:id="rId256">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257">
        <w:r>
          <w:rPr>
            <w:b w:val="0"/>
            <w:i w:val="0"/>
            <w:color w:val="B8860B"/>
            <w:sz w:val="19"/>
          </w:rPr>
          <w:t>WHATREALLYHAPPENED: Pearl Harbor</w:t>
        </w:r>
      </w:hyperlink>
    </w:p>
    <w:p>
      <w:pPr>
        <w:pStyle w:val="ListBullet"/>
        <w:spacing w:before="20" w:after="20"/>
      </w:pPr>
      <w:hyperlink r:id="rId258">
        <w:r>
          <w:rPr>
            <w:b w:val="0"/>
            <w:i w:val="0"/>
            <w:color w:val="B8860B"/>
            <w:sz w:val="19"/>
          </w:rPr>
          <w:t>ibiblio: Missing carriers</w:t>
        </w:r>
      </w:hyperlink>
    </w:p>
    <w:p>
      <w:pPr>
        <w:pStyle w:val="Heading4"/>
        <w:keepNext/>
        <w:keepLines/>
      </w:pPr>
      <w:r>
        <w:t>Cross-references in this timeline</w:t>
      </w:r>
    </w:p>
    <w:p>
      <w:pPr>
        <w:pStyle w:val="ListBullet"/>
        <w:spacing w:before="20" w:after="20"/>
      </w:pPr>
      <w:hyperlink r:id="rId136">
        <w:r>
          <w:rPr>
            <w:b w:val="0"/>
            <w:i w:val="0"/>
            <w:color w:val="B8860B"/>
            <w:sz w:val="19"/>
          </w:rPr>
          <w:t>Operation Mockingbird</w:t>
        </w:r>
      </w:hyperlink>
    </w:p>
    <w:p>
      <w:pPr>
        <w:pStyle w:val="ListBullet"/>
        <w:spacing w:before="20" w:after="20"/>
      </w:pPr>
      <w:hyperlink r:id="rId132">
        <w:r>
          <w:rPr>
            <w:b w:val="0"/>
            <w:i w:val="0"/>
            <w:color w:val="B8860B"/>
            <w:sz w:val="19"/>
          </w:rPr>
          <w:t>Predictive programming</w:t>
        </w:r>
      </w:hyperlink>
    </w:p>
    <w:p>
      <w:pPr>
        <w:pStyle w:val="ListBullet"/>
        <w:spacing w:before="20" w:after="20"/>
      </w:pPr>
      <w:hyperlink r:id="rId137">
        <w:r>
          <w:rPr>
            <w:b w:val="0"/>
            <w:i w:val="0"/>
            <w:color w:val="B8860B"/>
            <w:sz w:val="19"/>
          </w:rPr>
          <w:t>Controlled opposition: managed disclosure</w:t>
        </w:r>
      </w:hyperlink>
    </w:p>
    <w:p>
      <w:pPr>
        <w:pStyle w:val="ListBullet"/>
        <w:spacing w:before="20" w:after="20"/>
      </w:pPr>
      <w:hyperlink r:id="rId259">
        <w:r>
          <w:rPr>
            <w:b w:val="0"/>
            <w:i w:val="0"/>
            <w:color w:val="B8860B"/>
            <w:sz w:val="19"/>
          </w:rPr>
          <w:t>British Empire as Deep State instrument</w:t>
        </w:r>
      </w:hyperlink>
    </w:p>
    <w:p>
      <w:pPr>
        <w:pStyle w:val="ListBullet"/>
        <w:spacing w:before="20" w:after="20"/>
      </w:pPr>
      <w:hyperlink r:id="rId125">
        <w:r>
          <w:rPr>
            <w:b w:val="0"/>
            <w:i w:val="0"/>
            <w:color w:val="B8860B"/>
            <w:sz w:val="19"/>
          </w:rPr>
          <w:t>Mars contacts timeline</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Deep State and Empire</w:t>
      </w:r>
    </w:p>
    <w:p>
      <w:r>
        <w:rPr>
          <w:b w:val="0"/>
          <w:i w:val="0"/>
        </w:rPr>
        <w:t>Evidence for the breakup of the Hordian Empire, slave trades as fracture mechanism, and the British Empire as deep-state case studies.</w:t>
      </w:r>
    </w:p>
    <w:p>
      <w:pPr>
        <w:pStyle w:val="ListBullet"/>
        <w:spacing w:before="20" w:after="20"/>
      </w:pPr>
      <w:hyperlink r:id="rId143">
        <w:r>
          <w:rPr>
            <w:b w:val="0"/>
            <w:i w:val="0"/>
            <w:color w:val="B8860B"/>
            <w:sz w:val="19"/>
          </w:rPr>
          <w:t>Deep State breaks up the Hordian Empire</w:t>
        </w:r>
      </w:hyperlink>
    </w:p>
    <w:p>
      <w:pPr>
        <w:pStyle w:val="ListBullet"/>
        <w:spacing w:before="20" w:after="20"/>
      </w:pPr>
      <w:hyperlink r:id="rId144">
        <w:r>
          <w:rPr>
            <w:b w:val="0"/>
            <w:i w:val="0"/>
            <w:color w:val="B8860B"/>
            <w:sz w:val="19"/>
          </w:rPr>
          <w:t>Slave Trades: Evidence and Horde-Fracture Thesis</w:t>
        </w:r>
      </w:hyperlink>
    </w:p>
    <w:p>
      <w:pPr>
        <w:pStyle w:val="ListBullet"/>
        <w:spacing w:before="20" w:after="20"/>
      </w:pPr>
      <w:hyperlink r:id="rId145">
        <w:r>
          <w:rPr>
            <w:b w:val="0"/>
            <w:i w:val="0"/>
            <w:color w:val="B8860B"/>
            <w:sz w:val="19"/>
          </w:rPr>
          <w:t>British Empire as Deep State: Case Studies</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238">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60">
        <w:r>
          <w:rPr>
            <w:b w:val="0"/>
            <w:i w:val="0"/>
            <w:color w:val="B8860B"/>
          </w:rPr>
          <w:t>modernization campaign</w:t>
        </w:r>
      </w:hyperlink>
      <w:r>
        <w:rPr>
          <w:b w:val="0"/>
          <w:i w:val="0"/>
        </w:rPr>
        <w:t xml:space="preserve"> — reformed calendar and </w:t>
      </w:r>
      <w:hyperlink r:id="rId261">
        <w:r>
          <w:rPr>
            <w:b w:val="0"/>
            <w:i w:val="0"/>
            <w:color w:val="B8860B"/>
          </w:rPr>
          <w:t>alphabet</w:t>
        </w:r>
      </w:hyperlink>
      <w:r>
        <w:rPr>
          <w:b w:val="0"/>
          <w:i w:val="0"/>
        </w:rPr>
        <w:t xml:space="preserve">, moved capital to St Petersburg — pressured Orthodox Church's autonomy. </w:t>
      </w:r>
      <w:hyperlink r:id="rId262">
        <w:r>
          <w:rPr>
            <w:b w:val="0"/>
            <w:i w:val="0"/>
            <w:color w:val="B8860B"/>
          </w:rPr>
          <w:t>Anti-Russian Sentiment</w:t>
        </w:r>
      </w:hyperlink>
      <w:r>
        <w:rPr>
          <w:b w:val="0"/>
          <w:i w:val="0"/>
        </w:rPr>
        <w:t xml:space="preserve"> continues three centuries; </w:t>
      </w:r>
      <w:hyperlink r:id="rId263">
        <w:r>
          <w:rPr>
            <w:b w:val="0"/>
            <w:i w:val="0"/>
            <w:color w:val="B8860B"/>
          </w:rPr>
          <w:t>still active</w:t>
        </w:r>
      </w:hyperlink>
      <w:r>
        <w:rPr>
          <w:b w:val="0"/>
          <w:i w:val="0"/>
        </w:rPr>
        <w:t>.</w:t>
      </w:r>
    </w:p>
    <w:p>
      <w:pPr>
        <w:pStyle w:val="Heading3"/>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64">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65">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66">
        <w:r>
          <w:rPr>
            <w:b w:val="0"/>
            <w:i w:val="0"/>
            <w:color w:val="B8860B"/>
          </w:rPr>
          <w:t>religious schism</w:t>
        </w:r>
      </w:hyperlink>
      <w:r>
        <w:rPr>
          <w:b w:val="0"/>
          <w:i w:val="0"/>
        </w:rPr>
        <w:t xml:space="preserve">, </w:t>
      </w:r>
      <w:hyperlink r:id="rId267">
        <w:r>
          <w:rPr>
            <w:b w:val="0"/>
            <w:i w:val="0"/>
            <w:color w:val="B8860B"/>
          </w:rPr>
          <w:t>Inquisition</w:t>
        </w:r>
      </w:hyperlink>
      <w:r>
        <w:rPr>
          <w:b w:val="0"/>
          <w:i w:val="0"/>
        </w:rPr>
        <w:t xml:space="preserve">, </w:t>
      </w:r>
      <w:hyperlink r:id="rId217">
        <w:r>
          <w:rPr>
            <w:b w:val="0"/>
            <w:i w:val="0"/>
            <w:color w:val="B8860B"/>
          </w:rPr>
          <w:t>Latin</w:t>
        </w:r>
      </w:hyperlink>
      <w:r>
        <w:rPr>
          <w:b w:val="0"/>
          <w:i w:val="0"/>
        </w:rPr>
        <w:t xml:space="preserve">, </w:t>
      </w:r>
      <w:hyperlink r:id="rId240">
        <w:r>
          <w:rPr>
            <w:b w:val="0"/>
            <w:i w:val="0"/>
            <w:color w:val="B8860B"/>
          </w:rPr>
          <w:t>Romanov usurpers</w:t>
        </w:r>
      </w:hyperlink>
      <w:r>
        <w:rPr>
          <w:b w:val="0"/>
          <w:i w:val="0"/>
        </w:rPr>
        <w:t>. The silence was memory, not mystery.</w:t>
      </w:r>
    </w:p>
    <w:p>
      <w:pPr>
        <w:pStyle w:val="Heading3"/>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68">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3"/>
        <w:keepNext/>
        <w:keepLines/>
      </w:pPr>
      <w:r>
        <w:t>The Double-Headed Eagle as Crescent-and-Star</w:t>
      </w:r>
    </w:p>
    <w:p>
      <w:r>
        <w:rPr>
          <w:b w:val="0"/>
          <w:i w:val="0"/>
        </w:rPr>
        <w:t>Per Fomenko (</w:t>
      </w:r>
      <w:hyperlink r:id="rId268">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3"/>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69">
        <w:r>
          <w:rPr>
            <w:b w:val="0"/>
            <w:i w:val="0"/>
            <w:color w:val="B8860B"/>
          </w:rPr>
          <w:t>Ch.8 §1</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238">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3"/>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3"/>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70">
        <w:r>
          <w:rPr>
            <w:b w:val="0"/>
            <w:i w:val="0"/>
            <w:color w:val="B8860B"/>
          </w:rPr>
          <w:t>Romanov Seizure</w:t>
        </w:r>
      </w:hyperlink>
      <w:r>
        <w:rPr>
          <w:b w:val="0"/>
          <w:i w:val="0"/>
        </w:rPr>
        <w:t xml:space="preserve">, </w:t>
      </w:r>
      <w:hyperlink r:id="rId238">
        <w:r>
          <w:rPr>
            <w:b w:val="0"/>
            <w:i w:val="0"/>
            <w:color w:val="B8860B"/>
          </w:rPr>
          <w:t>Deep State breaks up the Hordian Empire</w:t>
        </w:r>
      </w:hyperlink>
      <w:r>
        <w:rPr>
          <w:b w:val="0"/>
          <w:i w:val="0"/>
        </w:rPr>
        <w:t xml:space="preserve">, </w:t>
      </w:r>
      <w:hyperlink r:id="rId259">
        <w:r>
          <w:rPr>
            <w:b w:val="0"/>
            <w:i w:val="0"/>
            <w:color w:val="B8860B"/>
          </w:rPr>
          <w:t>British Empire as Deep State</w:t>
        </w:r>
      </w:hyperlink>
      <w:r>
        <w:rPr>
          <w:b w:val="0"/>
          <w:i w:val="0"/>
        </w:rPr>
        <w:t>.</w:t>
      </w:r>
    </w:p>
    <w:p>
      <w:pPr>
        <w:pBdr>
          <w:bottom w:val="single" w:sz="6" w:space="1" w:color="CCCCCC"/>
        </w:pBdr>
      </w:pPr>
    </w:p>
    <w:p>
      <w:pPr>
        <w:pStyle w:val="Heading3"/>
        <w:keepNext/>
        <w:keepLines/>
      </w:pPr>
      <w:r>
        <w:t>Cross-References</w:t>
      </w:r>
    </w:p>
    <w:p>
      <w:pPr>
        <w:pStyle w:val="ListBullet"/>
        <w:spacing w:before="20" w:after="20"/>
      </w:pPr>
      <w:hyperlink r:id="rId145">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71">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154">
        <w:r>
          <w:rPr>
            <w:b w:val="0"/>
            <w:i w:val="0"/>
            <w:color w:val="B8860B"/>
            <w:sz w:val="19"/>
          </w:rPr>
          <w:t>Population Control</w:t>
        </w:r>
      </w:hyperlink>
      <w:r>
        <w:rPr>
          <w:b w:val="0"/>
          <w:i w:val="0"/>
          <w:sz w:val="19"/>
        </w:rPr>
        <w:t xml:space="preserve"> — Long-span thesis (1492+)</w:t>
      </w:r>
    </w:p>
    <w:p/>
    <w:p>
      <w:pPr>
        <w:jc w:val="center"/>
      </w:pPr>
      <w:r>
        <w:rPr>
          <w:color w:val="B8860B"/>
          <w:sz w:val="24"/>
        </w:rPr>
        <w:t>— ✦ —</w:t>
      </w:r>
    </w:p>
    <w:p>
      <w:r>
        <w:rPr>
          <w:b w:val="0"/>
          <w:i w:val="0"/>
        </w:rPr>
        <w:t xml:space="preserve">This appendix extends </w:t>
      </w:r>
      <w:hyperlink r:id="rId259">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72">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73">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141">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74">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38">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75">
        <w:r>
          <w:rPr>
            <w:b w:val="0"/>
            <w:i w:val="0"/>
            <w:color w:val="B8860B"/>
          </w:rPr>
          <w:t>Opium Wars</w:t>
        </w:r>
      </w:hyperlink>
      <w:r>
        <w:rPr>
          <w:b w:val="0"/>
          <w:i w:val="0"/>
        </w:rPr>
        <w:t xml:space="preserve"> broke Chinese sovereignty; </w:t>
      </w:r>
      <w:hyperlink r:id="rId276">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r>
        <w:rPr>
          <w:b w:val="0"/>
          <w:i w:val="0"/>
        </w:rPr>
      </w:r>
      <w:r>
        <w:rPr>
          <w:b/>
          <w:i w:val="0"/>
        </w:rPr>
        <w:t>Pitcairn Islands (1830s–present):</w:t>
      </w:r>
      <w:r>
        <w:rPr>
          <w:b w:val="0"/>
          <w:i w:val="0"/>
        </w:rPr>
        <w:t xml:space="preserve"> The UK overseas territory is a </w:t>
      </w:r>
      <w:r>
        <w:rPr>
          <w:b w:val="0"/>
          <w:i/>
        </w:rPr>
        <w:t>fast-track microcosm</w:t>
      </w:r>
      <w:r>
        <w:rPr>
          <w:b w:val="0"/>
          <w:i w:val="0"/>
        </w:rPr>
        <w:t xml:space="preserve"> of empire method at small scale. The whole community was lifted off the rock twice in the nineteenth century — 1831–1833 (Tahiti) and 1856 (Norfolk) with return waves — under British shipping, policy, and missionary administration: the same reshape-the-population-then-retell move used on larger colonies, with full time to sift lands, registers, and leadership before repopulating the narrative as timeless local culture. Mid-century </w:t>
      </w:r>
      <w:r>
        <w:rPr>
          <w:b w:val="0"/>
          <w:i/>
        </w:rPr>
        <w:t>Bounty</w:t>
      </w:r>
      <w:r>
        <w:rPr>
          <w:b w:val="0"/>
          <w:i w:val="0"/>
        </w:rPr>
        <w:t xml:space="preserve"> cinema foregrounded a tyrant </w:t>
      </w:r>
      <w:r>
        <w:rPr>
          <w:b/>
          <w:i w:val="0"/>
        </w:rPr>
        <w:t>Bligh</w:t>
      </w:r>
      <w:r>
        <w:rPr>
          <w:b w:val="0"/>
          <w:i w:val="0"/>
        </w:rPr>
        <w:t xml:space="preserve"> more than many books and naval records and sidelined </w:t>
      </w:r>
      <w:r>
        <w:rPr>
          <w:b/>
          <w:i w:val="0"/>
        </w:rPr>
        <w:t>Tahiti / desertion</w:t>
      </w:r>
      <w:r>
        <w:rPr>
          <w:b w:val="0"/>
          <w:i w:val="0"/>
        </w:rPr>
        <w:t xml:space="preserve"> as the mutiny’s motor; later packaging often stresses Pitcairners’ misery and “rescue” while </w:t>
      </w:r>
      <w:r>
        <w:rPr>
          <w:b/>
          <w:i w:val="0"/>
        </w:rPr>
        <w:t>voluntary returns</w:t>
      </w:r>
      <w:r>
        <w:rPr>
          <w:b w:val="0"/>
          <w:i w:val="0"/>
        </w:rPr>
        <w:t xml:space="preserve"> to the rock complicate that picture (</w:t>
      </w:r>
      <w:hyperlink r:id="rId277">
        <w:r>
          <w:rPr>
            <w:b w:val="0"/>
            <w:i w:val="0"/>
            <w:color w:val="B8860B"/>
          </w:rPr>
          <w:t>investigation §2.1</w:t>
        </w:r>
      </w:hyperlink>
      <w:r>
        <w:rPr>
          <w:b w:val="0"/>
          <w:i w:val="0"/>
        </w:rPr>
        <w:t xml:space="preserve">). From the 1833 and post-Norfolk returns onward, “pure mutineer isolation” is not something outside archives can take on trust. Crown law, governors, Auckland administration, Kent police, and Privy Council appeals gave London levers to divide islanders — men against women, kin against kin — through the 2004 and 2005 sexual-offences trials and later prosecutions, while press leaned island-first pathology and underplayed outsider and structural threads. Voyaging access, two resets, tiny population, and decades of underage sexual offending in the record (1950s imprisonments in secondary summaries; Operation Unique from 1999) sit poorly with Pitcairn as only a closed incest story. </w:t>
      </w:r>
      <w:r>
        <w:rPr>
          <w:b w:val="0"/>
          <w:i/>
        </w:rPr>
        <w:t>This chronology treats the territory as most likely having served sex trafficking or trafficking-equivalent exploitation</w:t>
      </w:r>
      <w:r>
        <w:rPr>
          <w:b w:val="0"/>
          <w:i w:val="0"/>
        </w:rPr>
        <w:t xml:space="preserve"> — crew, visitors, digital supply, UK legal theatre — for roughly the last eighty years, possibly longer into the post-reorganization twentieth century; court and UN language prefer “endemic abuse” over commercial trafficking, and the gap is left for evidence. Full argument: </w:t>
      </w:r>
      <w:hyperlink r:id="rId278">
        <w:r>
          <w:rPr>
            <w:b w:val="0"/>
            <w:i w:val="0"/>
            <w:color w:val="B8860B"/>
          </w:rPr>
          <w:t>Pitcairn: mutiny, sovereignty, and law</w:t>
        </w:r>
      </w:hyperlink>
      <w:r>
        <w:rPr>
          <w:b w:val="0"/>
          <w:i w:val="0"/>
        </w:rPr>
        <w:t xml:space="preserve"> in paradigm-threat-files; </w:t>
      </w:r>
      <w:hyperlink r:id="rId279">
        <w:r>
          <w:rPr>
            <w:b w:val="0"/>
            <w:i w:val="0"/>
            <w:color w:val="B8860B"/>
          </w:rPr>
          <w:t>timeline companion</w:t>
        </w:r>
      </w:hyperlink>
      <w:r>
        <w:rPr>
          <w:b w:val="0"/>
          <w:i w:val="0"/>
        </w:rPr>
        <w:t>.</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The Jesuits — the </w:t>
      </w:r>
      <w:hyperlink r:id="rId280">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81">
        <w:r>
          <w:rPr>
            <w:b w:val="0"/>
            <w:i w:val="0"/>
            <w:color w:val="B8860B"/>
          </w:rPr>
          <w:t>Deep State redacts Christianity</w:t>
        </w:r>
      </w:hyperlink>
      <w:r>
        <w:rPr>
          <w:b w:val="0"/>
          <w:i w:val="0"/>
        </w:rPr>
        <w:t xml:space="preserve">. The nineteenth-century </w:t>
      </w:r>
      <w:r>
        <w:rPr>
          <w:b/>
          <w:i w:val="0"/>
        </w:rPr>
        <w:t>restoration, Protestant capture of maps, Jerusalem III, and the 324-year gap</w:t>
      </w:r>
      <w:r>
        <w:rPr>
          <w:b w:val="0"/>
          <w:i w:val="0"/>
        </w:rPr>
        <w:t xml:space="preserve"> thesis is book-facing in </w:t>
      </w:r>
      <w:hyperlink r:id="rId271">
        <w:r>
          <w:rPr>
            <w:b w:val="0"/>
            <w:i w:val="0"/>
            <w:color w:val="B8860B"/>
          </w:rPr>
          <w:t>Jesuit Restoration: Mission Pattern</w:t>
        </w:r>
      </w:hyperlink>
      <w:r>
        <w:rPr>
          <w:b w:val="0"/>
          <w:i w:val="0"/>
        </w:rPr>
        <w:t xml:space="preserve">; detail follows in the section </w:t>
      </w:r>
      <w:r>
        <w:rPr>
          <w:b/>
          <w:i w:val="0"/>
        </w:rPr>
        <w:t>1814 restoration and the Protestant capture of the archive</w:t>
      </w:r>
      <w:r>
        <w:rPr>
          <w:b w:val="0"/>
          <w:i w:val="0"/>
        </w:rPr>
        <w:t xml:space="preserve"> below.</w:t>
      </w:r>
    </w:p>
    <w:p>
      <w:pPr>
        <w:pStyle w:val="Heading3"/>
        <w:keepNext/>
        <w:keepLines/>
      </w:pPr>
      <w:r>
        <w:t>The Founding</w:t>
      </w:r>
    </w:p>
    <w:p>
      <w:r>
        <w:rPr>
          <w:b w:val="0"/>
          <w:i w:val="0"/>
        </w:rPr>
        <w:t xml:space="preserve">The Society of Jesus was established in 1534 by </w:t>
      </w:r>
      <w:hyperlink r:id="rId282">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83">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3"/>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3"/>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84">
        <w:r>
          <w:rPr>
            <w:b w:val="0"/>
            <w:i w:val="0"/>
            <w:color w:val="B8860B"/>
          </w:rPr>
          <w:t>military operations</w:t>
        </w:r>
      </w:hyperlink>
      <w:r>
        <w:rPr>
          <w:b w:val="0"/>
          <w:i w:val="0"/>
        </w:rPr>
        <w:t xml:space="preserve"> were deployed.</w:t>
      </w:r>
    </w:p>
    <w:p>
      <w:pPr>
        <w:pStyle w:val="Heading3"/>
        <w:keepNext/>
        <w:keepLines/>
      </w:pPr>
      <w:r>
        <w:t>Jesuits Reach America</w:t>
      </w:r>
    </w:p>
    <w:p>
      <w:r>
        <w:rPr>
          <w:b w:val="0"/>
          <w:i w:val="0"/>
        </w:rPr>
        <w:t xml:space="preserve">The 1492 Crusade carried Jesuits westward into Mesoamerica, where populations' astronomical knowledge often surpassed Europe's. The surviving </w:t>
      </w:r>
      <w:hyperlink r:id="rId285">
        <w:r>
          <w:rPr>
            <w:b w:val="0"/>
            <w:i w:val="0"/>
            <w:color w:val="B8860B"/>
          </w:rPr>
          <w:t>Maya codices</w:t>
        </w:r>
      </w:hyperlink>
      <w:r>
        <w:rPr>
          <w:b w:val="0"/>
          <w:i w:val="0"/>
        </w:rPr>
        <w:t xml:space="preserve"> exist because Jesuits and Franciscans preserved them while colonial administration destroyed the rest. </w:t>
      </w:r>
      <w:hyperlink r:id="rId286">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87">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Bdr>
          <w:bottom w:val="single" w:sz="6" w:space="1" w:color="CCCCCC"/>
        </w:pBdr>
      </w:pPr>
    </w:p>
    <w:p>
      <w:pPr>
        <w:pStyle w:val="Heading3"/>
        <w:keepNext/>
        <w:keepLines/>
      </w:pPr>
      <w:r>
        <w:t>1814 restoration and the Protestant capture of the archive</w:t>
      </w:r>
    </w:p>
    <w:p>
      <w:pPr>
        <w:pStyle w:val="Heading4"/>
        <w:keepNext/>
        <w:keepLines/>
      </w:pPr>
      <w:r>
        <w:t>What the missions actually built</w:t>
      </w:r>
    </w:p>
    <w:p>
      <w:r>
        <w:rPr>
          <w:b w:val="0"/>
          <w:i w:val="0"/>
        </w:rPr>
        <w:t xml:space="preserve">Across the Americas, Asia, and Africa, Jesuit missions combined conversion pressure with </w:t>
      </w:r>
      <w:r>
        <w:rPr>
          <w:b/>
          <w:i w:val="0"/>
        </w:rPr>
        <w:t>serious linguistics and ethnography</w:t>
      </w:r>
      <w:r>
        <w:rPr>
          <w:b w:val="0"/>
          <w:i w:val="0"/>
        </w:rPr>
        <w:t xml:space="preserve">: grammars, </w:t>
      </w:r>
      <w:r>
        <w:rPr>
          <w:b w:val="0"/>
          <w:i/>
        </w:rPr>
        <w:t>Relations</w:t>
      </w:r>
      <w:r>
        <w:rPr>
          <w:b w:val="0"/>
          <w:i w:val="0"/>
        </w:rPr>
        <w:t xml:space="preserve">, star knowledge, plant lore, and political sketch maps. Where time allowed, fathers often </w:t>
      </w:r>
      <w:r>
        <w:rPr>
          <w:b/>
          <w:i w:val="0"/>
        </w:rPr>
        <w:t>negotiated</w:t>
      </w:r>
      <w:r>
        <w:rPr>
          <w:b w:val="0"/>
          <w:i w:val="0"/>
        </w:rPr>
        <w:t xml:space="preserve"> local rites into a Catholic frame instead of smashing them on first contact. The honor of that work—whatever its complicity with empire—is that much of the archive preserves </w:t>
      </w:r>
      <w:r>
        <w:rPr>
          <w:b/>
          <w:i w:val="0"/>
        </w:rPr>
        <w:t>indigenous content</w:t>
      </w:r>
      <w:r>
        <w:rPr>
          <w:b w:val="0"/>
          <w:i w:val="0"/>
        </w:rPr>
        <w:t xml:space="preserve"> that later regimes preferred to forget.</w:t>
      </w:r>
    </w:p>
    <w:p>
      <w:pPr>
        <w:pStyle w:val="Heading4"/>
        <w:keepNext/>
        <w:keepLines/>
      </w:pPr>
      <w:r>
        <w:t>Hijack of the Russian–Jesuit synthesis</w:t>
      </w:r>
    </w:p>
    <w:p>
      <w:r>
        <w:rPr>
          <w:b w:val="0"/>
          <w:i w:val="0"/>
        </w:rPr>
        <w:t xml:space="preserve">This chronology holds that </w:t>
      </w:r>
      <w:r>
        <w:rPr>
          <w:b/>
          <w:i w:val="0"/>
        </w:rPr>
        <w:t>Protestant</w:t>
      </w:r>
      <w:r>
        <w:rPr>
          <w:b w:val="0"/>
          <w:i w:val="0"/>
        </w:rPr>
        <w:t xml:space="preserve"> scholarly and </w:t>
      </w:r>
      <w:r>
        <w:rPr>
          <w:b/>
          <w:i w:val="0"/>
        </w:rPr>
        <w:t>financial</w:t>
      </w:r>
      <w:r>
        <w:rPr>
          <w:b w:val="0"/>
          <w:i w:val="0"/>
        </w:rPr>
        <w:t xml:space="preserve"> networks did not merely disagree with Rome; they </w:t>
      </w:r>
      <w:r>
        <w:rPr>
          <w:b/>
          <w:i w:val="0"/>
        </w:rPr>
        <w:t>inherited</w:t>
      </w:r>
      <w:r>
        <w:rPr>
          <w:b w:val="0"/>
          <w:i w:val="0"/>
        </w:rPr>
        <w:t xml:space="preserve"> the practical output of the Romanov–Jesuit world—atlas plates, route knowledge, ethnographic files—after that output had been laundered through courts and trading houses. “Russian” cartography and chronography in the eighteenth century already mixed Horde, Romanov, and Jesuit labor; the nineteenth-century </w:t>
      </w:r>
      <w:r>
        <w:rPr>
          <w:b/>
          <w:i w:val="0"/>
        </w:rPr>
        <w:t>deep state</w:t>
      </w:r>
      <w:r>
        <w:rPr>
          <w:b w:val="0"/>
          <w:i w:val="0"/>
        </w:rPr>
        <w:t xml:space="preserve"> sat in a position to </w:t>
      </w:r>
      <w:r>
        <w:rPr>
          <w:b/>
          <w:i w:val="0"/>
        </w:rPr>
        <w:t>relabel</w:t>
      </w:r>
      <w:r>
        <w:rPr>
          <w:b w:val="0"/>
          <w:i w:val="0"/>
        </w:rPr>
        <w:t xml:space="preserve"> that synthesis as </w:t>
      </w:r>
      <w:r>
        <w:rPr>
          <w:b/>
          <w:i w:val="0"/>
        </w:rPr>
        <w:t>neutral science</w:t>
      </w:r>
      <w:r>
        <w:rPr>
          <w:b w:val="0"/>
          <w:i w:val="0"/>
        </w:rPr>
        <w:t xml:space="preserve"> while stripping its Hordian frame. The </w:t>
      </w:r>
      <w:r>
        <w:rPr>
          <w:b/>
          <w:i w:val="0"/>
        </w:rPr>
        <w:t>1814</w:t>
      </w:r>
      <w:r>
        <w:rPr>
          <w:b w:val="0"/>
          <w:i w:val="0"/>
        </w:rPr>
        <w:t xml:space="preserve"> restoration of the Society did not reverse that shift: it brought the Jesuits back </w:t>
      </w:r>
      <w:r>
        <w:rPr>
          <w:b/>
          <w:i w:val="0"/>
        </w:rPr>
        <w:t>under papal law</w:t>
      </w:r>
      <w:r>
        <w:rPr>
          <w:b w:val="0"/>
          <w:i w:val="0"/>
        </w:rPr>
        <w:t xml:space="preserve"> while leaving </w:t>
      </w:r>
      <w:r>
        <w:rPr>
          <w:b/>
          <w:i w:val="0"/>
        </w:rPr>
        <w:t>print culture, university chairs, and finance</w:t>
      </w:r>
      <w:r>
        <w:rPr>
          <w:b w:val="0"/>
          <w:i w:val="0"/>
        </w:rPr>
        <w:t xml:space="preserve"> largely in Protestant or latitudinarian hands. In this reading, restored provinces had to </w:t>
      </w:r>
      <w:r>
        <w:rPr>
          <w:b/>
          <w:i w:val="0"/>
        </w:rPr>
        <w:t>teach</w:t>
      </w:r>
      <w:r>
        <w:rPr>
          <w:b w:val="0"/>
          <w:i w:val="0"/>
        </w:rPr>
        <w:t xml:space="preserve"> and </w:t>
      </w:r>
      <w:r>
        <w:rPr>
          <w:b/>
          <w:i w:val="0"/>
        </w:rPr>
        <w:t>cite</w:t>
      </w:r>
      <w:r>
        <w:rPr>
          <w:b w:val="0"/>
          <w:i w:val="0"/>
        </w:rPr>
        <w:t xml:space="preserve"> within a landscape of </w:t>
      </w:r>
      <w:r>
        <w:rPr>
          <w:b/>
          <w:i w:val="0"/>
        </w:rPr>
        <w:t>Protestant-standard</w:t>
      </w:r>
      <w:r>
        <w:rPr>
          <w:b w:val="0"/>
          <w:i w:val="0"/>
        </w:rPr>
        <w:t xml:space="preserve"> histories and </w:t>
      </w:r>
      <w:r>
        <w:rPr>
          <w:b/>
          <w:i w:val="0"/>
        </w:rPr>
        <w:t>Protestant-edited</w:t>
      </w:r>
      <w:r>
        <w:rPr>
          <w:b w:val="0"/>
          <w:i w:val="0"/>
        </w:rPr>
        <w:t xml:space="preserve"> world maps, whatever Roman loyalty individual provincials maintained.</w:t>
      </w:r>
    </w:p>
    <w:p>
      <w:pPr>
        <w:pStyle w:val="Heading4"/>
        <w:keepNext/>
        <w:keepLines/>
      </w:pPr>
      <w:r>
        <w:t>Protestant-made Catholicism and the 324-year gap</w:t>
      </w:r>
    </w:p>
    <w:p>
      <w:r>
        <w:rPr>
          <w:b w:val="0"/>
          <w:i w:val="0"/>
        </w:rPr>
        <w:t xml:space="preserve">Pulling Jesuits and Catholic elites </w:t>
      </w:r>
      <w:r>
        <w:rPr>
          <w:b/>
          <w:i w:val="0"/>
        </w:rPr>
        <w:t>off</w:t>
      </w:r>
      <w:r>
        <w:rPr>
          <w:b w:val="0"/>
          <w:i w:val="0"/>
        </w:rPr>
        <w:t xml:space="preserve"> a Horde–Romanov </w:t>
      </w:r>
      <w:r>
        <w:rPr>
          <w:b/>
          <w:i w:val="0"/>
        </w:rPr>
        <w:t>source</w:t>
      </w:r>
      <w:r>
        <w:rPr>
          <w:b w:val="0"/>
          <w:i w:val="0"/>
        </w:rPr>
        <w:t xml:space="preserve"> and </w:t>
      </w:r>
      <w:r>
        <w:rPr>
          <w:b/>
          <w:i w:val="0"/>
        </w:rPr>
        <w:t>onto</w:t>
      </w:r>
      <w:r>
        <w:rPr>
          <w:b w:val="0"/>
          <w:i w:val="0"/>
        </w:rPr>
        <w:t xml:space="preserve"> a </w:t>
      </w:r>
      <w:r>
        <w:rPr>
          <w:b/>
          <w:i w:val="0"/>
        </w:rPr>
        <w:t>detached European aristocracy</w:t>
      </w:r>
      <w:r>
        <w:rPr>
          <w:b w:val="0"/>
          <w:i w:val="0"/>
        </w:rPr>
        <w:t xml:space="preserve">—university, curia-in-exile from that source, City-facing finance—was not a minor liturgical tweak. This chronology holds it was the </w:t>
      </w:r>
      <w:r>
        <w:rPr>
          <w:b/>
          <w:i w:val="0"/>
        </w:rPr>
        <w:t>method</w:t>
      </w:r>
      <w:r>
        <w:rPr>
          <w:b w:val="0"/>
          <w:i w:val="0"/>
        </w:rPr>
        <w:t xml:space="preserve"> by which </w:t>
      </w:r>
      <w:r>
        <w:rPr>
          <w:b/>
          <w:i w:val="0"/>
        </w:rPr>
        <w:t>Protestant</w:t>
      </w:r>
      <w:r>
        <w:rPr>
          <w:b w:val="0"/>
          <w:i w:val="0"/>
        </w:rPr>
        <w:t xml:space="preserve"> chronologists and patrons </w:t>
      </w:r>
      <w:r>
        <w:rPr>
          <w:b/>
          <w:i w:val="0"/>
        </w:rPr>
        <w:t>created</w:t>
      </w:r>
      <w:r>
        <w:rPr>
          <w:b w:val="0"/>
          <w:i w:val="0"/>
        </w:rPr>
        <w:t xml:space="preserve">, in historical effect, the </w:t>
      </w:r>
      <w:r>
        <w:rPr>
          <w:b/>
          <w:i w:val="0"/>
        </w:rPr>
        <w:t>Catholic Church the modern world recognizes</w:t>
      </w:r>
      <w:r>
        <w:rPr>
          <w:b w:val="0"/>
          <w:i w:val="0"/>
        </w:rPr>
        <w:t xml:space="preserve">: a Roman apparatus whose </w:t>
      </w:r>
      <w:r>
        <w:rPr>
          <w:b/>
          <w:i w:val="0"/>
        </w:rPr>
        <w:t>genealogy</w:t>
      </w:r>
      <w:r>
        <w:rPr>
          <w:b w:val="0"/>
          <w:i w:val="0"/>
        </w:rPr>
        <w:t xml:space="preserve"> had been </w:t>
      </w:r>
      <w:r>
        <w:rPr>
          <w:b/>
          <w:i w:val="0"/>
        </w:rPr>
        <w:t>severed</w:t>
      </w:r>
      <w:r>
        <w:rPr>
          <w:b w:val="0"/>
          <w:i w:val="0"/>
        </w:rPr>
        <w:t xml:space="preserve"> from the civilizational center that had fed its missions and maps, then </w:t>
      </w:r>
      <w:r>
        <w:rPr>
          <w:b/>
          <w:i w:val="0"/>
        </w:rPr>
        <w:t>re-narrated</w:t>
      </w:r>
      <w:r>
        <w:rPr>
          <w:b w:val="0"/>
          <w:i w:val="0"/>
        </w:rPr>
        <w:t xml:space="preserve"> inside Scaligerian time. The severing </w:t>
      </w:r>
      <w:r>
        <w:rPr>
          <w:b/>
          <w:i w:val="0"/>
        </w:rPr>
        <w:t>shows</w:t>
      </w:r>
      <w:r>
        <w:rPr>
          <w:b w:val="0"/>
          <w:i w:val="0"/>
        </w:rPr>
        <w:t xml:space="preserve"> in the record as a </w:t>
      </w:r>
      <w:r>
        <w:rPr>
          <w:b/>
          <w:i w:val="0"/>
        </w:rPr>
        <w:t>chronological wound</w:t>
      </w:r>
      <w:r>
        <w:rPr>
          <w:b w:val="0"/>
          <w:i w:val="0"/>
        </w:rPr>
        <w:t xml:space="preserve">: textbook history asks the papacy to </w:t>
      </w:r>
      <w:r>
        <w:rPr>
          <w:b/>
          <w:i w:val="0"/>
        </w:rPr>
        <w:t>bridge</w:t>
      </w:r>
      <w:r>
        <w:rPr>
          <w:b w:val="0"/>
          <w:i w:val="0"/>
        </w:rPr>
        <w:t xml:space="preserve"> centuries where </w:t>
      </w:r>
      <w:r>
        <w:rPr>
          <w:b/>
          <w:i w:val="0"/>
        </w:rPr>
        <w:t>no world empire</w:t>
      </w:r>
      <w:r>
        <w:rPr>
          <w:b w:val="0"/>
          <w:i w:val="0"/>
        </w:rPr>
        <w:t xml:space="preserve"> holds the line—only </w:t>
      </w:r>
      <w:r>
        <w:rPr>
          <w:b/>
          <w:i w:val="0"/>
        </w:rPr>
        <w:t>fragmentation</w:t>
      </w:r>
      <w:r>
        <w:rPr>
          <w:b w:val="0"/>
          <w:i w:val="0"/>
        </w:rPr>
        <w:t xml:space="preserve"> and </w:t>
      </w:r>
      <w:r>
        <w:rPr>
          <w:b/>
          <w:i w:val="0"/>
        </w:rPr>
        <w:t>chaos</w:t>
      </w:r>
      <w:r>
        <w:rPr>
          <w:b w:val="0"/>
          <w:i w:val="0"/>
        </w:rPr>
        <w:t xml:space="preserve"> on the Scaligerian page.</w:t>
      </w:r>
    </w:p>
    <w:p>
      <w:r>
        <w:rPr>
          <w:b w:val="0"/>
          <w:i w:val="0"/>
        </w:rPr>
        <w:t xml:space="preserve">The </w:t>
      </w:r>
      <w:r>
        <w:rPr>
          <w:b/>
          <w:i w:val="0"/>
        </w:rPr>
        <w:t>Scaligerian</w:t>
      </w:r>
      <w:r>
        <w:rPr>
          <w:b w:val="0"/>
          <w:i w:val="0"/>
        </w:rPr>
        <w:t xml:space="preserve"> textbooks place </w:t>
      </w:r>
      <w:r>
        <w:rPr>
          <w:b/>
          <w:i w:val="0"/>
        </w:rPr>
        <w:t>324 years</w:t>
      </w:r>
      <w:r>
        <w:rPr>
          <w:b w:val="0"/>
          <w:i w:val="0"/>
        </w:rPr>
        <w:t xml:space="preserve"> between the </w:t>
      </w:r>
      <w:r>
        <w:rPr>
          <w:b/>
          <w:i w:val="0"/>
        </w:rPr>
        <w:t>476 CE</w:t>
      </w:r>
      <w:r>
        <w:rPr>
          <w:b w:val="0"/>
          <w:i w:val="0"/>
        </w:rPr>
        <w:t xml:space="preserve"> convention for the end of the Western Roman Empire and </w:t>
      </w:r>
      <w:r>
        <w:rPr>
          <w:b/>
          <w:i w:val="0"/>
        </w:rPr>
        <w:t>800 CE</w:t>
      </w:r>
      <w:r>
        <w:rPr>
          <w:b w:val="0"/>
          <w:i w:val="0"/>
        </w:rPr>
        <w:t xml:space="preserve"> for Charlemagne’s imperial coronation—the </w:t>
      </w:r>
      <w:hyperlink r:id="rId288">
        <w:r>
          <w:rPr>
            <w:b w:val="0"/>
            <w:i w:val="0"/>
            <w:color w:val="B8860B"/>
          </w:rPr>
          <w:t>Carolingian</w:t>
        </w:r>
      </w:hyperlink>
      <w:r>
        <w:rPr>
          <w:b w:val="0"/>
          <w:i w:val="0"/>
        </w:rPr>
        <w:t xml:space="preserve"> restart. That interval is exactly long enough to </w:t>
      </w:r>
      <w:r>
        <w:rPr>
          <w:b/>
          <w:i w:val="0"/>
        </w:rPr>
        <w:t>erase</w:t>
      </w:r>
      <w:r>
        <w:rPr>
          <w:b w:val="0"/>
          <w:i w:val="0"/>
        </w:rPr>
        <w:t xml:space="preserve"> continuous imperial memory if the underlying ecumene was elsewhere. </w:t>
      </w:r>
      <w:r>
        <w:rPr>
          <w:b/>
          <w:i w:val="0"/>
        </w:rPr>
        <w:t>New Chronology</w:t>
      </w:r>
      <w:r>
        <w:rPr>
          <w:b w:val="0"/>
          <w:i w:val="0"/>
        </w:rPr>
        <w:t xml:space="preserve"> (see </w:t>
      </w:r>
      <w:hyperlink r:id="rId122">
        <w:r>
          <w:rPr>
            <w:b w:val="0"/>
            <w:i w:val="0"/>
            <w:color w:val="B8860B"/>
          </w:rPr>
          <w:t>Building the New Chronology</w:t>
        </w:r>
      </w:hyperlink>
      <w:r>
        <w:rPr>
          <w:b w:val="0"/>
          <w:i w:val="0"/>
        </w:rPr>
        <w:t xml:space="preserve">, </w:t>
      </w:r>
      <w:hyperlink r:id="rId19">
        <w:r>
          <w:rPr>
            <w:b w:val="0"/>
            <w:i w:val="0"/>
            <w:color w:val="B8860B"/>
          </w:rPr>
          <w:t>Fomenko</w:t>
        </w:r>
      </w:hyperlink>
      <w:r>
        <w:rPr>
          <w:b w:val="0"/>
          <w:i w:val="0"/>
        </w:rPr>
        <w:t xml:space="preserve">) often </w:t>
      </w:r>
      <w:r>
        <w:rPr>
          <w:b/>
          <w:i w:val="0"/>
        </w:rPr>
        <w:t>relocates</w:t>
      </w:r>
      <w:r>
        <w:rPr>
          <w:b w:val="0"/>
          <w:i w:val="0"/>
        </w:rPr>
        <w:t xml:space="preserve"> the same structural span so those events sit nearer </w:t>
      </w:r>
      <w:r>
        <w:rPr>
          <w:b/>
          <w:i w:val="0"/>
        </w:rPr>
        <w:t>c. 1476</w:t>
      </w:r>
      <w:r>
        <w:rPr>
          <w:b w:val="0"/>
          <w:i w:val="0"/>
        </w:rPr>
        <w:t xml:space="preserve"> and </w:t>
      </w:r>
      <w:r>
        <w:rPr>
          <w:b/>
          <w:i w:val="0"/>
        </w:rPr>
        <w:t>c. 1800 CE</w:t>
      </w:r>
      <w:r>
        <w:rPr>
          <w:b w:val="0"/>
          <w:i w:val="0"/>
        </w:rPr>
        <w:t xml:space="preserve"> (preserving the </w:t>
      </w:r>
      <w:r>
        <w:rPr>
          <w:b/>
          <w:i w:val="0"/>
        </w:rPr>
        <w:t>324-year</w:t>
      </w:r>
      <w:r>
        <w:rPr>
          <w:b w:val="0"/>
          <w:i w:val="0"/>
        </w:rPr>
        <w:t xml:space="preserve"> distance between the pair while shifting absolute dates). In either dating scheme, the </w:t>
      </w:r>
      <w:r>
        <w:rPr>
          <w:b/>
          <w:i w:val="0"/>
        </w:rPr>
        <w:t>middle</w:t>
      </w:r>
      <w:r>
        <w:rPr>
          <w:b w:val="0"/>
          <w:i w:val="0"/>
        </w:rPr>
        <w:t xml:space="preserve"> is portrayed as </w:t>
      </w:r>
      <w:r>
        <w:rPr>
          <w:b/>
          <w:i w:val="0"/>
        </w:rPr>
        <w:t>interregnum</w:t>
      </w:r>
      <w:r>
        <w:rPr>
          <w:b w:val="0"/>
          <w:i w:val="0"/>
        </w:rPr>
        <w:t xml:space="preserve">: no single world state, narrative </w:t>
      </w:r>
      <w:r>
        <w:rPr>
          <w:b/>
          <w:i w:val="0"/>
        </w:rPr>
        <w:t>darkness</w:t>
      </w:r>
      <w:r>
        <w:rPr>
          <w:b w:val="0"/>
          <w:i w:val="0"/>
        </w:rPr>
        <w:t xml:space="preserve">, papal–Frankish or national </w:t>
      </w:r>
      <w:r>
        <w:rPr>
          <w:b/>
          <w:i w:val="0"/>
        </w:rPr>
        <w:t>patchwork</w:t>
      </w:r>
      <w:r>
        <w:rPr>
          <w:b w:val="0"/>
          <w:i w:val="0"/>
        </w:rPr>
        <w:t xml:space="preserve">—the </w:t>
      </w:r>
      <w:r>
        <w:rPr>
          <w:b/>
          <w:i w:val="0"/>
        </w:rPr>
        <w:t>texture</w:t>
      </w:r>
      <w:r>
        <w:rPr>
          <w:b w:val="0"/>
          <w:i w:val="0"/>
        </w:rPr>
        <w:t xml:space="preserve"> of a Catholicism </w:t>
      </w:r>
      <w:r>
        <w:rPr>
          <w:b/>
          <w:i w:val="0"/>
        </w:rPr>
        <w:t>cut</w:t>
      </w:r>
      <w:r>
        <w:rPr>
          <w:b w:val="0"/>
          <w:i w:val="0"/>
        </w:rPr>
        <w:t xml:space="preserve"> from origin and </w:t>
      </w:r>
      <w:r>
        <w:rPr>
          <w:b/>
          <w:i w:val="0"/>
        </w:rPr>
        <w:t>pasted</w:t>
      </w:r>
      <w:r>
        <w:rPr>
          <w:b w:val="0"/>
          <w:i w:val="0"/>
        </w:rPr>
        <w:t xml:space="preserve"> into a Protestant-made past.</w:t>
      </w:r>
    </w:p>
    <w:p>
      <w:pPr>
        <w:pStyle w:val="Heading4"/>
        <w:keepNext/>
        <w:keepLines/>
      </w:pPr>
      <w:r>
        <w:t>Napoleon and the “military order” judgment</w:t>
      </w:r>
    </w:p>
    <w:p>
      <w:r>
        <w:rPr>
          <w:b w:val="0"/>
          <w:i w:val="0"/>
        </w:rPr>
        <w:t xml:space="preserve">Napoleon’s regimes </w:t>
      </w:r>
      <w:r>
        <w:rPr>
          <w:b/>
          <w:i w:val="0"/>
        </w:rPr>
        <w:t>expelled or restricted</w:t>
      </w:r>
      <w:r>
        <w:rPr>
          <w:b w:val="0"/>
          <w:i w:val="0"/>
        </w:rPr>
        <w:t xml:space="preserve"> the Jesuits and treated them as a </w:t>
      </w:r>
      <w:r>
        <w:rPr>
          <w:b/>
          <w:i w:val="0"/>
        </w:rPr>
        <w:t>security problem</w:t>
      </w:r>
      <w:r>
        <w:rPr>
          <w:b w:val="0"/>
          <w:i w:val="0"/>
        </w:rPr>
        <w:t xml:space="preserve">. Nineteenth-century polemic often quotes him along these lines: the Society is a </w:t>
      </w:r>
      <w:r>
        <w:rPr>
          <w:b/>
          <w:i w:val="0"/>
        </w:rPr>
        <w:t>military organization</w:t>
      </w:r>
      <w:r>
        <w:rPr>
          <w:b w:val="0"/>
          <w:i w:val="0"/>
        </w:rPr>
        <w:t xml:space="preserve">, not a religious order; its superior is a </w:t>
      </w:r>
      <w:r>
        <w:rPr>
          <w:b/>
          <w:i w:val="0"/>
        </w:rPr>
        <w:t>general</w:t>
      </w:r>
      <w:r>
        <w:rPr>
          <w:b w:val="0"/>
          <w:i w:val="0"/>
        </w:rPr>
        <w:t xml:space="preserve">, not an abbot; its object is </w:t>
      </w:r>
      <w:r>
        <w:rPr>
          <w:b/>
          <w:i w:val="0"/>
        </w:rPr>
        <w:t>power</w:t>
      </w:r>
      <w:r>
        <w:rPr>
          <w:b w:val="0"/>
          <w:i w:val="0"/>
        </w:rPr>
        <w:t>—</w:t>
      </w:r>
      <w:r>
        <w:rPr>
          <w:b/>
          <w:i w:val="0"/>
        </w:rPr>
        <w:t>absolute</w:t>
      </w:r>
      <w:r>
        <w:rPr>
          <w:b w:val="0"/>
          <w:i w:val="0"/>
        </w:rPr>
        <w:t xml:space="preserve">, </w:t>
      </w:r>
      <w:r>
        <w:rPr>
          <w:b/>
          <w:i w:val="0"/>
        </w:rPr>
        <w:t>universal</w:t>
      </w:r>
      <w:r>
        <w:rPr>
          <w:b w:val="0"/>
          <w:i w:val="0"/>
        </w:rPr>
        <w:t xml:space="preserve">—wielded through obedience to a </w:t>
      </w:r>
      <w:r>
        <w:rPr>
          <w:b/>
          <w:i w:val="0"/>
        </w:rPr>
        <w:t>single will</w:t>
      </w:r>
      <w:r>
        <w:rPr>
          <w:b w:val="0"/>
          <w:i w:val="0"/>
        </w:rPr>
        <w:t xml:space="preserve"> centered on the </w:t>
      </w:r>
      <w:r>
        <w:rPr>
          <w:b/>
          <w:i w:val="0"/>
        </w:rPr>
        <w:t>General in Rome</w:t>
      </w:r>
      <w:r>
        <w:rPr>
          <w:b w:val="0"/>
          <w:i w:val="0"/>
        </w:rPr>
        <w:t xml:space="preserve">; therefore it cannot be a safe partner for </w:t>
      </w:r>
      <w:r>
        <w:rPr>
          <w:b/>
          <w:i w:val="0"/>
        </w:rPr>
        <w:t>constituted civil authority</w:t>
      </w:r>
      <w:r>
        <w:rPr>
          <w:b w:val="0"/>
          <w:i w:val="0"/>
        </w:rPr>
        <w:t xml:space="preserve">. The exact wording is </w:t>
      </w:r>
      <w:r>
        <w:rPr>
          <w:b/>
          <w:i w:val="0"/>
        </w:rPr>
        <w:t>disputed</w:t>
      </w:r>
      <w:r>
        <w:rPr>
          <w:b w:val="0"/>
          <w:i w:val="0"/>
        </w:rPr>
        <w:t xml:space="preserve"> (many lines pass through English anthologies and anti-Jesuit literature), but the </w:t>
      </w:r>
      <w:r>
        <w:rPr>
          <w:b/>
          <w:i w:val="0"/>
        </w:rPr>
        <w:t>policy</w:t>
      </w:r>
      <w:r>
        <w:rPr>
          <w:b w:val="0"/>
          <w:i w:val="0"/>
        </w:rPr>
        <w:t xml:space="preserve"> is not: suspicion of the Society </w:t>
      </w:r>
      <w:r>
        <w:rPr>
          <w:b/>
          <w:i w:val="0"/>
        </w:rPr>
        <w:t>cleared space</w:t>
      </w:r>
      <w:r>
        <w:rPr>
          <w:b w:val="0"/>
          <w:i w:val="0"/>
        </w:rPr>
        <w:t xml:space="preserve"> for national churches and secular ministries to </w:t>
      </w:r>
      <w:r>
        <w:rPr>
          <w:b/>
          <w:i w:val="0"/>
        </w:rPr>
        <w:t>control</w:t>
      </w:r>
      <w:r>
        <w:rPr>
          <w:b w:val="0"/>
          <w:i w:val="0"/>
        </w:rPr>
        <w:t xml:space="preserve"> schools and archives </w:t>
      </w:r>
      <w:r>
        <w:rPr>
          <w:b/>
          <w:i w:val="0"/>
        </w:rPr>
        <w:t>while</w:t>
      </w:r>
      <w:r>
        <w:rPr>
          <w:b w:val="0"/>
          <w:i w:val="0"/>
        </w:rPr>
        <w:t xml:space="preserve"> Protestant editors advanced </w:t>
      </w:r>
      <w:r>
        <w:rPr>
          <w:b/>
          <w:i w:val="0"/>
        </w:rPr>
        <w:t>Scaligerian</w:t>
      </w:r>
      <w:r>
        <w:rPr>
          <w:b w:val="0"/>
          <w:i w:val="0"/>
        </w:rPr>
        <w:t xml:space="preserve"> chronology and new </w:t>
      </w:r>
      <w:r>
        <w:rPr>
          <w:b/>
          <w:i w:val="0"/>
        </w:rPr>
        <w:t>Holy Land</w:t>
      </w:r>
      <w:r>
        <w:rPr>
          <w:b w:val="0"/>
          <w:i w:val="0"/>
        </w:rPr>
        <w:t xml:space="preserve"> geography. For the chronology war itself, see </w:t>
      </w:r>
      <w:hyperlink r:id="rId242">
        <w:r>
          <w:rPr>
            <w:b w:val="0"/>
            <w:i w:val="0"/>
            <w:color w:val="B8860B"/>
          </w:rPr>
          <w:t>Deep State erases Russian Empire from all chronology</w:t>
        </w:r>
      </w:hyperlink>
      <w:r>
        <w:rPr>
          <w:b w:val="0"/>
          <w:i w:val="0"/>
        </w:rPr>
        <w:t>.</w:t>
      </w:r>
    </w:p>
    <w:p>
      <w:pPr>
        <w:pStyle w:val="Heading4"/>
        <w:keepNext/>
        <w:keepLines/>
      </w:pPr>
      <w:r>
        <w:t>1812 as tactical loss, strategic pivot</w:t>
      </w:r>
    </w:p>
    <w:p>
      <w:r>
        <w:rPr>
          <w:b w:val="0"/>
          <w:i w:val="0"/>
        </w:rPr>
        <w:t xml:space="preserve">The </w:t>
      </w:r>
      <w:r>
        <w:rPr>
          <w:b/>
          <w:i w:val="0"/>
        </w:rPr>
        <w:t>French</w:t>
      </w:r>
      <w:r>
        <w:rPr>
          <w:b w:val="0"/>
          <w:i w:val="0"/>
        </w:rPr>
        <w:t xml:space="preserve"> catastrophe in </w:t>
      </w:r>
      <w:r>
        <w:rPr>
          <w:b/>
          <w:i w:val="0"/>
        </w:rPr>
        <w:t>Russia</w:t>
      </w:r>
      <w:r>
        <w:rPr>
          <w:b w:val="0"/>
          <w:i w:val="0"/>
        </w:rPr>
        <w:t xml:space="preserve"> in 1812 was a </w:t>
      </w:r>
      <w:r>
        <w:rPr>
          <w:b/>
          <w:i w:val="0"/>
        </w:rPr>
        <w:t>material defeat</w:t>
      </w:r>
      <w:r>
        <w:rPr>
          <w:b w:val="0"/>
          <w:i w:val="0"/>
        </w:rPr>
        <w:t xml:space="preserve"> for the invasion the City-facing network had backed. This timeline treats such defeats as </w:t>
      </w:r>
      <w:r>
        <w:rPr>
          <w:b/>
          <w:i w:val="0"/>
        </w:rPr>
        <w:t>habitually convertible</w:t>
      </w:r>
      <w:r>
        <w:rPr>
          <w:b w:val="0"/>
          <w:i w:val="0"/>
        </w:rPr>
        <w:t xml:space="preserve">: a frozen army is a headline loss, but </w:t>
      </w:r>
      <w:r>
        <w:rPr>
          <w:b/>
          <w:i w:val="0"/>
        </w:rPr>
        <w:t>pilgrimage narrative</w:t>
      </w:r>
      <w:r>
        <w:rPr>
          <w:b w:val="0"/>
          <w:i w:val="0"/>
        </w:rPr>
        <w:t xml:space="preserve">, </w:t>
      </w:r>
      <w:r>
        <w:rPr>
          <w:b/>
          <w:i w:val="0"/>
        </w:rPr>
        <w:t>biblical geography</w:t>
      </w:r>
      <w:r>
        <w:rPr>
          <w:b w:val="0"/>
          <w:i w:val="0"/>
        </w:rPr>
        <w:t xml:space="preserve">, and </w:t>
      </w:r>
      <w:r>
        <w:rPr>
          <w:b/>
          <w:i w:val="0"/>
        </w:rPr>
        <w:t>orientalist scholarship</w:t>
      </w:r>
      <w:r>
        <w:rPr>
          <w:b w:val="0"/>
          <w:i w:val="0"/>
        </w:rPr>
        <w:t xml:space="preserve"> can still be </w:t>
      </w:r>
      <w:r>
        <w:rPr>
          <w:b/>
          <w:i w:val="0"/>
        </w:rPr>
        <w:t>steered</w:t>
      </w:r>
      <w:r>
        <w:rPr>
          <w:b w:val="0"/>
          <w:i w:val="0"/>
        </w:rPr>
        <w:t xml:space="preserve"> in the decades that follow. The </w:t>
      </w:r>
      <w:r>
        <w:rPr>
          <w:b/>
          <w:i w:val="0"/>
        </w:rPr>
        <w:t>burning of Moscow</w:t>
      </w:r>
      <w:r>
        <w:rPr>
          <w:b w:val="0"/>
          <w:i w:val="0"/>
        </w:rPr>
        <w:t>—</w:t>
      </w:r>
      <w:hyperlink r:id="rId181">
        <w:r>
          <w:rPr>
            <w:b w:val="0"/>
            <w:i w:val="0"/>
            <w:color w:val="B8860B"/>
          </w:rPr>
          <w:t>Aftermath of 1812</w:t>
        </w:r>
      </w:hyperlink>
      <w:r>
        <w:rPr>
          <w:b w:val="0"/>
          <w:i w:val="0"/>
        </w:rPr>
        <w:t xml:space="preserve">—denied the invader winter quarters </w:t>
      </w:r>
      <w:r>
        <w:rPr>
          <w:b/>
          <w:i w:val="0"/>
        </w:rPr>
        <w:t>and</w:t>
      </w:r>
      <w:r>
        <w:rPr>
          <w:b w:val="0"/>
          <w:i w:val="0"/>
        </w:rPr>
        <w:t xml:space="preserve"> destroyed a </w:t>
      </w:r>
      <w:r>
        <w:rPr>
          <w:b/>
          <w:i w:val="0"/>
        </w:rPr>
        <w:t>living Orthodox Jerusalem-pole</w:t>
      </w:r>
      <w:r>
        <w:rPr>
          <w:b w:val="0"/>
          <w:i w:val="0"/>
        </w:rPr>
        <w:t xml:space="preserve"> that might have </w:t>
      </w:r>
      <w:r>
        <w:rPr>
          <w:b/>
          <w:i w:val="0"/>
        </w:rPr>
        <w:t>contested</w:t>
      </w:r>
      <w:r>
        <w:rPr>
          <w:b w:val="0"/>
          <w:i w:val="0"/>
        </w:rPr>
        <w:t xml:space="preserve"> any rival sacred geography. Once that center had been </w:t>
      </w:r>
      <w:r>
        <w:rPr>
          <w:b/>
          <w:i w:val="0"/>
        </w:rPr>
        <w:t>reduced by its own defenders</w:t>
      </w:r>
      <w:r>
        <w:rPr>
          <w:b w:val="0"/>
          <w:i w:val="0"/>
        </w:rPr>
        <w:t xml:space="preserve">, a </w:t>
      </w:r>
      <w:r>
        <w:rPr>
          <w:b/>
          <w:i w:val="0"/>
        </w:rPr>
        <w:t>new Jerusalem</w:t>
      </w:r>
      <w:r>
        <w:rPr>
          <w:b w:val="0"/>
          <w:i w:val="0"/>
        </w:rPr>
        <w:t xml:space="preserve"> under </w:t>
      </w:r>
      <w:r>
        <w:rPr>
          <w:b/>
          <w:i w:val="0"/>
        </w:rPr>
        <w:t>Protestant</w:t>
      </w:r>
      <w:r>
        <w:rPr>
          <w:b w:val="0"/>
          <w:i w:val="0"/>
        </w:rPr>
        <w:t xml:space="preserve"> pilgrimage management—</w:t>
      </w:r>
      <w:r>
        <w:rPr>
          <w:b/>
          <w:i w:val="0"/>
        </w:rPr>
        <w:t>Jerusalem III</w:t>
      </w:r>
      <w:r>
        <w:rPr>
          <w:b w:val="0"/>
          <w:i w:val="0"/>
        </w:rPr>
        <w:t xml:space="preserve"> at the </w:t>
      </w:r>
      <w:hyperlink r:id="rId289">
        <w:r>
          <w:rPr>
            <w:b/>
            <w:i w:val="0"/>
            <w:color w:val="B8860B"/>
          </w:rPr>
          <w:t>Al-Aqsa</w:t>
        </w:r>
      </w:hyperlink>
      <w:r>
        <w:rPr>
          <w:b w:val="0"/>
          <w:i w:val="0"/>
        </w:rPr>
        <w:t xml:space="preserve"> platform in </w:t>
      </w:r>
      <w:r>
        <w:rPr>
          <w:b/>
          <w:i w:val="0"/>
        </w:rPr>
        <w:t>Palestine</w:t>
      </w:r>
      <w:r>
        <w:rPr>
          <w:b w:val="0"/>
          <w:i w:val="0"/>
        </w:rPr>
        <w:t xml:space="preserve">, with </w:t>
      </w:r>
      <w:r>
        <w:rPr>
          <w:b/>
          <w:i w:val="0"/>
        </w:rPr>
        <w:t>Constantinople / Czar-Grad</w:t>
      </w:r>
      <w:r>
        <w:rPr>
          <w:b w:val="0"/>
          <w:i w:val="0"/>
        </w:rPr>
        <w:t xml:space="preserve"> read as the </w:t>
      </w:r>
      <w:r>
        <w:rPr>
          <w:b/>
          <w:i w:val="0"/>
        </w:rPr>
        <w:t>ruined Biblical Jerusalem</w:t>
      </w:r>
      <w:r>
        <w:rPr>
          <w:b w:val="0"/>
          <w:i w:val="0"/>
        </w:rPr>
        <w:t xml:space="preserve"> along the tour route—could be </w:t>
      </w:r>
      <w:r>
        <w:rPr>
          <w:b/>
          <w:i w:val="0"/>
        </w:rPr>
        <w:t>installed</w:t>
      </w:r>
      <w:r>
        <w:rPr>
          <w:b w:val="0"/>
          <w:i w:val="0"/>
        </w:rPr>
        <w:t xml:space="preserve"> with </w:t>
      </w:r>
      <w:r>
        <w:rPr>
          <w:b/>
          <w:i w:val="0"/>
        </w:rPr>
        <w:t>fewer</w:t>
      </w:r>
      <w:r>
        <w:rPr>
          <w:b w:val="0"/>
          <w:i w:val="0"/>
        </w:rPr>
        <w:t xml:space="preserve"> credible eastern challengers left standing in stone.</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239">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90">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91">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7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92">
        <w:r>
          <w:rPr>
            <w:b w:val="0"/>
            <w:i w:val="0"/>
            <w:color w:val="B8860B"/>
            <w:sz w:val="19"/>
          </w:rPr>
          <w:t>Missionaries to Corporations</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147">
        <w:r>
          <w:rPr>
            <w:b w:val="0"/>
            <w:i w:val="0"/>
            <w:color w:val="B8860B"/>
          </w:rPr>
          <w:t>Napoleonic Wars</w:t>
        </w:r>
      </w:hyperlink>
      <w:r>
        <w:rPr>
          <w:b w:val="0"/>
          <w:i w:val="0"/>
        </w:rPr>
        <w:t xml:space="preserve"> and </w:t>
      </w:r>
      <w:hyperlink r:id="rId181">
        <w:r>
          <w:rPr>
            <w:b w:val="0"/>
            <w:i w:val="0"/>
            <w:color w:val="B8860B"/>
          </w:rPr>
          <w:t>Aftermath of 1812</w:t>
        </w:r>
      </w:hyperlink>
      <w:r>
        <w:rPr>
          <w:b w:val="0"/>
          <w:i w:val="0"/>
        </w:rPr>
        <w:t>.</w:t>
      </w:r>
    </w:p>
    <w:p>
      <w:pPr>
        <w:pBdr>
          <w:bottom w:val="single" w:sz="6" w:space="1" w:color="CCCCCC"/>
        </w:pBdr>
      </w:pPr>
    </w:p>
    <w:p>
      <w:pPr>
        <w:pStyle w:val="Heading3"/>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93">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3"/>
        <w:keepNext/>
        <w:keepLines/>
      </w:pPr>
      <w:r>
        <w:t>Napoleon's Egyptian Campaign (1798–1801)</w:t>
      </w:r>
    </w:p>
    <w:p>
      <w:r>
        <w:rPr>
          <w:b w:val="0"/>
          <w:i w:val="0"/>
        </w:rPr>
        <w:t xml:space="preserve">French scholars encountered ruins Scaligerian chronology claimed as "ancient Egypt" — producing the </w:t>
      </w:r>
      <w:hyperlink r:id="rId294">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3"/>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95">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3"/>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w:t>
      </w:r>
      <w:r>
        <w:rPr>
          <w:b/>
          <w:i w:val="0"/>
        </w:rPr>
        <w:t>massed, standardized artillery</w:t>
      </w:r>
      <w:r>
        <w:rPr>
          <w:b w:val="0"/>
          <w:i w:val="0"/>
        </w:rPr>
        <w:t xml:space="preserve"> (Gribeauval-era systems), </w:t>
      </w:r>
      <w:r>
        <w:rPr>
          <w:b/>
          <w:i w:val="0"/>
        </w:rPr>
        <w:t>doctrine</w:t>
      </w:r>
      <w:r>
        <w:rPr>
          <w:b w:val="0"/>
          <w:i w:val="0"/>
        </w:rPr>
        <w:t xml:space="preserve">, and — on the open record — </w:t>
      </w:r>
      <w:r>
        <w:rPr>
          <w:b/>
          <w:i w:val="0"/>
        </w:rPr>
        <w:t>tethered hydrogen balloons</w:t>
      </w:r>
      <w:r>
        <w:rPr>
          <w:b w:val="0"/>
          <w:i w:val="0"/>
        </w:rPr>
        <w:t xml:space="preserve"> for reconnaissance where the </w:t>
      </w:r>
      <w:hyperlink r:id="rId296">
        <w:r>
          <w:rPr>
            <w:b w:val="0"/>
            <w:i w:val="0"/>
            <w:color w:val="B8860B"/>
          </w:rPr>
          <w:t>Aerostatic Corps</w:t>
        </w:r>
      </w:hyperlink>
      <w:r>
        <w:rPr>
          <w:b w:val="0"/>
          <w:i w:val="0"/>
        </w:rPr>
        <w:t xml:space="preserve"> still operated. </w:t>
      </w:r>
      <w:r>
        <w:rPr>
          <w:b/>
          <w:i w:val="0"/>
        </w:rPr>
        <w:t>Plasma cannons</w:t>
      </w:r>
      <w:r>
        <w:rPr>
          <w:b w:val="0"/>
          <w:i w:val="0"/>
        </w:rPr>
        <w:t xml:space="preserve"> and </w:t>
      </w:r>
      <w:r>
        <w:rPr>
          <w:b/>
          <w:i w:val="0"/>
        </w:rPr>
        <w:t>plasma-based siege weapons</w:t>
      </w:r>
      <w:r>
        <w:rPr>
          <w:b w:val="0"/>
          <w:i w:val="0"/>
        </w:rPr>
        <w:t xml:space="preserve"> are </w:t>
      </w:r>
      <w:r>
        <w:rPr>
          <w:b/>
          <w:i w:val="0"/>
        </w:rPr>
        <w:t>excluded</w:t>
      </w:r>
      <w:r>
        <w:rPr>
          <w:b w:val="0"/>
          <w:i w:val="0"/>
        </w:rPr>
        <w:t xml:space="preserve"> from the Napoleonic picture: they would have exceeded what </w:t>
      </w:r>
      <w:r>
        <w:rPr>
          <w:b/>
          <w:i w:val="0"/>
        </w:rPr>
        <w:t>open</w:t>
      </w:r>
      <w:r>
        <w:rPr>
          <w:b w:val="0"/>
          <w:i w:val="0"/>
        </w:rPr>
        <w:t xml:space="preserve"> 19th-century science could operationalize, and military knowledge was </w:t>
      </w:r>
      <w:r>
        <w:rPr>
          <w:b/>
          <w:i w:val="0"/>
        </w:rPr>
        <w:t>already</w:t>
      </w:r>
      <w:r>
        <w:rPr>
          <w:b w:val="0"/>
          <w:i w:val="0"/>
        </w:rPr>
        <w:t xml:space="preserve"> moving behind </w:t>
      </w:r>
      <w:r>
        <w:rPr>
          <w:b/>
          <w:i w:val="0"/>
        </w:rPr>
        <w:t>compartmentalized</w:t>
      </w:r>
      <w:r>
        <w:rPr>
          <w:b w:val="0"/>
          <w:i w:val="0"/>
        </w:rPr>
        <w:t xml:space="preserve">, </w:t>
      </w:r>
      <w:r>
        <w:rPr>
          <w:b/>
          <w:i w:val="0"/>
        </w:rPr>
        <w:t>denied</w:t>
      </w:r>
      <w:r>
        <w:rPr>
          <w:b w:val="0"/>
          <w:i w:val="0"/>
        </w:rPr>
        <w:t xml:space="preserve"> channels — not into mass field pieces for a revolutionary army. Balloons on the public record are a weak match for </w:t>
      </w:r>
      <w:r>
        <w:rPr>
          <w:b/>
          <w:i w:val="0"/>
        </w:rPr>
        <w:t>offensive</w:t>
      </w:r>
      <w:r>
        <w:rPr>
          <w:b w:val="0"/>
          <w:i w:val="0"/>
        </w:rPr>
        <w:t xml:space="preserve"> strategic lift (slow, hard to maneuver, easily targeted); where logistics or legend imply crossing major barriers </w:t>
      </w:r>
      <w:r>
        <w:rPr>
          <w:b/>
          <w:i w:val="0"/>
        </w:rPr>
        <w:t>without</w:t>
      </w:r>
      <w:r>
        <w:rPr>
          <w:b w:val="0"/>
          <w:i w:val="0"/>
        </w:rPr>
        <w:t xml:space="preserve"> dragging the full siege train over every road, this chronology prefers </w:t>
      </w:r>
      <w:r>
        <w:rPr>
          <w:b/>
          <w:i w:val="0"/>
        </w:rPr>
        <w:t>classified anti-gravity or charged-mass platforms</w:t>
      </w:r>
      <w:r>
        <w:rPr>
          <w:b w:val="0"/>
          <w:i w:val="0"/>
        </w:rPr>
        <w:t xml:space="preserve"> — sturdy, stable, and less trivially shot down than a gas bag — over balloon warfare. Winter failure is developed under </w:t>
      </w:r>
      <w:r>
        <w:rPr>
          <w:b/>
          <w:i w:val="0"/>
        </w:rPr>
        <w:t>Lift platforms, winter occupation, and the Kremlin</w:t>
      </w:r>
      <w:r>
        <w:rPr>
          <w:b w:val="0"/>
          <w:i w:val="0"/>
        </w:rPr>
        <w:t xml:space="preserve"> below. Further threads: </w:t>
      </w:r>
      <w:r>
        <w:rPr>
          <w:b/>
          <w:i w:val="0"/>
        </w:rPr>
        <w:t>sound / resonant</w:t>
      </w:r>
      <w:r>
        <w:rPr>
          <w:b w:val="0"/>
          <w:i w:val="0"/>
        </w:rPr>
        <w:t xml:space="preserve"> ordnance, </w:t>
      </w:r>
      <w:r>
        <w:rPr>
          <w:b/>
          <w:i w:val="0"/>
        </w:rPr>
        <w:t>ether</w:t>
      </w:r>
      <w:r>
        <w:rPr>
          <w:b w:val="0"/>
          <w:i w:val="0"/>
        </w:rPr>
        <w:t xml:space="preserve"> or </w:t>
      </w:r>
      <w:r>
        <w:rPr>
          <w:b/>
          <w:i w:val="0"/>
        </w:rPr>
        <w:t>charged-mass lift</w:t>
      </w:r>
      <w:r>
        <w:rPr>
          <w:b w:val="0"/>
          <w:i w:val="0"/>
        </w:rPr>
        <w:t xml:space="preserve"> legends — see </w:t>
      </w:r>
      <w:hyperlink r:id="rId297">
        <w:r>
          <w:rPr>
            <w:b w:val="0"/>
            <w:i w:val="0"/>
            <w:color w:val="B8860B"/>
          </w:rPr>
          <w:t>/governance/war/investigations/napoleonic-advanced-artillery-airship-investigation.md</w:t>
        </w:r>
      </w:hyperlink>
      <w:r>
        <w:rPr>
          <w:b w:val="0"/>
          <w:i w:val="0"/>
        </w:rPr>
        <w:t xml:space="preserve">. The </w:t>
      </w:r>
      <w:hyperlink r:id="rId177">
        <w:r>
          <w:rPr>
            <w:b w:val="0"/>
            <w:i w:val="0"/>
            <w:color w:val="B8860B"/>
          </w:rPr>
          <w:t>Mars catastrophe / Pugachev</w:t>
        </w:r>
      </w:hyperlink>
      <w:r>
        <w:rPr>
          <w:b w:val="0"/>
          <w:i w:val="0"/>
        </w:rPr>
        <w:t xml:space="preserve"> thread remains a </w:t>
      </w:r>
      <w:r>
        <w:rPr>
          <w:b/>
          <w:i w:val="0"/>
        </w:rPr>
        <w:t>separate</w:t>
      </w:r>
      <w:r>
        <w:rPr>
          <w:b w:val="0"/>
          <w:i w:val="0"/>
        </w:rPr>
        <w:t xml:space="preserve"> timeline thesis until a dated chain ties it to French ORBAT in Russia.</w:t>
      </w:r>
    </w:p>
    <w:p>
      <w:pPr>
        <w:pBdr>
          <w:bottom w:val="single" w:sz="6" w:space="1" w:color="CCCCCC"/>
        </w:pBdr>
      </w:pPr>
    </w:p>
    <w:p>
      <w:pPr>
        <w:pStyle w:val="Heading3"/>
        <w:keepNext/>
        <w:keepLines/>
      </w:pPr>
      <w:r>
        <w:t>Lift platforms, winter occupation, and the Kremlin</w:t>
      </w:r>
    </w:p>
    <w:p>
      <w:r>
        <w:rPr>
          <w:b w:val="0"/>
          <w:i w:val="0"/>
        </w:rPr>
        <w:t xml:space="preserve">Speculative extension of the </w:t>
      </w:r>
      <w:hyperlink r:id="rId181">
        <w:r>
          <w:rPr>
            <w:b w:val="0"/>
            <w:i w:val="0"/>
            <w:color w:val="B8860B"/>
          </w:rPr>
          <w:t>Aftermath of 1812</w:t>
        </w:r>
      </w:hyperlink>
      <w:r>
        <w:rPr>
          <w:b w:val="0"/>
          <w:i w:val="0"/>
        </w:rPr>
        <w:t xml:space="preserve"> winter thesis.</w:t>
      </w:r>
    </w:p>
    <w:p>
      <w:pPr>
        <w:pStyle w:val="Heading4"/>
        <w:keepNext/>
        <w:keepLines/>
      </w:pPr>
      <w:r>
        <w:t>Balloons versus classified aerodynes</w:t>
      </w:r>
    </w:p>
    <w:p>
      <w:r>
        <w:rPr>
          <w:b w:val="0"/>
          <w:i w:val="0"/>
        </w:rPr>
        <w:t xml:space="preserve">Hydrogen balloons in the Revolutionary and Napoleonic armies were chiefly </w:t>
      </w:r>
      <w:r>
        <w:rPr>
          <w:b/>
          <w:i w:val="0"/>
        </w:rPr>
        <w:t>observation</w:t>
      </w:r>
      <w:r>
        <w:rPr>
          <w:b w:val="0"/>
          <w:i w:val="0"/>
        </w:rPr>
        <w:t xml:space="preserve"> assets: tethered or barely maneuverable envelopes. That profile is a poor fit for </w:t>
      </w:r>
      <w:r>
        <w:rPr>
          <w:b/>
          <w:i w:val="0"/>
        </w:rPr>
        <w:t>decisive</w:t>
      </w:r>
      <w:r>
        <w:rPr>
          <w:b w:val="0"/>
          <w:i w:val="0"/>
        </w:rPr>
        <w:t xml:space="preserve"> battlefield lift—large fabric targets, vulnerable to shot and fire, awkward to reposition under contest. If the French (or their hidden tier) moved </w:t>
      </w:r>
      <w:r>
        <w:rPr>
          <w:b/>
          <w:i w:val="0"/>
        </w:rPr>
        <w:t>heavy</w:t>
      </w:r>
      <w:r>
        <w:rPr>
          <w:b w:val="0"/>
          <w:i w:val="0"/>
        </w:rPr>
        <w:t xml:space="preserve"> capability across obstacles such as the Alps </w:t>
      </w:r>
      <w:r>
        <w:rPr>
          <w:b/>
          <w:i w:val="0"/>
        </w:rPr>
        <w:t>without</w:t>
      </w:r>
      <w:r>
        <w:rPr>
          <w:b w:val="0"/>
          <w:i w:val="0"/>
        </w:rPr>
        <w:t xml:space="preserve"> matching every classical tale of cannon dragged by road and mule, the open-record balloon is not the best analog. This chronology holds that </w:t>
      </w:r>
      <w:r>
        <w:rPr>
          <w:b/>
          <w:i w:val="0"/>
        </w:rPr>
        <w:t>secret military anti-gravity or dense-field lift</w:t>
      </w:r>
      <w:r>
        <w:rPr>
          <w:b w:val="0"/>
          <w:i w:val="0"/>
        </w:rPr>
        <w:t xml:space="preserve"> — hulls imagined as </w:t>
      </w:r>
      <w:r>
        <w:rPr>
          <w:b/>
          <w:i w:val="0"/>
        </w:rPr>
        <w:t>sturdy and stable</w:t>
      </w:r>
      <w:r>
        <w:rPr>
          <w:b w:val="0"/>
          <w:i w:val="0"/>
        </w:rPr>
        <w:t xml:space="preserve">, harder to negate than a balloon — is the more credible concealed complement to Gribeauval-era </w:t>
      </w:r>
      <w:r>
        <w:rPr>
          <w:b/>
          <w:i w:val="0"/>
        </w:rPr>
        <w:t>open</w:t>
      </w:r>
      <w:r>
        <w:rPr>
          <w:b w:val="0"/>
          <w:i w:val="0"/>
        </w:rPr>
        <w:t xml:space="preserve"> artillery, not dirigibles-as-we-imagine-them for line combat.</w:t>
      </w:r>
    </w:p>
    <w:p>
      <w:pPr>
        <w:pStyle w:val="Heading4"/>
        <w:keepNext/>
        <w:keepLines/>
      </w:pPr>
      <w:r>
        <w:t>Winter: debarking and occupation</w:t>
      </w:r>
    </w:p>
    <w:p>
      <w:r>
        <w:rPr>
          <w:b w:val="0"/>
          <w:i w:val="0"/>
        </w:rPr>
        <w:t xml:space="preserve">Russian winter need </w:t>
      </w:r>
      <w:r>
        <w:rPr>
          <w:b/>
          <w:i w:val="0"/>
        </w:rPr>
        <w:t>not</w:t>
      </w:r>
      <w:r>
        <w:rPr>
          <w:b w:val="0"/>
          <w:i w:val="0"/>
        </w:rPr>
        <w:t xml:space="preserve"> have </w:t>
      </w:r>
      <w:r>
        <w:rPr>
          <w:b/>
          <w:i w:val="0"/>
        </w:rPr>
        <w:t>grounded</w:t>
      </w:r>
      <w:r>
        <w:rPr>
          <w:b w:val="0"/>
          <w:i w:val="0"/>
        </w:rPr>
        <w:t xml:space="preserve"> such craft in the simple sense of killing lift or freezing machinery alone. The sharper bottleneck is </w:t>
      </w:r>
      <w:r>
        <w:rPr>
          <w:b/>
          <w:i w:val="0"/>
        </w:rPr>
        <w:t>occupation</w:t>
      </w:r>
      <w:r>
        <w:rPr>
          <w:b w:val="0"/>
          <w:i w:val="0"/>
        </w:rPr>
        <w:t xml:space="preserve">: holding Russia requires men on the ground—patrols, foraging, garrisons, intimidation of elites. Crews who could survive </w:t>
      </w:r>
      <w:r>
        <w:rPr>
          <w:b/>
          <w:i w:val="0"/>
        </w:rPr>
        <w:t>inside</w:t>
      </w:r>
      <w:r>
        <w:rPr>
          <w:b w:val="0"/>
          <w:i w:val="0"/>
        </w:rPr>
        <w:t xml:space="preserve"> a hull may still have </w:t>
      </w:r>
      <w:r>
        <w:rPr>
          <w:b/>
          <w:i w:val="0"/>
        </w:rPr>
        <w:t>feared leaving</w:t>
      </w:r>
      <w:r>
        <w:rPr>
          <w:b w:val="0"/>
          <w:i w:val="0"/>
        </w:rPr>
        <w:t xml:space="preserve"> it for temperatures and partisan country the cabin did not temper. Platforms probably were </w:t>
      </w:r>
      <w:r>
        <w:rPr>
          <w:b/>
          <w:i w:val="0"/>
        </w:rPr>
        <w:t>not engineered</w:t>
      </w:r>
      <w:r>
        <w:rPr>
          <w:b w:val="0"/>
          <w:i w:val="0"/>
        </w:rPr>
        <w:t xml:space="preserve"> for months of </w:t>
      </w:r>
      <w:r>
        <w:rPr>
          <w:b/>
          <w:i w:val="0"/>
        </w:rPr>
        <w:t>extreme-cold</w:t>
      </w:r>
      <w:r>
        <w:rPr>
          <w:b w:val="0"/>
          <w:i w:val="0"/>
        </w:rPr>
        <w:t xml:space="preserve"> habitation (heating, seals, logistics of life support) even if they still </w:t>
      </w:r>
      <w:r>
        <w:rPr>
          <w:b/>
          <w:i w:val="0"/>
        </w:rPr>
        <w:t>flew</w:t>
      </w:r>
      <w:r>
        <w:rPr>
          <w:b w:val="0"/>
          <w:i w:val="0"/>
        </w:rPr>
        <w:t xml:space="preserve">. </w:t>
      </w:r>
      <w:r>
        <w:rPr>
          <w:b/>
          <w:i w:val="0"/>
        </w:rPr>
        <w:t>Air superiority</w:t>
      </w:r>
      <w:r>
        <w:rPr>
          <w:b w:val="0"/>
          <w:i w:val="0"/>
        </w:rPr>
        <w:t xml:space="preserve"> in that frame does not substitute for stone walls and winter stores; it cannot </w:t>
      </w:r>
      <w:r>
        <w:rPr>
          <w:b/>
          <w:i w:val="0"/>
        </w:rPr>
        <w:t>govern</w:t>
      </w:r>
      <w:r>
        <w:rPr>
          <w:b w:val="0"/>
          <w:i w:val="0"/>
        </w:rPr>
        <w:t xml:space="preserve"> a city from altitude while soldiers freeze the moment they step out.</w:t>
      </w:r>
    </w:p>
    <w:p>
      <w:pPr>
        <w:pStyle w:val="Heading4"/>
        <w:keepNext/>
        <w:keepLines/>
      </w:pPr>
      <w:r>
        <w:t>Kremlin as winter redoubt</w:t>
      </w:r>
    </w:p>
    <w:p>
      <w:r>
        <w:rPr>
          <w:b w:val="0"/>
          <w:i w:val="0"/>
        </w:rPr>
        <w:t xml:space="preserve">Scorched Moscow was not only a civilizational gesture. The </w:t>
      </w:r>
      <w:r>
        <w:rPr>
          <w:b/>
          <w:i w:val="0"/>
        </w:rPr>
        <w:t>Kremlin</w:t>
      </w:r>
      <w:r>
        <w:rPr>
          <w:b w:val="0"/>
          <w:i w:val="0"/>
        </w:rPr>
        <w:t xml:space="preserve"> offered </w:t>
      </w:r>
      <w:r>
        <w:rPr>
          <w:b/>
          <w:i w:val="0"/>
        </w:rPr>
        <w:t>fortified stone</w:t>
      </w:r>
      <w:r>
        <w:rPr>
          <w:b w:val="0"/>
          <w:i w:val="0"/>
        </w:rPr>
        <w:t xml:space="preserve">, enclosure, and interior volume suited to </w:t>
      </w:r>
      <w:r>
        <w:rPr>
          <w:b/>
          <w:i w:val="0"/>
        </w:rPr>
        <w:t>wintering</w:t>
      </w:r>
      <w:r>
        <w:rPr>
          <w:b w:val="0"/>
          <w:i w:val="0"/>
        </w:rPr>
        <w:t xml:space="preserve"> a large force—windbreak, defense, and a plausible path to </w:t>
      </w:r>
      <w:r>
        <w:rPr>
          <w:b/>
          <w:i w:val="0"/>
        </w:rPr>
        <w:t>outlast</w:t>
      </w:r>
      <w:r>
        <w:rPr>
          <w:b w:val="0"/>
          <w:i w:val="0"/>
        </w:rPr>
        <w:t xml:space="preserve"> the season </w:t>
      </w:r>
      <w:r>
        <w:rPr>
          <w:b/>
          <w:i w:val="0"/>
        </w:rPr>
        <w:t>inside the walls</w:t>
      </w:r>
      <w:r>
        <w:rPr>
          <w:b w:val="0"/>
          <w:i w:val="0"/>
        </w:rPr>
        <w:t xml:space="preserve"> rather than in open bivouac. Denying Napoleon an intact citadel and capital removed the last </w:t>
      </w:r>
      <w:r>
        <w:rPr>
          <w:b/>
          <w:i w:val="0"/>
        </w:rPr>
        <w:t>lodgment</w:t>
      </w:r>
      <w:r>
        <w:rPr>
          <w:b w:val="0"/>
          <w:i w:val="0"/>
        </w:rPr>
        <w:t xml:space="preserve"> that might have turned a September entry into a spring still holding Moscow. See </w:t>
      </w:r>
      <w:hyperlink r:id="rId181">
        <w:r>
          <w:rPr>
            <w:b w:val="0"/>
            <w:i w:val="0"/>
            <w:color w:val="B8860B"/>
          </w:rPr>
          <w:t>Aftermath of 1812</w:t>
        </w:r>
      </w:hyperlink>
      <w:r>
        <w:rPr>
          <w:b w:val="0"/>
          <w:i w:val="0"/>
        </w:rPr>
        <w:t xml:space="preserve"> for the book-facing summary.</w:t>
      </w:r>
    </w:p>
    <w:p>
      <w:pPr>
        <w:pStyle w:val="Heading2"/>
        <w:keepNext/>
        <w:keepLines/>
      </w:pPr>
      <w:r>
        <w:t>Napoleon invades Russia — Reverse Crusade I</w:t>
      </w:r>
    </w:p>
    <w:p>
      <w:r>
        <w:rPr>
          <w:b w:val="0"/>
          <w:i w:val="0"/>
        </w:rPr>
        <w:t xml:space="preserve">This appendix extends </w:t>
      </w:r>
      <w:hyperlink r:id="rId147">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98">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181">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99">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 xml:space="preserve">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w:t>
      </w:r>
      <w:r>
        <w:rPr>
          <w:b/>
          <w:i w:val="0"/>
        </w:rPr>
        <w:t>The Kremlin</w:t>
      </w:r>
      <w:r>
        <w:rPr>
          <w:b w:val="0"/>
          <w:i w:val="0"/>
        </w:rPr>
        <w:t xml:space="preserve"> in particular would have given an occupier </w:t>
      </w:r>
      <w:r>
        <w:rPr>
          <w:b/>
          <w:i w:val="0"/>
        </w:rPr>
        <w:t>walled winter quarters</w:t>
      </w:r>
      <w:r>
        <w:rPr>
          <w:b w:val="0"/>
          <w:i w:val="0"/>
        </w:rPr>
        <w:t xml:space="preserve">; its loss with the wider burn closed off the most credible way to </w:t>
      </w:r>
      <w:r>
        <w:rPr>
          <w:b/>
          <w:i w:val="0"/>
        </w:rPr>
        <w:t>hold</w:t>
      </w:r>
      <w:r>
        <w:rPr>
          <w:b w:val="0"/>
          <w:i w:val="0"/>
        </w:rPr>
        <w:t xml:space="preserve"> the capital through the cold.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300">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178">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w:t>
      </w:r>
      <w:r>
        <w:rPr>
          <w:b/>
          <w:i w:val="0"/>
        </w:rPr>
        <w:t>edge</w:t>
      </w:r>
      <w:r>
        <w:rPr>
          <w:b w:val="0"/>
          <w:i w:val="0"/>
        </w:rPr>
        <w:t xml:space="preserve"> the French relied on — artillery tempo, supply calculus, possibly </w:t>
      </w:r>
      <w:r>
        <w:rPr>
          <w:b/>
          <w:i w:val="0"/>
        </w:rPr>
        <w:t>classified lift</w:t>
      </w:r>
      <w:r>
        <w:rPr>
          <w:b w:val="0"/>
          <w:i w:val="0"/>
        </w:rPr>
        <w:t xml:space="preserve"> alongside </w:t>
      </w:r>
      <w:r>
        <w:rPr>
          <w:b/>
          <w:i w:val="0"/>
        </w:rPr>
        <w:t>observation balloons</w:t>
      </w:r>
      <w:r>
        <w:rPr>
          <w:b w:val="0"/>
          <w:i w:val="0"/>
        </w:rPr>
        <w:t xml:space="preserve"> on the public record — met </w:t>
      </w:r>
      <w:r>
        <w:rPr>
          <w:b/>
          <w:i w:val="0"/>
        </w:rPr>
        <w:t>logistics collapse</w:t>
      </w:r>
      <w:r>
        <w:rPr>
          <w:b w:val="0"/>
          <w:i w:val="0"/>
        </w:rPr>
        <w:t xml:space="preserve">, </w:t>
      </w:r>
      <w:r>
        <w:rPr>
          <w:b/>
          <w:i w:val="0"/>
        </w:rPr>
        <w:t>extreme cold</w:t>
      </w:r>
      <w:r>
        <w:rPr>
          <w:b w:val="0"/>
          <w:i w:val="0"/>
        </w:rPr>
        <w:t xml:space="preserve">, and the </w:t>
      </w:r>
      <w:r>
        <w:rPr>
          <w:b/>
          <w:i w:val="0"/>
        </w:rPr>
        <w:t>impossibility of occupation from the air</w:t>
      </w:r>
      <w:r>
        <w:rPr>
          <w:b w:val="0"/>
          <w:i w:val="0"/>
        </w:rPr>
        <w:t xml:space="preserve"> once crews could not safely </w:t>
      </w:r>
      <w:r>
        <w:rPr>
          <w:b/>
          <w:i w:val="0"/>
        </w:rPr>
        <w:t>hold</w:t>
      </w:r>
      <w:r>
        <w:rPr>
          <w:b w:val="0"/>
          <w:i w:val="0"/>
        </w:rPr>
        <w:t xml:space="preserve"> ground or </w:t>
      </w:r>
      <w:r>
        <w:rPr>
          <w:b/>
          <w:i w:val="0"/>
        </w:rPr>
        <w:t>winter in stone</w:t>
      </w:r>
      <w:r>
        <w:rPr>
          <w:b w:val="0"/>
          <w:i w:val="0"/>
        </w:rPr>
        <w:t xml:space="preserve">. That failure is consistent with </w:t>
      </w:r>
      <w:r>
        <w:rPr>
          <w:b/>
          <w:i w:val="0"/>
        </w:rPr>
        <w:t>overextension</w:t>
      </w:r>
      <w:r>
        <w:rPr>
          <w:b w:val="0"/>
          <w:i w:val="0"/>
        </w:rPr>
        <w:t xml:space="preserve"> and </w:t>
      </w:r>
      <w:r>
        <w:rPr>
          <w:b/>
          <w:i w:val="0"/>
        </w:rPr>
        <w:t>climate</w:t>
      </w:r>
      <w:r>
        <w:rPr>
          <w:b w:val="0"/>
          <w:i w:val="0"/>
        </w:rPr>
        <w:t xml:space="preserve"> without </w:t>
      </w:r>
      <w:r>
        <w:rPr>
          <w:b/>
          <w:i w:val="0"/>
        </w:rPr>
        <w:t>plasma</w:t>
      </w:r>
      <w:r>
        <w:rPr>
          <w:b w:val="0"/>
          <w:i w:val="0"/>
        </w:rPr>
        <w:t xml:space="preserve"> weapons (which this timeline does not assign to 1812). For lift, Kremlin-as-redoubt, and crew exposure, see </w:t>
      </w:r>
      <w:r>
        <w:rPr>
          <w:b/>
          <w:i w:val="0"/>
        </w:rPr>
        <w:t>Lift platforms, winter occupation, and the Kremlin</w:t>
      </w:r>
      <w:r>
        <w:rPr>
          <w:b w:val="0"/>
          <w:i w:val="0"/>
        </w:rPr>
        <w:t xml:space="preserve"> above; for </w:t>
      </w:r>
      <w:r>
        <w:rPr>
          <w:b/>
          <w:i w:val="0"/>
        </w:rPr>
        <w:t>sound</w:t>
      </w:r>
      <w:r>
        <w:rPr>
          <w:b w:val="0"/>
          <w:i w:val="0"/>
        </w:rPr>
        <w:t xml:space="preserve"> ordnance and investigation links, see </w:t>
      </w:r>
      <w:hyperlink r:id="rId297">
        <w:r>
          <w:rPr>
            <w:b w:val="0"/>
            <w:i w:val="0"/>
            <w:color w:val="B8860B"/>
          </w:rPr>
          <w:t>/governance/war/investigations/napoleonic-advanced-artillery-airship-investigation.md</w:t>
        </w:r>
      </w:hyperlink>
      <w:r>
        <w:rPr>
          <w:b w:val="0"/>
          <w:i w:val="0"/>
        </w:rPr>
        <w:t xml:space="preserve">. For the war's deeper financial context, see </w:t>
      </w:r>
      <w:hyperlink r:id="rId181">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301">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181">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Reverse Crusades and Modern Wars</w:t>
      </w:r>
    </w:p>
    <w:p>
      <w:r>
        <w:rPr>
          <w:b w:val="0"/>
          <w:i w:val="0"/>
        </w:rPr>
        <w:t>Structural comparison of the four Reverse Crusades and extended evidence for 20th–21st century geopolitical continuity.</w:t>
      </w:r>
    </w:p>
    <w:p>
      <w:pPr>
        <w:pStyle w:val="ListBullet"/>
        <w:spacing w:before="20" w:after="20"/>
      </w:pPr>
      <w:hyperlink r:id="rId148">
        <w:r>
          <w:rPr>
            <w:b w:val="0"/>
            <w:i w:val="0"/>
            <w:color w:val="B8860B"/>
            <w:sz w:val="19"/>
          </w:rPr>
          <w:t>The Four Reverse Crusades: A Structural Comparison</w:t>
        </w:r>
      </w:hyperlink>
    </w:p>
    <w:p>
      <w:pPr>
        <w:pStyle w:val="ListBullet"/>
        <w:spacing w:before="20" w:after="20"/>
      </w:pPr>
      <w:hyperlink r:id="rId149">
        <w:r>
          <w:rPr>
            <w:b w:val="0"/>
            <w:i w:val="0"/>
            <w:color w:val="B8860B"/>
            <w:sz w:val="19"/>
          </w:rPr>
          <w:t>21st Century Geopolitics: Europe's War and America's Escalation Machine</w:t>
        </w:r>
      </w:hyperlink>
    </w:p>
    <w:p>
      <w:pPr>
        <w:pStyle w:val="ListBullet"/>
        <w:spacing w:before="20" w:after="20"/>
      </w:pPr>
      <w:hyperlink r:id="rId150">
        <w:r>
          <w:rPr>
            <w:b w:val="0"/>
            <w:i w:val="0"/>
            <w:color w:val="B8860B"/>
            <w:sz w:val="19"/>
          </w:rPr>
          <w:t>World War II Aftermath</w:t>
        </w:r>
      </w:hyperlink>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3"/>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3"/>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3"/>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r>
        <w:rPr>
          <w:b w:val="0"/>
          <w:i w:val="0"/>
        </w:rPr>
        <w:t xml:space="preserve">After </w:t>
      </w:r>
      <w:r>
        <w:rPr>
          <w:b/>
          <w:i w:val="0"/>
        </w:rPr>
        <w:t>1945</w:t>
      </w:r>
      <w:r>
        <w:rPr>
          <w:b w:val="0"/>
          <w:i w:val="0"/>
        </w:rPr>
        <w:t xml:space="preserve">, the pan-European </w:t>
      </w:r>
      <w:r>
        <w:rPr>
          <w:b/>
          <w:i w:val="0"/>
        </w:rPr>
        <w:t>invasion</w:t>
      </w:r>
      <w:r>
        <w:rPr>
          <w:b w:val="0"/>
          <w:i w:val="0"/>
        </w:rPr>
        <w:t xml:space="preserve"> of Russia failed again; the West still </w:t>
      </w:r>
      <w:r>
        <w:rPr>
          <w:b/>
          <w:i w:val="0"/>
        </w:rPr>
        <w:t>extracted</w:t>
      </w:r>
      <w:r>
        <w:rPr>
          <w:b w:val="0"/>
          <w:i w:val="0"/>
        </w:rPr>
        <w:t xml:space="preserve"> German war capacity (Paperclip, Gehlen, Ratlines) and folded it into </w:t>
      </w:r>
      <w:r>
        <w:rPr>
          <w:b/>
          <w:i w:val="0"/>
        </w:rPr>
        <w:t>encirclement</w:t>
      </w:r>
      <w:r>
        <w:rPr>
          <w:b w:val="0"/>
          <w:i w:val="0"/>
        </w:rPr>
        <w:t xml:space="preserve"> and </w:t>
      </w:r>
      <w:r>
        <w:rPr>
          <w:b/>
          <w:i w:val="0"/>
        </w:rPr>
        <w:t>intelligence</w:t>
      </w:r>
      <w:r>
        <w:rPr>
          <w:b w:val="0"/>
          <w:i w:val="0"/>
        </w:rPr>
        <w:t xml:space="preserve"> against the USSR — the same strategic goal in a new costume. </w:t>
      </w:r>
      <w:hyperlink r:id="rId302">
        <w:r>
          <w:rPr>
            <w:b w:val="0"/>
            <w:i w:val="0"/>
            <w:color w:val="B8860B"/>
          </w:rPr>
          <w:t>Operation Paperclip, Nazi continuity, and the WWII narrative</w:t>
        </w:r>
      </w:hyperlink>
      <w:r>
        <w:rPr>
          <w:b w:val="0"/>
          <w:i w:val="0"/>
        </w:rPr>
        <w:t xml:space="preserve"> ties that postwar re-tasking to this pattern.</w:t>
      </w:r>
    </w:p>
    <w:p>
      <w:hyperlink r:id="rId303">
        <w:r>
          <w:rPr>
            <w:b w:val="0"/>
            <w:i w:val="0"/>
            <w:color w:val="B8860B"/>
          </w:rPr>
          <w:t>See: Reverse Crusades Comparison</w:t>
        </w:r>
      </w:hyperlink>
      <w:r>
        <w:rPr>
          <w:b w:val="0"/>
          <w:i w:val="0"/>
        </w:rPr>
        <w:t xml:space="preserve"> for the full investigation including alliance timelines, Parvus–Lenin funding, and the Warburg network.</w:t>
      </w:r>
    </w:p>
    <w:p/>
    <w:p>
      <w:pPr>
        <w:jc w:val="center"/>
      </w:pPr>
      <w:r>
        <w:rPr>
          <w:color w:val="B8860B"/>
          <w:sz w:val="24"/>
        </w:rPr>
        <w:t>— ✦ —</w:t>
      </w:r>
    </w:p>
    <w:p>
      <w:r>
        <w:rPr>
          <w:b w:val="0"/>
          <w:i w:val="0"/>
        </w:rPr>
        <w:t xml:space="preserve">Extended evidence for </w:t>
      </w:r>
      <w:hyperlink r:id="rId304">
        <w:r>
          <w:rPr>
            <w:b w:val="0"/>
            <w:i w:val="0"/>
            <w:color w:val="B8860B"/>
          </w:rPr>
          <w:t>The Final Struggle: Reverse Crusade IV</w:t>
        </w:r>
      </w:hyperlink>
      <w:r>
        <w:rPr>
          <w:b w:val="0"/>
          <w:i w:val="0"/>
        </w:rPr>
        <w:t>. The "unified West" rested on a handful of operators.</w:t>
      </w:r>
    </w:p>
    <w:p>
      <w:pPr>
        <w:pStyle w:val="Heading3"/>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3"/>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jc w:val="center"/>
      </w:pPr>
      <w:r>
        <w:rPr>
          <w:color w:val="B8860B"/>
          <w:sz w:val="24"/>
        </w:rPr>
        <w:t>— ✦ —</w:t>
      </w:r>
    </w:p>
    <w:p>
      <w:r>
        <w:rPr>
          <w:b w:val="0"/>
          <w:i w:val="0"/>
        </w:rPr>
        <w:t xml:space="preserve">Extended evidence for </w:t>
      </w:r>
      <w:hyperlink r:id="rId305">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3"/>
        <w:keepNext/>
        <w:keepLines/>
      </w:pPr>
      <w:r>
        <w:t>The Destruction of Old-World Architecture</w:t>
      </w:r>
    </w:p>
    <w:p>
      <w:r>
        <w:rPr>
          <w:b w:val="0"/>
          <w:i w:val="0"/>
        </w:rPr>
        <w:t xml:space="preserve">Allied firebombing targeted irreplaceable pre-modern architecture — Dresden, Hamburg, Cologne, Tokyo, Osaka. The </w:t>
      </w:r>
      <w:hyperlink r:id="rId306">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3"/>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3"/>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3"/>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3"/>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307">
        <w:r>
          <w:rPr>
            <w:b w:val="0"/>
            <w:i w:val="0"/>
            <w:color w:val="B8860B"/>
          </w:rPr>
          <w:t>Vril Society Investigation</w:t>
        </w:r>
      </w:hyperlink>
      <w:r>
        <w:rPr>
          <w:b w:val="0"/>
          <w:i w:val="0"/>
        </w:rPr>
        <w:t xml:space="preserve"> | </w:t>
      </w:r>
      <w:hyperlink r:id="rId303">
        <w:r>
          <w:rPr>
            <w:b w:val="0"/>
            <w:i w:val="0"/>
            <w:color w:val="B8860B"/>
          </w:rPr>
          <w:t>Reverse Crusades Comparison</w:t>
        </w:r>
      </w:hyperlink>
      <w:r>
        <w:rPr>
          <w:b w:val="0"/>
          <w:i w:val="0"/>
        </w:rPr>
        <w:t>.</w:t>
      </w:r>
    </w:p>
    <w:p/>
    <w:p>
      <w:pPr>
        <w:sectPr>
          <w:headerReference w:type="default" r:id="rId245"/>
          <w:footerReference w:type="default" r:id="rId246"/>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w:t>
      </w:r>
    </w:p>
    <w:p>
      <w:pPr>
        <w:pStyle w:val="Heading1"/>
        <w:jc w:val="center"/>
      </w:pPr>
      <w:r>
        <w:rPr>
          <w:b/>
        </w:rPr>
        <w:t>Appendix — Science, Displacement, and Antibodies</w:t>
      </w:r>
    </w:p>
    <w:p>
      <w:r>
        <w:rPr>
          <w:b w:val="0"/>
          <w:i w:val="0"/>
        </w:rPr>
        <w:t xml:space="preserve">Suppressed science and technology, population displacement, and historical antibody profiles. Chapters use </w:t>
      </w:r>
      <w:r>
        <w:rPr>
          <w:rFonts w:ascii="JetBrains Mono" w:hAnsi="JetBrains Mono"/>
          <w:sz w:val="20"/>
        </w:rPr>
        <w:t>20.51.*</w:t>
      </w:r>
      <w:r>
        <w:rPr>
          <w:b w:val="0"/>
          <w:i w:val="0"/>
        </w:rPr>
        <w:t xml:space="preserve">, </w:t>
      </w:r>
      <w:r>
        <w:rPr>
          <w:rFonts w:ascii="JetBrains Mono" w:hAnsi="JetBrains Mono"/>
          <w:sz w:val="20"/>
        </w:rPr>
        <w:t>20.52.*</w:t>
      </w:r>
      <w:r>
        <w:rPr>
          <w:b w:val="0"/>
          <w:i w:val="0"/>
        </w:rPr>
        <w:t xml:space="preserve">, </w:t>
      </w:r>
      <w:r>
        <w:rPr>
          <w:rFonts w:ascii="JetBrains Mono" w:hAnsi="JetBrains Mono"/>
          <w:sz w:val="20"/>
        </w:rPr>
        <w:t>20.55.*</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Suppressed Science and Technology</w:t>
      </w:r>
    </w:p>
    <w:p>
      <w:r>
        <w:rPr>
          <w:b w:val="0"/>
          <w:i w:val="0"/>
        </w:rPr>
        <w:t>Extended evidence for suppressed or marginalized science and technology, from Soviet historiography to energy.</w:t>
      </w:r>
    </w:p>
    <w:p>
      <w:pPr>
        <w:pStyle w:val="ListBullet"/>
        <w:spacing w:before="20" w:after="20"/>
      </w:pPr>
      <w:hyperlink r:id="rId152">
        <w:r>
          <w:rPr>
            <w:b w:val="0"/>
            <w:i w:val="0"/>
            <w:color w:val="B8860B"/>
            <w:sz w:val="19"/>
          </w:rPr>
          <w:t>Soviet Historiography: Bogdanov and Suppressed Science</w:t>
        </w:r>
      </w:hyperlink>
    </w:p>
    <w:p>
      <w:pPr>
        <w:pStyle w:val="ListBullet"/>
        <w:spacing w:before="20" w:after="20"/>
      </w:pPr>
      <w:hyperlink r:id="rId118">
        <w:r>
          <w:rPr>
            <w:b w:val="0"/>
            <w:i w:val="0"/>
            <w:color w:val="B8860B"/>
            <w:sz w:val="19"/>
          </w:rPr>
          <w:t>Suppressed Energy Technology: A Cross-Reference</w:t>
        </w:r>
      </w:hyperlink>
    </w:p>
    <w:p/>
    <w:p>
      <w:pPr>
        <w:jc w:val="center"/>
      </w:pPr>
      <w:r>
        <w:rPr>
          <w:color w:val="B8860B"/>
          <w:sz w:val="24"/>
        </w:rPr>
        <w:t>— ✦ —</w:t>
      </w:r>
    </w:p>
    <w:p>
      <w:r>
        <w:rPr>
          <w:b w:val="0"/>
          <w:i w:val="0"/>
        </w:rPr>
        <w:t xml:space="preserve">This appendix extends </w:t>
      </w:r>
      <w:hyperlink r:id="rId152">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3"/>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4"/>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3"/>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On this reading, suppression of the aether is the master key — engineering and classification, not a single debunking experiment.</w:t>
      </w:r>
    </w:p>
    <w:p>
      <w:pPr>
        <w:pBdr>
          <w:bottom w:val="single" w:sz="6" w:space="1" w:color="CCCCCC"/>
        </w:pBdr>
      </w:pPr>
    </w:p>
    <w:p>
      <w:pPr>
        <w:pStyle w:val="Heading3"/>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16">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310">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310">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311">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312">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125">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313">
              <w:r>
                <w:rPr>
                  <w:b w:val="0"/>
                  <w:i w:val="0"/>
                  <w:color w:val="B8860B"/>
                  <w:sz w:val="18"/>
                </w:rPr>
                <w:t>Nuclear Energy &amp; the Bomb</w:t>
              </w:r>
            </w:hyperlink>
          </w:p>
        </w:tc>
      </w:tr>
    </w:tbl>
    <w:p/>
    <w:p>
      <w:pPr>
        <w:pBdr>
          <w:bottom w:val="single" w:sz="6" w:space="1" w:color="CCCCCC"/>
        </w:pBdr>
      </w:pPr>
    </w:p>
    <w:p>
      <w:pPr>
        <w:pStyle w:val="Heading3"/>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314">
        <w:r>
          <w:rPr>
            <w:b w:val="0"/>
            <w:i w:val="0"/>
            <w:color w:val="B8860B"/>
            <w:sz w:val="19"/>
          </w:rPr>
          <w:t>Weather Modification Investigation</w:t>
        </w:r>
      </w:hyperlink>
    </w:p>
    <w:p>
      <w:pPr>
        <w:pBdr>
          <w:bottom w:val="single" w:sz="6" w:space="1" w:color="CCCCCC"/>
        </w:pBdr>
      </w:pPr>
    </w:p>
    <w:p>
      <w:pPr>
        <w:pStyle w:val="Heading3"/>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315">
        <w:r>
          <w:rPr>
            <w:b w:val="0"/>
            <w:i w:val="0"/>
            <w:color w:val="B8860B"/>
            <w:sz w:val="19"/>
          </w:rPr>
          <w:t>Havana Syndrome Investigation</w:t>
        </w:r>
      </w:hyperlink>
    </w:p>
    <w:p>
      <w:pPr>
        <w:pBdr>
          <w:bottom w:val="single" w:sz="6" w:space="1" w:color="CCCCCC"/>
        </w:pBdr>
      </w:pPr>
    </w:p>
    <w:p>
      <w:pPr>
        <w:pStyle w:val="Heading3"/>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316">
        <w:r>
          <w:rPr>
            <w:b w:val="0"/>
            <w:i w:val="0"/>
            <w:color w:val="B8860B"/>
            <w:sz w:val="19"/>
          </w:rPr>
          <w:t>CERN &amp; Portal Technology Investigation</w:t>
        </w:r>
      </w:hyperlink>
    </w:p>
    <w:p>
      <w:pPr>
        <w:pBdr>
          <w:bottom w:val="single" w:sz="6" w:space="1" w:color="CCCCCC"/>
        </w:pBdr>
      </w:pPr>
    </w:p>
    <w:p>
      <w:pPr>
        <w:pStyle w:val="Heading3"/>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3"/>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317">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318">
        <w:r>
          <w:rPr>
            <w:b w:val="0"/>
            <w:i w:val="0"/>
            <w:color w:val="B8860B"/>
            <w:sz w:val="19"/>
          </w:rPr>
          <w:t>Remote Viewing as Aether Physics</w:t>
        </w:r>
      </w:hyperlink>
    </w:p>
    <w:p>
      <w:pPr>
        <w:pBdr>
          <w:bottom w:val="single" w:sz="6" w:space="1" w:color="CCCCCC"/>
        </w:pBdr>
      </w:pPr>
    </w:p>
    <w:p>
      <w:pPr>
        <w:pStyle w:val="Heading3"/>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319">
        <w:r>
          <w:rPr>
            <w:b w:val="0"/>
            <w:i w:val="0"/>
            <w:color w:val="B8860B"/>
            <w:sz w:val="19"/>
          </w:rPr>
          <w:t>Nuclear Weapons Investigation</w:t>
        </w:r>
      </w:hyperlink>
    </w:p>
    <w:p>
      <w:pPr>
        <w:pBdr>
          <w:bottom w:val="single" w:sz="6" w:space="1" w:color="CCCCCC"/>
        </w:pBdr>
      </w:pPr>
    </w:p>
    <w:p>
      <w:pPr>
        <w:pStyle w:val="Heading3"/>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3"/>
        <w:keepNext/>
        <w:keepLines/>
      </w:pPr>
      <w:r>
        <w:t>Cross-References</w:t>
      </w:r>
    </w:p>
    <w:p>
      <w:pPr>
        <w:pStyle w:val="ListBullet"/>
        <w:spacing w:before="20" w:after="20"/>
      </w:pPr>
      <w:hyperlink r:id="rId116">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83">
        <w:r>
          <w:rPr>
            <w:b w:val="0"/>
            <w:i w:val="0"/>
            <w:color w:val="B8860B"/>
            <w:sz w:val="19"/>
          </w:rPr>
          <w:t>Pyramids: Myths vs Reality</w:t>
        </w:r>
      </w:hyperlink>
      <w:r>
        <w:rPr>
          <w:b w:val="0"/>
          <w:i w:val="0"/>
          <w:sz w:val="19"/>
        </w:rPr>
        <w:t xml:space="preserve"> — artificial Bifröst / medium-based transport (Rainbow Bridge imagery)</w:t>
      </w:r>
    </w:p>
    <w:p>
      <w:pPr>
        <w:pStyle w:val="ListBullet"/>
        <w:spacing w:before="20" w:after="20"/>
      </w:pPr>
      <w:hyperlink r:id="rId310">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311">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312">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313">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125">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320">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136">
        <w:r>
          <w:rPr>
            <w:b w:val="0"/>
            <w:i w:val="0"/>
            <w:color w:val="B8860B"/>
            <w:sz w:val="19"/>
          </w:rPr>
          <w:t>Operation Mockingbird</w:t>
        </w:r>
      </w:hyperlink>
      <w:r>
        <w:rPr>
          <w:b w:val="0"/>
          <w:i w:val="0"/>
          <w:sz w:val="19"/>
        </w:rPr>
        <w:t xml:space="preserve"> — institutional narrative control</w:t>
      </w:r>
    </w:p>
    <w:p>
      <w:pPr>
        <w:pStyle w:val="Heading4"/>
        <w:keepNext/>
        <w:keepLines/>
      </w:pPr>
      <w:r>
        <w:t>Investigations</w:t>
      </w:r>
    </w:p>
    <w:p>
      <w:pPr>
        <w:pStyle w:val="ListBullet"/>
        <w:spacing w:before="20" w:after="20"/>
      </w:pPr>
      <w:hyperlink r:id="rId314">
        <w:r>
          <w:rPr>
            <w:b w:val="0"/>
            <w:i w:val="0"/>
            <w:color w:val="B8860B"/>
            <w:sz w:val="19"/>
          </w:rPr>
          <w:t>Weather Modification Investigation</w:t>
        </w:r>
      </w:hyperlink>
    </w:p>
    <w:p>
      <w:pPr>
        <w:pStyle w:val="ListBullet"/>
        <w:spacing w:before="20" w:after="20"/>
      </w:pPr>
      <w:hyperlink r:id="rId315">
        <w:r>
          <w:rPr>
            <w:b w:val="0"/>
            <w:i w:val="0"/>
            <w:color w:val="B8860B"/>
            <w:sz w:val="19"/>
          </w:rPr>
          <w:t>Havana Syndrome Investigation</w:t>
        </w:r>
      </w:hyperlink>
    </w:p>
    <w:p>
      <w:pPr>
        <w:pStyle w:val="ListBullet"/>
        <w:spacing w:before="20" w:after="20"/>
      </w:pPr>
      <w:hyperlink r:id="rId316">
        <w:r>
          <w:rPr>
            <w:b w:val="0"/>
            <w:i w:val="0"/>
            <w:color w:val="B8860B"/>
            <w:sz w:val="19"/>
          </w:rPr>
          <w:t>CERN &amp; Portal Technology</w:t>
        </w:r>
      </w:hyperlink>
    </w:p>
    <w:p>
      <w:pPr>
        <w:pStyle w:val="ListBullet"/>
        <w:spacing w:before="20" w:after="20"/>
      </w:pPr>
      <w:hyperlink r:id="rId321">
        <w:r>
          <w:rPr>
            <w:b w:val="0"/>
            <w:i w:val="0"/>
            <w:color w:val="B8860B"/>
            <w:sz w:val="19"/>
          </w:rPr>
          <w:t>The Burden of Proof: Aether Debate</w:t>
        </w:r>
      </w:hyperlink>
    </w:p>
    <w:p>
      <w:pPr>
        <w:pStyle w:val="ListBullet"/>
        <w:spacing w:before="20" w:after="20"/>
      </w:pPr>
      <w:hyperlink r:id="rId319">
        <w:r>
          <w:rPr>
            <w:b w:val="0"/>
            <w:i w:val="0"/>
            <w:color w:val="B8860B"/>
            <w:sz w:val="19"/>
          </w:rPr>
          <w:t>Nuclear Weapons Investigation</w:t>
        </w:r>
      </w:hyperlink>
    </w:p>
    <w:p>
      <w:pPr>
        <w:pStyle w:val="ListBullet"/>
        <w:spacing w:before="20" w:after="20"/>
      </w:pPr>
      <w:hyperlink r:id="rId318">
        <w:r>
          <w:rPr>
            <w:b w:val="0"/>
            <w:i w:val="0"/>
            <w:color w:val="B8860B"/>
            <w:sz w:val="19"/>
          </w:rPr>
          <w:t>Remote Viewing as Aether Physics</w:t>
        </w:r>
      </w:hyperlink>
    </w:p>
    <w:p>
      <w:pPr>
        <w:pStyle w:val="ListBullet"/>
        <w:spacing w:before="20" w:after="20"/>
      </w:pPr>
      <w:hyperlink r:id="rId322">
        <w:r>
          <w:rPr>
            <w:b w:val="0"/>
            <w:i w:val="0"/>
            <w:color w:val="B8860B"/>
            <w:sz w:val="19"/>
          </w:rPr>
          <w:t>SAFIRE Project Archive</w:t>
        </w:r>
      </w:hyperlink>
    </w:p>
    <w:p>
      <w:pPr>
        <w:pStyle w:val="ListBullet"/>
        <w:spacing w:before="20" w:after="20"/>
      </w:pPr>
      <w:hyperlink r:id="rId317">
        <w:r>
          <w:rPr>
            <w:b w:val="0"/>
            <w:i w:val="0"/>
            <w:color w:val="B8860B"/>
            <w:sz w:val="19"/>
          </w:rPr>
          <w:t>Mars–Stock Market Correlation</w:t>
        </w:r>
      </w:hyperlink>
      <w:r>
        <w:rPr>
          <w:b w:val="0"/>
          <w:i w:val="0"/>
          <w:sz w:val="19"/>
        </w:rPr>
        <w:t xml:space="preserve"> — Dow Jones and Mars at lunar node</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Supplementary note for </w:t>
      </w:r>
      <w:hyperlink r:id="rId116">
        <w:r>
          <w:rPr>
            <w:b w:val="0"/>
            <w:i w:val="0"/>
            <w:color w:val="B8860B"/>
          </w:rPr>
          <w:t>Suppression of Maxwell &amp; the Aether</w:t>
        </w:r>
      </w:hyperlink>
      <w:r>
        <w:rPr>
          <w:b w:val="0"/>
          <w:i w:val="0"/>
        </w:rPr>
        <w:t>. Main book voice stays neutral; this appendix carries the explicit thesis.</w:t>
      </w:r>
    </w:p>
    <w:p>
      <w:pPr>
        <w:pBdr>
          <w:bottom w:val="single" w:sz="6" w:space="1" w:color="CCCCCC"/>
        </w:pBdr>
      </w:pPr>
    </w:p>
    <w:p>
      <w:pPr>
        <w:pStyle w:val="Heading3"/>
        <w:keepNext/>
        <w:keepLines/>
      </w:pPr>
      <w:r>
        <w:t>What this appendix is arguing</w:t>
      </w:r>
    </w:p>
    <w:p>
      <w:r>
        <w:rPr>
          <w:b w:val="0"/>
          <w:i w:val="0"/>
        </w:rPr>
        <w:t>Author's thesis: For the vocabulary used in this investigation, Einstein is not filed under “experimental scientist” or “engineer-physicist.” The job title “theoretical physicist,” as it hardened after 1905, names a conceptual–mathematical track where neither rigorous bench proof nor engineering payout is required for career or textbook adoption—equations and consensus can stand in for both.</w:t>
      </w:r>
    </w:p>
    <w:p>
      <w:r>
        <w:rPr>
          <w:b w:val="0"/>
          <w:i w:val="0"/>
        </w:rPr>
        <w:t>Albert Einstein in 1905 was not functioning as a laboratory scientist in the sense that Maxwell, Tesla, or Heaviside’s tradition implies—claims tethered to repeatable bench demonstration and hardware. He was a Swiss patent examiner with formal training, publishing mathematical–conceptual papers. The 1905 package—including E = mc² and the special-relativity kinematics—did the institutional work of retiring the luminiferous aether from respectable discourse without replacing it, in the same move, with a medium model that engineers could treat like Maxwell’s dielectric substrate. In the reading advanced here, that is the real break: ether out, proof optional in.</w:t>
      </w:r>
    </w:p>
    <w:p>
      <w:r>
        <w:rPr>
          <w:b w:val="0"/>
          <w:i w:val="0"/>
        </w:rPr>
        <w:t>Einstein did not “prove” special or general relativity in the sense of a single decisive, adversarial lab protocol comparable to “build this motor and measure torque.” What followed was consensus formation, mathematical elegance, and selective observation—while Einstein’s own hesitations and reversals (on cosmology, quantum completeness, unified field hopes, and even ether language in his 1920 Leiden lecture, where he allowed that general relativity attributes physical properties to space) were flattened by followers and textbooks into a hagiography of certainty. The Leiden gesture is often omitted or neutered in popular accounts because it complicates the story of “Einstein killed the ether forever.”</w:t>
      </w:r>
    </w:p>
    <w:p>
      <w:pPr>
        <w:pBdr>
          <w:bottom w:val="single" w:sz="6" w:space="1" w:color="CCCCCC"/>
        </w:pBdr>
      </w:pPr>
    </w:p>
    <w:p>
      <w:pPr>
        <w:pStyle w:val="Heading3"/>
        <w:keepNext/>
        <w:keepLines/>
      </w:pPr>
      <w:r>
        <w:t>“Theoretical physicist” as a different game</w:t>
      </w:r>
    </w:p>
    <w:p>
      <w:r>
        <w:rPr>
          <w:b w:val="0"/>
          <w:i w:val="0"/>
        </w:rPr>
        <w:t>Theoretical physicist, in the 20th-century institutional sense, names a conceptual–mathematical specialty where falsification by cheap tabletop experiment is often impossible and where peer prestige can substitute for engineering delivery. That is not the same job as industrial electrodynamics. In this investigation’s vocabulary, conflating the two under one honorific “scientist” obscures the epistemic downgrade: structures can live in textbooks as solutions to field equations with minimal independent bench checks.</w:t>
      </w:r>
    </w:p>
    <w:p>
      <w:pPr>
        <w:pBdr>
          <w:bottom w:val="single" w:sz="6" w:space="1" w:color="CCCCCC"/>
        </w:pBdr>
      </w:pPr>
    </w:p>
    <w:p>
      <w:pPr>
        <w:pStyle w:val="Heading3"/>
        <w:keepNext/>
        <w:keepLines/>
      </w:pPr>
      <w:r>
        <w:t>Einstein as controlled opposition in the Maxwell–aether war</w:t>
      </w:r>
    </w:p>
    <w:p>
      <w:r>
        <w:rPr>
          <w:b w:val="0"/>
          <w:i w:val="0"/>
        </w:rPr>
        <w:t xml:space="preserve">Author's thesis: Einstein functioned as controlled opposition in the fight over Maxwell’s medium: he absorbed dissent against naive mechanical ether while blocking return to a substantive aether picture usable by engineers and classified programmes. The visible “revolution” was safe for institutions: it discredited the 19th-century luminiferous frame without restoring Tesla–Heaviside–quaternion richness or declassified medium physics. For the general pattern—heterodox physics managed so the public gets a weak or incomplete version—see </w:t>
      </w:r>
      <w:hyperlink r:id="rId323">
        <w:r>
          <w:rPr>
            <w:b w:val="0"/>
            <w:i w:val="0"/>
            <w:color w:val="B8860B"/>
          </w:rPr>
          <w:t>Controlled Opposition: Appendix</w:t>
        </w:r>
      </w:hyperlink>
      <w:r>
        <w:rPr>
          <w:b w:val="0"/>
          <w:i w:val="0"/>
        </w:rPr>
        <w:t xml:space="preserve"> and </w:t>
      </w:r>
      <w:hyperlink r:id="rId135">
        <w:r>
          <w:rPr>
            <w:b w:val="0"/>
            <w:i w:val="0"/>
            <w:color w:val="B8860B"/>
          </w:rPr>
          <w:t>Thunderbolts: Managed Disclosure</w:t>
        </w:r>
      </w:hyperlink>
      <w:r>
        <w:rPr>
          <w:b w:val="0"/>
          <w:i w:val="0"/>
        </w:rPr>
        <w:t>.</w:t>
      </w:r>
    </w:p>
    <w:p>
      <w:r>
        <w:rPr>
          <w:b w:val="0"/>
          <w:i w:val="0"/>
        </w:rPr>
        <w:t>This is not a claim that every equation bearing Einstein’s name is worthless; it is a claim about institutional function: who benefited when medium-based Maxwell was replaced by empty-space formalism and tensor cosmology.</w:t>
      </w:r>
    </w:p>
    <w:p>
      <w:pPr>
        <w:pBdr>
          <w:bottom w:val="single" w:sz="6" w:space="1" w:color="CCCCCC"/>
        </w:pBdr>
      </w:pPr>
    </w:p>
    <w:p>
      <w:pPr>
        <w:pStyle w:val="Heading3"/>
        <w:keepNext/>
        <w:keepLines/>
      </w:pPr>
      <w:r>
        <w:t>What, on this reading, “Einstein” actually installed</w:t>
      </w:r>
    </w:p>
    <w:p>
      <w:r>
        <w:rPr>
          <w:b w:val="0"/>
          <w:i w:val="0"/>
        </w:rPr>
        <w:t>The lasting legacy—the part that defines his historical role in this reconstruction—is not a single constant in a notebook but a licence structure:</w:t>
      </w:r>
    </w:p>
    <w:p>
      <w:r>
        <w:rPr>
          <w:b w:val="0"/>
          <w:i w:val="0"/>
        </w:rPr>
        <w:t>After 1905, orthodox physics could normalize in textbooks, with little popular resistance:</w:t>
      </w:r>
    </w:p>
    <w:p>
      <w:pPr>
        <w:pStyle w:val="ListBullet"/>
        <w:spacing w:before="20" w:after="20"/>
      </w:pPr>
      <w:r>
        <w:rPr>
          <w:b w:val="0"/>
          <w:i w:val="0"/>
          <w:sz w:val="19"/>
        </w:rPr>
        <w:t>Black holes — metric singularities extrapolated far beyond the lab</w:t>
      </w:r>
    </w:p>
    <w:p>
      <w:pPr>
        <w:pStyle w:val="ListBullet"/>
        <w:spacing w:before="20" w:after="20"/>
      </w:pPr>
      <w:r>
        <w:rPr>
          <w:b w:val="0"/>
          <w:i w:val="0"/>
          <w:sz w:val="19"/>
        </w:rPr>
        <w:t>Big Bang cosmology — narrative closure on model-dependent foundations</w:t>
      </w:r>
    </w:p>
    <w:p>
      <w:pPr>
        <w:pStyle w:val="ListBullet"/>
        <w:spacing w:before="20" w:after="20"/>
      </w:pPr>
      <w:r>
        <w:rPr>
          <w:b w:val="0"/>
          <w:i w:val="0"/>
          <w:sz w:val="19"/>
        </w:rPr>
        <w:t>Dark matter / dark energy — placeholders carrying mass–energy budget without laboratory substance</w:t>
      </w:r>
    </w:p>
    <w:p>
      <w:pPr>
        <w:pStyle w:val="ListBullet"/>
        <w:spacing w:before="20" w:after="20"/>
      </w:pPr>
      <w:r>
        <w:rPr>
          <w:b w:val="0"/>
          <w:i w:val="0"/>
          <w:sz w:val="19"/>
        </w:rPr>
        <w:t>Time travel and closed timelike curves — mathematically entertained as physics</w:t>
      </w:r>
    </w:p>
    <w:p>
      <w:pPr>
        <w:pStyle w:val="ListBullet"/>
        <w:spacing w:before="20" w:after="20"/>
      </w:pPr>
      <w:r>
        <w:rPr>
          <w:b w:val="0"/>
          <w:i w:val="0"/>
          <w:sz w:val="19"/>
        </w:rPr>
        <w:t>Extra dimensions — string/brane programmes as professional career paths</w:t>
      </w:r>
    </w:p>
    <w:p>
      <w:r>
        <w:rPr>
          <w:b w:val="0"/>
          <w:i w:val="0"/>
        </w:rPr>
        <w:t>These need not be equally speculative item-for-item; the common thread is high mathematics + low-cost bench accountability compared to wireless power or plasma discharge engineering. Once the ether was humiliated out of the classroom, the Overton window for unfalsifiable cosmology widened. That is what this appendix means by Einstein’s defining contribution in the managed-narrative sense.</w:t>
      </w:r>
    </w:p>
    <w:p>
      <w:pPr>
        <w:pBdr>
          <w:bottom w:val="single" w:sz="6" w:space="1" w:color="CCCCCC"/>
        </w:pBdr>
      </w:pPr>
    </w:p>
    <w:p>
      <w:pPr>
        <w:pStyle w:val="Heading3"/>
        <w:keepNext/>
        <w:keepLines/>
      </w:pPr>
      <w:r>
        <w:t>Doubts the hagiography downplays (avenues for investigation)</w:t>
      </w:r>
    </w:p>
    <w:p>
      <w:pPr>
        <w:pStyle w:val="ListBullet"/>
        <w:spacing w:before="20" w:after="20"/>
      </w:pPr>
      <w:r>
        <w:rPr>
          <w:b w:val="0"/>
          <w:i w:val="0"/>
          <w:sz w:val="19"/>
        </w:rPr>
        <w:t>Einstein’s correspondence — unease with quantum completeness, second thoughts on cosmological models, tension between field programme and observation</w:t>
      </w:r>
    </w:p>
    <w:p>
      <w:pPr>
        <w:pStyle w:val="ListBullet"/>
        <w:spacing w:before="20" w:after="20"/>
      </w:pPr>
      <w:r>
        <w:rPr>
          <w:b w:val="0"/>
          <w:i w:val="0"/>
          <w:sz w:val="19"/>
        </w:rPr>
        <w:t>1920 Leiden — space endowed with physical qualities; “ether” rehabilitated in words while Maxwell’s engineering medium stayed taboo</w:t>
      </w:r>
    </w:p>
    <w:p>
      <w:pPr>
        <w:pStyle w:val="ListBullet"/>
        <w:spacing w:before="20" w:after="20"/>
      </w:pPr>
      <w:r>
        <w:rPr>
          <w:b w:val="0"/>
          <w:i w:val="0"/>
          <w:sz w:val="19"/>
        </w:rPr>
        <w:t>Priority and publicity — Poincaré, Lorentz, Hilbert (GR); the personality cult as distraction from institutional capture</w:t>
      </w:r>
    </w:p>
    <w:p>
      <w:r>
        <w:rPr>
          <w:b w:val="0"/>
          <w:i w:val="0"/>
        </w:rPr>
        <w:t xml:space="preserve">Investigation stub: expand with dated quotations, primary citations, and cross-links to </w:t>
      </w:r>
      <w:r>
        <w:rPr>
          <w:rFonts w:ascii="JetBrains Mono" w:hAnsi="JetBrains Mono"/>
          <w:sz w:val="20"/>
        </w:rPr>
        <w:t>paradigm-threat-files</w:t>
      </w:r>
      <w:r>
        <w:rPr>
          <w:b w:val="0"/>
          <w:i w:val="0"/>
        </w:rPr>
        <w:t xml:space="preserve"> investigations when filed.</w:t>
      </w:r>
    </w:p>
    <w:p>
      <w:pPr>
        <w:pBdr>
          <w:bottom w:val="single" w:sz="6" w:space="1" w:color="CCCCCC"/>
        </w:pBdr>
      </w:pPr>
    </w:p>
    <w:p>
      <w:pPr>
        <w:pStyle w:val="Heading3"/>
        <w:keepNext/>
        <w:keepLines/>
      </w:pPr>
      <w:r>
        <w:t>See also</w:t>
      </w:r>
    </w:p>
    <w:p>
      <w:pPr>
        <w:pStyle w:val="ListBullet"/>
        <w:spacing w:before="20" w:after="20"/>
      </w:pPr>
      <w:hyperlink r:id="rId116">
        <w:r>
          <w:rPr>
            <w:b w:val="0"/>
            <w:i w:val="0"/>
            <w:color w:val="B8860B"/>
            <w:sz w:val="19"/>
          </w:rPr>
          <w:t>Suppression of Maxwell &amp; the Aether</w:t>
        </w:r>
      </w:hyperlink>
    </w:p>
    <w:p>
      <w:pPr>
        <w:pStyle w:val="ListBullet"/>
        <w:spacing w:before="20" w:after="20"/>
      </w:pPr>
      <w:hyperlink r:id="rId118">
        <w:r>
          <w:rPr>
            <w:b w:val="0"/>
            <w:i w:val="0"/>
            <w:color w:val="B8860B"/>
            <w:sz w:val="19"/>
          </w:rPr>
          <w:t>Suppressed Energy Technology: A Cross-Reference</w:t>
        </w:r>
      </w:hyperlink>
    </w:p>
    <w:p>
      <w:pPr>
        <w:pStyle w:val="ListBullet"/>
        <w:spacing w:before="20" w:after="20"/>
      </w:pPr>
      <w:hyperlink r:id="rId312">
        <w:r>
          <w:rPr>
            <w:b w:val="0"/>
            <w:i w:val="0"/>
            <w:color w:val="B8860B"/>
            <w:sz w:val="19"/>
          </w:rPr>
          <w:t>Challenging Established Physics</w:t>
        </w:r>
      </w:hyperlink>
    </w:p>
    <w:p>
      <w:pPr>
        <w:pStyle w:val="ListBullet"/>
        <w:spacing w:before="20" w:after="20"/>
      </w:pPr>
      <w:hyperlink r:id="rId321">
        <w:r>
          <w:rPr>
            <w:b w:val="0"/>
            <w:i w:val="0"/>
            <w:color w:val="B8860B"/>
            <w:sz w:val="19"/>
          </w:rPr>
          <w:t>Burden of Proof: Aether Debate</w:t>
        </w:r>
      </w:hyperlink>
    </w:p>
    <w:p>
      <w:pPr>
        <w:pStyle w:val="ListBullet"/>
        <w:spacing w:before="20" w:after="20"/>
      </w:pPr>
      <w:hyperlink r:id="rId323">
        <w:r>
          <w:rPr>
            <w:b w:val="0"/>
            <w:i w:val="0"/>
            <w:color w:val="B8860B"/>
            <w:sz w:val="19"/>
          </w:rPr>
          <w:t>Controlled Opposition: Appendix</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Population Control and Displacement</w:t>
      </w:r>
    </w:p>
    <w:p>
      <w:r>
        <w:rPr>
          <w:b w:val="0"/>
          <w:i w:val="0"/>
        </w:rPr>
        <w:t>Timelines and evidence for population control and mass displacement (Orphan Trains, Trail of Tears, Siberian exile) referenced in the main timeline.</w:t>
      </w:r>
    </w:p>
    <w:p>
      <w:pPr>
        <w:pStyle w:val="ListBullet"/>
        <w:spacing w:before="20" w:after="20"/>
      </w:pPr>
      <w:hyperlink r:id="rId154">
        <w:r>
          <w:rPr>
            <w:b w:val="0"/>
            <w:i w:val="0"/>
            <w:color w:val="B8860B"/>
            <w:sz w:val="19"/>
          </w:rPr>
          <w:t>Population Control: A Timeline (15th–21st Centuries)</w:t>
        </w:r>
      </w:hyperlink>
    </w:p>
    <w:p>
      <w:pPr>
        <w:pStyle w:val="ListBullet"/>
        <w:spacing w:before="20" w:after="20"/>
      </w:pPr>
      <w:hyperlink r:id="rId158">
        <w:r>
          <w:rPr>
            <w:b w:val="0"/>
            <w:i w:val="0"/>
            <w:color w:val="B8860B"/>
            <w:sz w:val="19"/>
          </w:rPr>
          <w:t>Orphan Trains, Trail of Tears, Siberian Exile — Extended Evidence</w:t>
        </w:r>
      </w:hyperlink>
    </w:p>
    <w:p>
      <w:pPr>
        <w:pStyle w:val="ListBullet"/>
        <w:spacing w:before="20" w:after="20"/>
      </w:pPr>
      <w:hyperlink r:id="rId159">
        <w:r>
          <w:rPr>
            <w:b w:val="0"/>
            <w:i w:val="0"/>
            <w:color w:val="B8860B"/>
            <w:sz w:val="19"/>
          </w:rPr>
          <w:t>Slow ecological collapse — MFEE through Donner era</w:t>
        </w:r>
      </w:hyperlink>
      <w:r>
        <w:rPr>
          <w:b w:val="0"/>
          <w:i w:val="0"/>
          <w:sz w:val="19"/>
        </w:rPr>
        <w:t xml:space="preserve"> — open investigation: delayed biosphere stress after MFEE as possible context for displacement and famine waves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expands on </w:t>
      </w:r>
      <w:hyperlink r:id="rId154">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3"/>
        <w:keepNext/>
        <w:keepLines/>
      </w:pPr>
      <w:r>
        <w:t>15th Century: The First Man-Made Apocalypse</w:t>
      </w:r>
    </w:p>
    <w:p>
      <w:r>
        <w:rPr>
          <w:b w:val="0"/>
          <w:i w:val="0"/>
        </w:rPr>
      </w:r>
      <w:hyperlink r:id="rId324">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3"/>
        <w:keepNext/>
        <w:keepLines/>
      </w:pPr>
      <w:r>
        <w:t>17th Century: Predicted Apocalypse and Displacement</w:t>
      </w:r>
    </w:p>
    <w:p>
      <w:r>
        <w:rPr>
          <w:b w:val="0"/>
          <w:i w:val="0"/>
        </w:rPr>
      </w:r>
      <w:hyperlink r:id="rId325">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This chronology treats 1666 as a </w:t>
      </w:r>
      <w:r>
        <w:rPr>
          <w:b/>
          <w:i w:val="0"/>
        </w:rPr>
        <w:t>climax of the Deep State</w:t>
      </w:r>
      <w:r>
        <w:rPr>
          <w:b w:val="0"/>
          <w:i w:val="0"/>
        </w:rPr>
        <w:t xml:space="preserve">: a public trained to expect </w:t>
      </w:r>
      <w:r>
        <w:rPr>
          <w:b w:val="0"/>
          <w:i/>
        </w:rPr>
        <w:t>God</w:t>
      </w:r>
      <w:r>
        <w:rPr>
          <w:b w:val="0"/>
          <w:i w:val="0"/>
        </w:rPr>
        <w:t xml:space="preserve"> or </w:t>
      </w:r>
      <w:r>
        <w:rPr>
          <w:b w:val="0"/>
          <w:i/>
        </w:rPr>
        <w:t>Jesus</w:t>
      </w:r>
      <w:r>
        <w:rPr>
          <w:b w:val="0"/>
          <w:i w:val="0"/>
        </w:rPr>
        <w:t xml:space="preserve"> in apocalyptic fire instead saw fiduciary and canonical machinery advance—</w:t>
      </w:r>
      <w:r>
        <w:rPr>
          <w:b/>
          <w:i w:val="0"/>
        </w:rPr>
        <w:t>the Beast</w:t>
      </w:r>
      <w:r>
        <w:rPr>
          <w:b w:val="0"/>
          <w:i w:val="0"/>
        </w:rPr>
        <w:t xml:space="preserve"> in sacred dress—after which the same continuity could risk </w:t>
      </w:r>
      <w:r>
        <w:rPr>
          <w:b/>
          <w:i w:val="0"/>
        </w:rPr>
        <w:t>visible</w:t>
      </w:r>
      <w:r>
        <w:rPr>
          <w:b w:val="0"/>
          <w:i w:val="0"/>
        </w:rPr>
        <w:t xml:space="preserve"> pyramidal branding in later centuries while still working </w:t>
      </w:r>
      <w:r>
        <w:rPr>
          <w:b/>
          <w:i w:val="0"/>
        </w:rPr>
        <w:t>deeply</w:t>
      </w:r>
      <w:r>
        <w:rPr>
          <w:b w:val="0"/>
          <w:i w:val="0"/>
        </w:rPr>
        <w:t xml:space="preserve"> through institutions and suppressed knowledge (see the main article).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3"/>
        <w:keepNext/>
        <w:keepLines/>
      </w:pPr>
      <w:r>
        <w:t>19th–20th Century: Institutional Suppression</w:t>
      </w:r>
    </w:p>
    <w:p>
      <w:r>
        <w:rPr>
          <w:b w:val="0"/>
          <w:i w:val="0"/>
        </w:rPr>
      </w:r>
      <w:hyperlink r:id="rId117">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158">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3"/>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32">
        <w:r>
          <w:rPr>
            <w:b w:val="0"/>
            <w:i w:val="0"/>
            <w:color w:val="B8860B"/>
          </w:rPr>
          <w:t>Predictive Programming in Film, Television, and Games</w:t>
        </w:r>
      </w:hyperlink>
      <w:r>
        <w:rPr>
          <w:b w:val="0"/>
          <w:i w:val="0"/>
        </w:rPr>
        <w:t>.</w:t>
      </w:r>
    </w:p>
    <w:p>
      <w:pPr>
        <w:pBdr>
          <w:bottom w:val="single" w:sz="6" w:space="1" w:color="CCCCCC"/>
        </w:pBdr>
      </w:pPr>
    </w:p>
    <w:p>
      <w:pPr>
        <w:pStyle w:val="Heading3"/>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3"/>
        <w:keepNext/>
        <w:keepLines/>
      </w:pPr>
      <w:r>
        <w:t>Cross-References</w:t>
      </w:r>
    </w:p>
    <w:p>
      <w:pPr>
        <w:pStyle w:val="ListBullet"/>
        <w:spacing w:before="20" w:after="20"/>
      </w:pPr>
      <w:hyperlink r:id="rId154">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324">
        <w:r>
          <w:rPr>
            <w:b w:val="0"/>
            <w:i w:val="0"/>
            <w:color w:val="B8860B"/>
            <w:sz w:val="19"/>
          </w:rPr>
          <w:t>The Apocalypse Crusade</w:t>
        </w:r>
      </w:hyperlink>
    </w:p>
    <w:p>
      <w:pPr>
        <w:pStyle w:val="ListBullet"/>
        <w:spacing w:before="20" w:after="20"/>
      </w:pPr>
      <w:hyperlink r:id="rId325">
        <w:r>
          <w:rPr>
            <w:b w:val="0"/>
            <w:i w:val="0"/>
            <w:color w:val="B8860B"/>
            <w:sz w:val="19"/>
          </w:rPr>
          <w:t>London Burns to the Ground</w:t>
        </w:r>
      </w:hyperlink>
    </w:p>
    <w:p>
      <w:pPr>
        <w:pStyle w:val="ListBullet"/>
        <w:spacing w:before="20" w:after="20"/>
      </w:pPr>
      <w:hyperlink r:id="rId117">
        <w:r>
          <w:rPr>
            <w:b w:val="0"/>
            <w:i w:val="0"/>
            <w:color w:val="B8860B"/>
            <w:sz w:val="19"/>
          </w:rPr>
          <w:t>The Flexner Report</w:t>
        </w:r>
      </w:hyperlink>
    </w:p>
    <w:p>
      <w:pPr>
        <w:pStyle w:val="ListBullet"/>
        <w:spacing w:before="20" w:after="20"/>
      </w:pPr>
      <w:hyperlink r:id="rId132">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Historical Antibodies: Pattern Analysis</w:t>
      </w:r>
    </w:p>
    <w:p>
      <w:r>
        <w:rPr>
          <w:b w:val="0"/>
          <w:i w:val="0"/>
        </w:rPr>
        <w:t xml:space="preserve">This appendix extends the main </w:t>
      </w:r>
      <w:hyperlink r:id="rId326">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141">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137">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133">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327">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243">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141">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234">
        <w:r>
          <w:rPr>
            <w:b w:val="0"/>
            <w:i w:val="0"/>
            <w:color w:val="B8860B"/>
            <w:sz w:val="19"/>
          </w:rPr>
          <w:t>Historical Antibodies: Detailed Profiles</w:t>
        </w:r>
      </w:hyperlink>
      <w:r>
        <w:rPr>
          <w:b w:val="0"/>
          <w:i w:val="0"/>
          <w:sz w:val="19"/>
        </w:rPr>
        <w:t xml:space="preserve"> — full evidentiary record (Lewis encoding analysis, Ellsberg chronology)</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provides an evidentiary record for the antibody figures introduced in </w:t>
      </w:r>
      <w:hyperlink r:id="rId326">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3"/>
        <w:keepNext/>
        <w:keepLines/>
      </w:pPr>
      <w:r>
        <w:t>Daniel Ellsberg (1931–2023): Full Chronology</w:t>
      </w:r>
    </w:p>
    <w:p>
      <w:pPr>
        <w:pStyle w:val="Heading4"/>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4"/>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4"/>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4"/>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4"/>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3"/>
        <w:keepNext/>
        <w:keepLines/>
      </w:pPr>
      <w:r>
        <w:t>Sources</w:t>
      </w:r>
    </w:p>
    <w:p>
      <w:pPr>
        <w:pStyle w:val="Heading4"/>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4"/>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Pr>
        <w:pStyle w:val="Heading3"/>
        <w:keepNext/>
        <w:keepLines/>
      </w:pPr>
      <w:r>
        <w:t>C.S. Lewis (1898–1963): Full Encoding Analysis</w:t>
      </w:r>
    </w:p>
    <w:p>
      <w:pPr>
        <w:pStyle w:val="Heading4"/>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4"/>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4"/>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4"/>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
      <w:pPr>
        <w:jc w:val="center"/>
      </w:pPr>
      <w:r>
        <w:rPr>
          <w:color w:val="B8860B"/>
          <w:sz w:val="24"/>
        </w:rPr>
        <w:t>— ✦ —</w:t>
      </w:r>
    </w:p>
    <w:p>
      <w:r>
        <w:rPr>
          <w:b w:val="0"/>
          <w:i w:val="0"/>
        </w:rPr>
        <w:t xml:space="preserve">Extended evidence for </w:t>
      </w:r>
      <w:hyperlink r:id="rId328">
        <w:r>
          <w:rPr>
            <w:b w:val="0"/>
            <w:i w:val="0"/>
            <w:color w:val="B8860B"/>
          </w:rPr>
          <w:t>Trump: The Antibody That Survived Crucifixion</w:t>
        </w:r>
      </w:hyperlink>
      <w:r>
        <w:rPr>
          <w:b w:val="0"/>
          <w:i w:val="0"/>
        </w:rPr>
        <w:t xml:space="preserve">: Patton connection, Epstein test, German heritage, and full citation inventory. The main timeline article develops the strategic reading (sin-eater antibody, late-term gravity of outrage, inception logic tied to </w:t>
      </w:r>
      <w:r>
        <w:rPr>
          <w:b w:val="0"/>
          <w:i/>
        </w:rPr>
        <w:t>The Art of the Deal</w:t>
      </w:r>
      <w:r>
        <w:rPr>
          <w:b w:val="0"/>
          <w:i w:val="0"/>
        </w:rPr>
        <w:t>, and provisional book closure); this appendix stays with documentary and biographical hooks.</w:t>
      </w:r>
    </w:p>
    <w:p>
      <w:pPr>
        <w:pStyle w:val="Heading3"/>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329">
        <w:r>
          <w:rPr>
            <w:b w:val="0"/>
            <w:i w:val="0"/>
            <w:color w:val="B8860B"/>
          </w:rPr>
          <w:t>Library of Congress</w:t>
        </w:r>
      </w:hyperlink>
      <w:r>
        <w:rPr>
          <w:b w:val="0"/>
          <w:i w:val="0"/>
        </w:rPr>
        <w:t xml:space="preserve">. Persistent rumour (QAnon; aggressively debunked): biological paternity. See </w:t>
      </w:r>
      <w:hyperlink r:id="rId330">
        <w:r>
          <w:rPr>
            <w:b w:val="0"/>
            <w:i w:val="0"/>
            <w:color w:val="B8860B"/>
          </w:rPr>
          <w:t>Trump Investigation</w:t>
        </w:r>
      </w:hyperlink>
      <w:r>
        <w:rPr>
          <w:b w:val="0"/>
          <w:i w:val="0"/>
        </w:rPr>
        <w:t>.</w:t>
      </w:r>
    </w:p>
    <w:p>
      <w:pPr>
        <w:pStyle w:val="Heading3"/>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3"/>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330">
        <w:r>
          <w:rPr>
            <w:b w:val="0"/>
            <w:i w:val="0"/>
            <w:color w:val="B8860B"/>
          </w:rPr>
          <w:t>Trump investigation</w:t>
        </w:r>
      </w:hyperlink>
      <w:r>
        <w:rPr>
          <w:b w:val="0"/>
          <w:i w:val="0"/>
        </w:rPr>
        <w:t>.</w:t>
      </w:r>
    </w:p>
    <w:p>
      <w:pPr>
        <w:pStyle w:val="Heading3"/>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330">
        <w:r>
          <w:rPr>
            <w:b w:val="0"/>
            <w:i w:val="0"/>
            <w:color w:val="B8860B"/>
          </w:rPr>
          <w:t>Trump Investigation</w:t>
        </w:r>
      </w:hyperlink>
      <w:r>
        <w:rPr>
          <w:b w:val="0"/>
          <w:i w:val="0"/>
        </w:rPr>
        <w:t>.</w:t>
      </w:r>
    </w:p>
    <w:p/>
    <w:p>
      <w:pPr>
        <w:sectPr>
          <w:headerReference w:type="default" r:id="rId308"/>
          <w:footerReference w:type="default" r:id="rId309"/>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XXI</w:t>
      </w:r>
    </w:p>
    <w:p>
      <w:pPr>
        <w:pStyle w:val="Heading1"/>
        <w:jc w:val="center"/>
      </w:pPr>
      <w:r>
        <w:rPr>
          <w:b/>
        </w:rPr>
        <w:t>Appendix — Cataclysm and Memory</w:t>
      </w:r>
    </w:p>
    <w:p>
      <w:r>
        <w:rPr>
          <w:b w:val="0"/>
          <w:i w:val="0"/>
        </w:rPr>
        <w:t xml:space="preserve">Mudflood and late cataclysm evidence, displacement memory, and related lexical notes. Chapters use </w:t>
      </w:r>
      <w:r>
        <w:rPr>
          <w:rFonts w:ascii="JetBrains Mono" w:hAnsi="JetBrains Mono"/>
          <w:sz w:val="20"/>
        </w:rPr>
        <w:t>21.53.*</w:t>
      </w:r>
      <w:r>
        <w:rPr>
          <w:b w:val="0"/>
          <w:i w:val="0"/>
        </w:rPr>
        <w:t xml:space="preserve">, </w:t>
      </w:r>
      <w:r>
        <w:rPr>
          <w:rFonts w:ascii="JetBrains Mono" w:hAnsi="JetBrains Mono"/>
          <w:sz w:val="20"/>
        </w:rPr>
        <w:t>21.56.*</w:t>
      </w:r>
      <w:r>
        <w:rPr>
          <w:b w:val="0"/>
          <w:i w:val="0"/>
        </w:rPr>
        <w:t>.</w:t>
      </w:r>
    </w:p>
    <w:p>
      <w:r>
        <w:rPr>
          <w:b w:val="0"/>
          <w:i w:val="0"/>
        </w:rPr>
        <w:t xml:space="preserve">See </w:t>
      </w:r>
      <w:hyperlink r:id="rId11">
        <w:r>
          <w:rPr>
            <w:b w:val="0"/>
            <w:i w:val="0"/>
            <w:color w:val="B8860B"/>
          </w:rPr>
          <w:t>Appendix — Volume Contents</w:t>
        </w:r>
      </w:hyperlink>
      <w:r>
        <w:rPr>
          <w:b w:val="0"/>
          <w:i w:val="0"/>
        </w:rPr>
        <w:t xml:space="preserve"> for the full supplementary map.</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The MudFlood and World Cataclysm</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178">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333">
        <w:r>
          <w:rPr>
            <w:b w:val="0"/>
            <w:i w:val="0"/>
            <w:color w:val="B8860B"/>
          </w:rPr>
          <w:t>The Trail of Tears: A Century-Long Erasure</w:t>
        </w:r>
      </w:hyperlink>
      <w:r>
        <w:rPr>
          <w:b w:val="0"/>
          <w:i w:val="0"/>
        </w:rPr>
        <w:t xml:space="preserve"> and </w:t>
      </w:r>
      <w:hyperlink r:id="rId334">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Pr>
        <w:pStyle w:val="Heading2"/>
        <w:keepNext/>
        <w:keepLines/>
      </w:pPr>
      <w:r>
        <w:t>Chronology investigations (open)</w:t>
      </w:r>
    </w:p>
    <w:p>
      <w:pPr>
        <w:pStyle w:val="ListBullet"/>
        <w:spacing w:before="20" w:after="20"/>
      </w:pPr>
      <w:hyperlink r:id="rId159">
        <w:r>
          <w:rPr>
            <w:b w:val="0"/>
            <w:i w:val="0"/>
            <w:color w:val="B8860B"/>
            <w:sz w:val="19"/>
          </w:rPr>
          <w:t>Slow ecological collapse — MFEE through Donner era</w:t>
        </w:r>
      </w:hyperlink>
      <w:r>
        <w:rPr>
          <w:b w:val="0"/>
          <w:i w:val="0"/>
          <w:sz w:val="19"/>
        </w:rPr>
        <w:t xml:space="preserve"> — delayed trophic stress, Trail of Tears / orphan trains as correlates, Donner Party and Irish famine as late pulses; full write-up in paradigm-threat-files.</w:t>
      </w:r>
    </w:p>
    <w:p>
      <w:pPr>
        <w:pStyle w:val="ListBullet"/>
        <w:spacing w:before="20" w:after="20"/>
      </w:pPr>
      <w:hyperlink r:id="rId160">
        <w:r>
          <w:rPr>
            <w:b w:val="0"/>
            <w:i w:val="0"/>
            <w:color w:val="B8860B"/>
            <w:sz w:val="19"/>
          </w:rPr>
          <w:t>“New World” naming, MFEE, and colonization memory</w:t>
        </w:r>
      </w:hyperlink>
      <w:r>
        <w:rPr>
          <w:b w:val="0"/>
          <w:i w:val="0"/>
          <w:sz w:val="19"/>
        </w:rPr>
        <w:t xml:space="preserve"> — </w:t>
      </w:r>
      <w:r>
        <w:rPr>
          <w:b w:val="0"/>
          <w:i/>
          <w:sz w:val="19"/>
        </w:rPr>
        <w:t>Mundus Novus</w:t>
      </w:r>
      <w:r>
        <w:rPr>
          <w:b w:val="0"/>
          <w:i w:val="0"/>
          <w:sz w:val="19"/>
        </w:rPr>
        <w:t xml:space="preserve"> / “New” toponyms vs post-catastrophe repopulation and Columbus-era narrative splice; full write-up in paradigm-threat-files.</w:t>
      </w:r>
    </w:p>
    <w:p/>
    <w:p>
      <w:pPr>
        <w:jc w:val="center"/>
      </w:pPr>
      <w:r>
        <w:rPr>
          <w:color w:val="B8860B"/>
          <w:sz w:val="24"/>
        </w:rPr>
        <w:t>— ✦ —</w:t>
      </w:r>
    </w:p>
    <w:p>
      <w:pPr>
        <w:pStyle w:val="Quote"/>
      </w:pPr>
      <w:r>
        <w:rPr>
          <w:b w:val="0"/>
          <w:i w:val="0"/>
          <w:sz w:val="19"/>
        </w:rPr>
      </w:r>
      <w:r>
        <w:rPr>
          <w:b/>
          <w:i w:val="0"/>
          <w:sz w:val="19"/>
        </w:rPr>
        <w:t>TL;DR:</w:t>
      </w:r>
      <w:r>
        <w:rPr>
          <w:b w:val="0"/>
          <w:i w:val="0"/>
          <w:sz w:val="19"/>
        </w:rPr>
        <w:t xml:space="preserve"> TODO</w:t>
      </w:r>
    </w:p>
    <w:p>
      <w:r>
        <w:rPr>
          <w:b w:val="0"/>
          <w:i w:val="0"/>
        </w:rPr>
        <w:t xml:space="preserve">This appendix extends </w:t>
      </w:r>
      <w:hyperlink r:id="rId333">
        <w:r>
          <w:rPr>
            <w:b w:val="0"/>
            <w:i w:val="0"/>
            <w:color w:val="B8860B"/>
          </w:rPr>
          <w:t>The Trail of Tears: A Century-Long Erasure (1758–1839+)</w:t>
        </w:r>
      </w:hyperlink>
      <w:r>
        <w:rPr>
          <w:b w:val="0"/>
          <w:i w:val="0"/>
        </w:rPr>
        <w:t xml:space="preserve"> and </w:t>
      </w:r>
      <w:hyperlink r:id="rId158">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178">
        <w:r>
          <w:rPr>
            <w:b w:val="0"/>
            <w:i w:val="0"/>
            <w:color w:val="B8860B"/>
          </w:rPr>
          <w:t>MudFlood Energetic Event</w:t>
        </w:r>
      </w:hyperlink>
      <w:r>
        <w:rPr>
          <w:b w:val="0"/>
          <w:i w:val="0"/>
        </w:rPr>
        <w:t xml:space="preserve"> (~1774) — </w:t>
      </w:r>
      <w:r>
        <w:rPr>
          <w:b/>
          <w:i w:val="0"/>
        </w:rPr>
        <w:t xml:space="preserve">see the primary article: </w:t>
      </w:r>
      <w:hyperlink r:id="rId333">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158">
        <w:r>
          <w:rPr>
            <w:b w:val="0"/>
            <w:i w:val="0"/>
            <w:color w:val="B8860B"/>
          </w:rPr>
          <w:t>Orphan Trains, Trail of Tears, and Exile to Siberia</w:t>
        </w:r>
      </w:hyperlink>
      <w:r>
        <w:rPr>
          <w:b w:val="0"/>
          <w:i w:val="0"/>
        </w:rPr>
        <w:t>.</w:t>
      </w:r>
    </w:p>
    <w:p>
      <w:pPr>
        <w:pBdr>
          <w:bottom w:val="single" w:sz="6" w:space="1" w:color="CCCCCC"/>
        </w:pBdr>
      </w:pPr>
    </w:p>
    <w:p>
      <w:pPr>
        <w:pStyle w:val="Heading3"/>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3"/>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3"/>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178">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3"/>
        <w:keepNext/>
        <w:keepLines/>
      </w:pPr>
      <w:r>
        <w:t>See Also</w:t>
      </w:r>
    </w:p>
    <w:p>
      <w:pPr>
        <w:pStyle w:val="ListBullet"/>
        <w:spacing w:before="20" w:after="20"/>
      </w:pPr>
      <w:hyperlink r:id="rId333">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158">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175">
        <w:r>
          <w:rPr>
            <w:b w:val="0"/>
            <w:i w:val="0"/>
            <w:color w:val="B8860B"/>
            <w:sz w:val="19"/>
          </w:rPr>
          <w:t>Pugachev Rebellion</w:t>
        </w:r>
      </w:hyperlink>
      <w:r>
        <w:rPr>
          <w:b w:val="0"/>
          <w:i w:val="0"/>
          <w:sz w:val="19"/>
        </w:rPr>
        <w:t xml:space="preserve"> | </w:t>
      </w:r>
      <w:hyperlink r:id="rId178">
        <w:r>
          <w:rPr>
            <w:b w:val="0"/>
            <w:i w:val="0"/>
            <w:color w:val="B8860B"/>
            <w:sz w:val="19"/>
          </w:rPr>
          <w:t>MudFlood</w:t>
        </w:r>
      </w:hyperlink>
    </w:p>
    <w:p>
      <w:pPr>
        <w:pStyle w:val="ListBullet"/>
        <w:spacing w:before="20" w:after="20"/>
      </w:pPr>
      <w:hyperlink r:id="rId335">
        <w:r>
          <w:rPr>
            <w:b w:val="0"/>
            <w:i w:val="0"/>
            <w:color w:val="B8860B"/>
            <w:sz w:val="19"/>
          </w:rPr>
          <w:t>Orphan Trains Investigation</w:t>
        </w:r>
      </w:hyperlink>
    </w:p>
    <w:p>
      <w:pPr>
        <w:pStyle w:val="ListBullet"/>
        <w:spacing w:before="20" w:after="20"/>
      </w:pPr>
      <w:hyperlink r:id="rId334">
        <w:r>
          <w:rPr>
            <w:b w:val="0"/>
            <w:i w:val="0"/>
            <w:color w:val="B8860B"/>
            <w:sz w:val="19"/>
          </w:rPr>
          <w:t>Common Questions: Maya civilization collapse</w:t>
        </w:r>
      </w:hyperlink>
      <w:r>
        <w:rPr>
          <w:b w:val="0"/>
          <w:i w:val="0"/>
          <w:sz w:val="19"/>
        </w:rPr>
        <w:t xml:space="preserve"> — redacted history, pyramids, Catholic takeover, genocide denial</w:t>
      </w:r>
    </w:p>
    <w:p/>
    <w:p>
      <w:pPr>
        <w:jc w:val="center"/>
      </w:pPr>
      <w:r>
        <w:rPr>
          <w:color w:val="B8860B"/>
          <w:sz w:val="24"/>
        </w:rPr>
        <w:t>— ✦ —</w:t>
      </w:r>
    </w:p>
    <w:p>
      <w:r>
        <w:rPr>
          <w:b w:val="0"/>
          <w:i w:val="0"/>
        </w:rPr>
        <w:t xml:space="preserve">This appendix summarizes an </w:t>
      </w:r>
      <w:r>
        <w:rPr>
          <w:b/>
          <w:i w:val="0"/>
        </w:rPr>
        <w:t>open investigation</w:t>
      </w:r>
      <w:r>
        <w:rPr>
          <w:b w:val="0"/>
          <w:i w:val="0"/>
        </w:rPr>
        <w:t xml:space="preserve"> in paradigm-threat-files: a </w:t>
      </w:r>
      <w:r>
        <w:rPr>
          <w:b/>
          <w:i w:val="0"/>
        </w:rPr>
        <w:t>possible</w:t>
      </w:r>
      <w:r>
        <w:rPr>
          <w:b w:val="0"/>
          <w:i w:val="0"/>
        </w:rPr>
        <w:t xml:space="preserve"> decades-long biological aftershock after the acute </w:t>
      </w:r>
      <w:hyperlink r:id="rId178">
        <w:r>
          <w:rPr>
            <w:b w:val="0"/>
            <w:i w:val="0"/>
            <w:color w:val="B8860B"/>
          </w:rPr>
          <w:t>MudFlood Energetic Event</w:t>
        </w:r>
      </w:hyperlink>
      <w:r>
        <w:rPr>
          <w:b w:val="0"/>
          <w:i w:val="0"/>
        </w:rPr>
        <w:t xml:space="preserve"> (~1774 CE), running into the </w:t>
      </w:r>
      <w:r>
        <w:rPr>
          <w:b/>
          <w:i w:val="0"/>
        </w:rPr>
        <w:t>1840s–50s</w:t>
      </w:r>
      <w:r>
        <w:rPr>
          <w:b w:val="0"/>
          <w:i w:val="0"/>
        </w:rPr>
        <w:t>.</w:t>
      </w:r>
    </w:p>
    <w:p>
      <w:r>
        <w:rPr>
          <w:b w:val="0"/>
          <w:i w:val="0"/>
        </w:rPr>
        <w:t xml:space="preserve">The thesis is </w:t>
      </w:r>
      <w:r>
        <w:rPr>
          <w:b/>
          <w:i w:val="0"/>
        </w:rPr>
        <w:t>not</w:t>
      </w:r>
      <w:r>
        <w:rPr>
          <w:b w:val="0"/>
          <w:i w:val="0"/>
        </w:rPr>
        <w:t xml:space="preserve"> that every disaster of the period was natural. It asks whether </w:t>
      </w:r>
      <w:r>
        <w:rPr>
          <w:b/>
          <w:i w:val="0"/>
        </w:rPr>
        <w:t>trophic collapse</w:t>
      </w:r>
      <w:r>
        <w:rPr>
          <w:b w:val="0"/>
          <w:i w:val="0"/>
        </w:rPr>
        <w:t xml:space="preserve"> could </w:t>
      </w:r>
      <w:r>
        <w:rPr>
          <w:b/>
          <w:i w:val="0"/>
        </w:rPr>
        <w:t>lag</w:t>
      </w:r>
      <w:r>
        <w:rPr>
          <w:b w:val="0"/>
          <w:i w:val="0"/>
        </w:rPr>
        <w:t xml:space="preserve"> the mud burial: soil biota and invertebrates first, then birds and game, then crops and herds, with </w:t>
      </w:r>
      <w:r>
        <w:rPr>
          <w:b/>
          <w:i w:val="0"/>
        </w:rPr>
        <w:t>humans</w:t>
      </w:r>
      <w:r>
        <w:rPr>
          <w:b w:val="0"/>
          <w:i w:val="0"/>
        </w:rPr>
        <w:t xml:space="preserve"> lasting longest on </w:t>
      </w:r>
      <w:r>
        <w:rPr>
          <w:b/>
          <w:i w:val="0"/>
        </w:rPr>
        <w:t>stored food, rationing, and consolidation</w:t>
      </w:r>
      <w:r>
        <w:rPr>
          <w:b w:val="0"/>
          <w:i w:val="0"/>
        </w:rPr>
        <w:t xml:space="preserve">. </w:t>
      </w:r>
      <w:r>
        <w:rPr>
          <w:b/>
          <w:i w:val="0"/>
        </w:rPr>
        <w:t>Cannibalism</w:t>
      </w:r>
      <w:r>
        <w:rPr>
          <w:b w:val="0"/>
          <w:i w:val="0"/>
        </w:rPr>
        <w:t xml:space="preserve"> (e.g. </w:t>
      </w:r>
      <w:hyperlink r:id="rId336">
        <w:r>
          <w:rPr>
            <w:b w:val="0"/>
            <w:i w:val="0"/>
            <w:color w:val="B8860B"/>
          </w:rPr>
          <w:t>Donner Party</w:t>
        </w:r>
      </w:hyperlink>
      <w:r>
        <w:rPr>
          <w:b w:val="0"/>
          <w:i w:val="0"/>
        </w:rPr>
        <w:t xml:space="preserve">, 1846–47) is treated as a </w:t>
      </w:r>
      <w:r>
        <w:rPr>
          <w:b/>
          <w:i w:val="0"/>
        </w:rPr>
        <w:t>terminal</w:t>
      </w:r>
      <w:r>
        <w:rPr>
          <w:b w:val="0"/>
          <w:i w:val="0"/>
        </w:rPr>
        <w:t xml:space="preserve"> phase after other options fail. </w:t>
      </w:r>
      <w:r>
        <w:rPr>
          <w:b/>
          <w:i w:val="0"/>
        </w:rPr>
        <w:t>Trail of Tears</w:t>
      </w:r>
      <w:r>
        <w:rPr>
          <w:b w:val="0"/>
          <w:i w:val="0"/>
        </w:rPr>
        <w:t xml:space="preserve">, </w:t>
      </w:r>
      <w:r>
        <w:rPr>
          <w:b/>
          <w:i w:val="0"/>
        </w:rPr>
        <w:t>orphan trains</w:t>
      </w:r>
      <w:r>
        <w:rPr>
          <w:b w:val="0"/>
          <w:i w:val="0"/>
        </w:rPr>
        <w:t xml:space="preserve">, and the </w:t>
      </w:r>
      <w:r>
        <w:rPr>
          <w:b/>
          <w:i w:val="0"/>
        </w:rPr>
        <w:t>Irish Great Famine</w:t>
      </w:r>
      <w:r>
        <w:rPr>
          <w:b w:val="0"/>
          <w:i w:val="0"/>
        </w:rPr>
        <w:t xml:space="preserve"> appear as </w:t>
      </w:r>
      <w:r>
        <w:rPr>
          <w:b/>
          <w:i w:val="0"/>
        </w:rPr>
        <w:t>correlates</w:t>
      </w:r>
      <w:r>
        <w:rPr>
          <w:b w:val="0"/>
          <w:i w:val="0"/>
        </w:rPr>
        <w:t xml:space="preserve"> — the last also readable as </w:t>
      </w:r>
      <w:r>
        <w:rPr>
          <w:b/>
          <w:i w:val="0"/>
        </w:rPr>
        <w:t>genocide-by-logistics</w:t>
      </w:r>
      <w:r>
        <w:rPr>
          <w:b w:val="0"/>
          <w:i w:val="0"/>
        </w:rPr>
        <w:t xml:space="preserve"> if food routes were closed during late stress.</w:t>
      </w:r>
    </w:p>
    <w:p>
      <w:r>
        <w:rPr>
          <w:b w:val="0"/>
          <w:i w:val="0"/>
        </w:rPr>
        <w:t xml:space="preserve">The Donner episode is often bracketed with the Forlorn Hope (1846–47), the snowshoe party that split off to fetch help and left a short, well-documented trail of starvation, killing, and cannibalism among the dead. The Lost ’49ers (1849), seeking a shortcut to the diggings, were driven into the Death Valley country and died chiefly of thirst and exposure until outside relief arrived—a parallel “wrong turn” disaster without the Sierra snow narrative. Many 1840s–50s trains that fell behind and met early winter in the Sierra or Rockies starved on a smaller scale; cannibalism at sea under famine (e.g. </w:t>
      </w:r>
      <w:r>
        <w:rPr>
          <w:b w:val="0"/>
          <w:i/>
        </w:rPr>
        <w:t>Essex</w:t>
      </w:r>
      <w:r>
        <w:rPr>
          <w:b w:val="0"/>
          <w:i w:val="0"/>
        </w:rPr>
        <w:t>, 1820) shows the same last resort predating the overland gold rush.</w:t>
      </w:r>
    </w:p>
    <w:p>
      <w:r>
        <w:rPr>
          <w:b w:val="0"/>
          <w:i w:val="0"/>
        </w:rPr>
      </w:r>
      <w:r>
        <w:rPr>
          <w:b/>
          <w:i w:val="0"/>
        </w:rPr>
        <w:t>Full investigation (sources, boundaries, open questions):</w:t>
      </w:r>
      <w:r>
        <w:rPr>
          <w:b w:val="0"/>
          <w:i w:val="0"/>
        </w:rPr>
        <w:t xml:space="preserve"> </w:t>
      </w:r>
      <w:hyperlink r:id="rId337">
        <w:r>
          <w:rPr>
            <w:b w:val="0"/>
            <w:i w:val="0"/>
            <w:color w:val="B8860B"/>
          </w:rPr>
          <w:t>/history/chronology/investigations/slow-ecological-collapse-mfee-through-donner-era.md</w:t>
        </w:r>
      </w:hyperlink>
    </w:p>
    <w:p>
      <w:r>
        <w:rPr>
          <w:b w:val="0"/>
          <w:i w:val="0"/>
        </w:rPr>
      </w:r>
      <w:r>
        <w:rPr>
          <w:b/>
          <w:i w:val="0"/>
        </w:rPr>
        <w:t>Timeline context:</w:t>
      </w:r>
      <w:r>
        <w:rPr>
          <w:b w:val="0"/>
          <w:i w:val="0"/>
        </w:rPr>
        <w:t xml:space="preserve"> </w:t>
      </w:r>
      <w:hyperlink r:id="rId108">
        <w:r>
          <w:rPr>
            <w:b w:val="0"/>
            <w:i w:val="0"/>
            <w:color w:val="B8860B"/>
          </w:rPr>
          <w:t>MudFlood: Extended Evidence</w:t>
        </w:r>
      </w:hyperlink>
      <w:r>
        <w:rPr>
          <w:b w:val="0"/>
          <w:i w:val="0"/>
        </w:rPr>
        <w:t xml:space="preserve"> · </w:t>
      </w:r>
      <w:hyperlink r:id="rId158">
        <w:r>
          <w:rPr>
            <w:b w:val="0"/>
            <w:i w:val="0"/>
            <w:color w:val="B8860B"/>
          </w:rPr>
          <w:t>Orphan trains &amp; Trail of Tears — extended</w:t>
        </w:r>
      </w:hyperlink>
      <w:r>
        <w:rPr>
          <w:b w:val="0"/>
          <w:i w:val="0"/>
        </w:rPr>
        <w:t xml:space="preserve"> · </w:t>
      </w:r>
      <w:hyperlink r:id="rId333">
        <w:r>
          <w:rPr>
            <w:b w:val="0"/>
            <w:i w:val="0"/>
            <w:color w:val="B8860B"/>
          </w:rPr>
          <w:t>Trail of Tears: century-long erasure</w:t>
        </w:r>
      </w:hyperlink>
    </w:p>
    <w:p>
      <w:r>
        <w:rPr>
          <w:b w:val="0"/>
          <w:i w:val="0"/>
        </w:rPr>
      </w:r>
      <w:r>
        <w:rPr>
          <w:b/>
          <w:i w:val="0"/>
        </w:rPr>
        <w:t>Literature check:</w:t>
      </w:r>
      <w:r>
        <w:rPr>
          <w:b w:val="0"/>
          <w:i w:val="0"/>
        </w:rPr>
        <w:t xml:space="preserve"> A 2026-03-23 sweep for online scholarly sources found </w:t>
      </w:r>
      <w:r>
        <w:rPr>
          <w:b/>
          <w:i w:val="0"/>
        </w:rPr>
        <w:t>no support</w:t>
      </w:r>
      <w:r>
        <w:rPr>
          <w:b w:val="0"/>
          <w:i w:val="0"/>
        </w:rPr>
        <w:t xml:space="preserve"> for an MFEE-specific global trophic lag; </w:t>
      </w:r>
      <w:r>
        <w:rPr>
          <w:b/>
          <w:i w:val="0"/>
        </w:rPr>
        <w:t>partial analogies</w:t>
      </w:r>
      <w:r>
        <w:rPr>
          <w:b w:val="0"/>
          <w:i w:val="0"/>
        </w:rPr>
        <w:t xml:space="preserve"> (volcanic recovery, Tambora 1816, Irish famine policy debate) and gaps are documented under </w:t>
      </w:r>
      <w:r>
        <w:rPr>
          <w:b/>
          <w:i w:val="0"/>
        </w:rPr>
        <w:t>§ External literature search</w:t>
      </w:r>
      <w:r>
        <w:rPr>
          <w:b w:val="0"/>
          <w:i w:val="0"/>
        </w:rPr>
        <w:t xml:space="preserve"> in the paradigm-threat-files investigation linked above.</w:t>
      </w:r>
    </w:p>
    <w:p/>
    <w:p>
      <w:pPr>
        <w:jc w:val="center"/>
      </w:pPr>
      <w:r>
        <w:rPr>
          <w:color w:val="B8860B"/>
          <w:sz w:val="24"/>
        </w:rPr>
        <w:t>— ✦ —</w:t>
      </w:r>
    </w:p>
    <w:p>
      <w:r>
        <w:rPr>
          <w:b w:val="0"/>
          <w:i w:val="0"/>
        </w:rPr>
        <w:t xml:space="preserve">This appendix summarizes an </w:t>
      </w:r>
      <w:r>
        <w:rPr>
          <w:b/>
          <w:i w:val="0"/>
        </w:rPr>
        <w:t>open investigation</w:t>
      </w:r>
      <w:r>
        <w:rPr>
          <w:b w:val="0"/>
          <w:i w:val="0"/>
        </w:rPr>
        <w:t xml:space="preserve"> in paradigm-threat-files: whether language such as </w:t>
      </w:r>
      <w:r>
        <w:rPr>
          <w:b w:val="0"/>
          <w:i/>
        </w:rPr>
        <w:t>Mundus Novus</w:t>
      </w:r>
      <w:r>
        <w:rPr>
          <w:b w:val="0"/>
          <w:i w:val="0"/>
        </w:rPr>
        <w:t xml:space="preserve"> / the New World, later New Holland, New Zealand, New England, and rhetoric of empty or discoverable land could mean more than European expansion branding — specifically whether it might also track terrain repopulated after the </w:t>
      </w:r>
      <w:hyperlink r:id="rId178">
        <w:r>
          <w:rPr>
            <w:b w:val="0"/>
            <w:i w:val="0"/>
            <w:color w:val="B8860B"/>
          </w:rPr>
          <w:t>MudFlood Energetic Event</w:t>
        </w:r>
      </w:hyperlink>
      <w:r>
        <w:rPr>
          <w:b w:val="0"/>
          <w:i w:val="0"/>
        </w:rPr>
        <w:t xml:space="preserve">, with official history later splicing that story to the Columbus / 1492 exodus frame (Reconquista, Ottoman pressure, Inquisition) so the tie to </w:t>
      </w:r>
      <w:r>
        <w:rPr>
          <w:b/>
          <w:i w:val="0"/>
        </w:rPr>
        <w:t>cataclysm</w:t>
      </w:r>
      <w:r>
        <w:rPr>
          <w:b w:val="0"/>
          <w:i w:val="0"/>
        </w:rPr>
        <w:t xml:space="preserve"> drops out.</w:t>
      </w:r>
    </w:p>
    <w:p>
      <w:r>
        <w:rPr>
          <w:b w:val="0"/>
          <w:i w:val="0"/>
        </w:rPr>
        <w:t xml:space="preserve">Mainstream etymology (European novelty; New Zealand from Dutch Zeeland) is not discarded in the investigation; the question is </w:t>
      </w:r>
      <w:r>
        <w:rPr>
          <w:b/>
          <w:i w:val="0"/>
        </w:rPr>
        <w:t>layered meaning</w:t>
      </w:r>
      <w:r>
        <w:rPr>
          <w:b w:val="0"/>
          <w:i w:val="0"/>
        </w:rPr>
        <w:t xml:space="preserve"> and map discontinuities after ~1774. One open reading: </w:t>
      </w:r>
      <w:r>
        <w:rPr>
          <w:b w:val="0"/>
          <w:i/>
        </w:rPr>
        <w:t>Mundus Novus</w:t>
      </w:r>
      <w:r>
        <w:rPr>
          <w:b w:val="0"/>
          <w:i w:val="0"/>
        </w:rPr>
        <w:t xml:space="preserve"> may reflect the voice of those fleeing the 1492 crisis while the “New World” frame then expanded sharply in official use after the MFEE — early print and post-1774 growth are not treated as mutually exclusive; frequency evidence is still to be assembled in paradigm-threat-files.</w:t>
      </w:r>
    </w:p>
    <w:p>
      <w:r>
        <w:rPr>
          <w:b w:val="0"/>
          <w:i w:val="0"/>
        </w:rPr>
      </w:r>
      <w:r>
        <w:rPr>
          <w:b/>
          <w:i w:val="0"/>
        </w:rPr>
        <w:t>Period print (U.S., precolumbian memory):</w:t>
      </w:r>
      <w:r>
        <w:rPr>
          <w:b w:val="0"/>
          <w:i w:val="0"/>
        </w:rPr>
        <w:t xml:space="preserve"> Josiah Priest, </w:t>
      </w:r>
      <w:r>
        <w:rPr>
          <w:b w:val="0"/>
          <w:i/>
        </w:rPr>
        <w:t>American Antiquities, and Discoveries in the West</w:t>
      </w:r>
      <w:r>
        <w:rPr>
          <w:b w:val="0"/>
          <w:i w:val="0"/>
        </w:rPr>
        <w:t xml:space="preserve"> (Albany: Hoffman &amp; White, 1833), compiles travelers’ and antiquarian material arguing that </w:t>
      </w:r>
      <w:r>
        <w:rPr>
          <w:b/>
          <w:i w:val="0"/>
        </w:rPr>
        <w:t>civilized nations</w:t>
      </w:r>
      <w:r>
        <w:rPr>
          <w:b w:val="0"/>
          <w:i w:val="0"/>
        </w:rPr>
        <w:t xml:space="preserve"> distinct from contemporary Indigenous peoples </w:t>
      </w:r>
      <w:r>
        <w:rPr>
          <w:b/>
          <w:i w:val="0"/>
        </w:rPr>
        <w:t>peopled the Americas centuries before Columbus</w:t>
      </w:r>
      <w:r>
        <w:rPr>
          <w:b w:val="0"/>
          <w:i w:val="0"/>
        </w:rPr>
        <w:t xml:space="preserve">, citing among other threads </w:t>
      </w:r>
      <w:r>
        <w:rPr>
          <w:b/>
          <w:i w:val="0"/>
        </w:rPr>
        <w:t>Phoenician</w:t>
      </w:r>
      <w:r>
        <w:rPr>
          <w:b w:val="0"/>
          <w:i w:val="0"/>
        </w:rPr>
        <w:t xml:space="preserve">, </w:t>
      </w:r>
      <w:r>
        <w:rPr>
          <w:b/>
          <w:i w:val="0"/>
        </w:rPr>
        <w:t>Danish/Norwegian</w:t>
      </w:r>
      <w:r>
        <w:rPr>
          <w:b w:val="0"/>
          <w:i w:val="0"/>
        </w:rPr>
        <w:t xml:space="preserve">, and </w:t>
      </w:r>
      <w:r>
        <w:rPr>
          <w:b/>
          <w:i w:val="0"/>
        </w:rPr>
        <w:t>Welsh</w:t>
      </w:r>
      <w:r>
        <w:rPr>
          <w:b w:val="0"/>
          <w:i w:val="0"/>
        </w:rPr>
        <w:t xml:space="preserve"> voyages, </w:t>
      </w:r>
      <w:r>
        <w:rPr>
          <w:b/>
          <w:i w:val="0"/>
        </w:rPr>
        <w:t>Noah’s dispersion</w:t>
      </w:r>
      <w:r>
        <w:rPr>
          <w:b w:val="0"/>
          <w:i w:val="0"/>
        </w:rPr>
        <w:t xml:space="preserve">, and eastern </w:t>
      </w:r>
      <w:r>
        <w:rPr>
          <w:b/>
          <w:i w:val="0"/>
        </w:rPr>
        <w:t>mounds</w:t>
      </w:r>
      <w:r>
        <w:rPr>
          <w:b w:val="0"/>
          <w:i w:val="0"/>
        </w:rPr>
        <w:t xml:space="preserve"> and earthworks. This chronology cites Priest as </w:t>
      </w:r>
      <w:r>
        <w:rPr>
          <w:b/>
          <w:i w:val="0"/>
        </w:rPr>
        <w:t>evidence of 19th-century popular narrative</w:t>
      </w:r>
      <w:r>
        <w:rPr>
          <w:b w:val="0"/>
          <w:i w:val="0"/>
        </w:rPr>
        <w:t xml:space="preserve">, not as proof of prehistory. Timeline entry: </w:t>
      </w:r>
      <w:hyperlink r:id="rId338">
        <w:r>
          <w:rPr>
            <w:b w:val="0"/>
            <w:i w:val="0"/>
            <w:color w:val="B8860B"/>
          </w:rPr>
          <w:t>1833 CE — Josiah Priest publishes American Antiquities</w:t>
        </w:r>
      </w:hyperlink>
      <w:r>
        <w:rPr>
          <w:b w:val="0"/>
          <w:i w:val="0"/>
        </w:rPr>
        <w:t xml:space="preserve">. Facsimile: </w:t>
      </w:r>
      <w:hyperlink r:id="rId339">
        <w:r>
          <w:rPr>
            <w:b w:val="0"/>
            <w:i w:val="0"/>
            <w:color w:val="B8860B"/>
          </w:rPr>
          <w:t>Internet Archive</w:t>
        </w:r>
      </w:hyperlink>
      <w:r>
        <w:rPr>
          <w:b w:val="0"/>
          <w:i w:val="0"/>
        </w:rPr>
        <w:t xml:space="preserve">. Full bibliography and use in this investigation: </w:t>
      </w:r>
      <w:hyperlink r:id="rId340">
        <w:r>
          <w:rPr>
            <w:b w:val="0"/>
            <w:i w:val="0"/>
            <w:color w:val="B8860B"/>
          </w:rPr>
          <w:t>§ Josiah Priest: American Antiquities (1833)</w:t>
        </w:r>
      </w:hyperlink>
      <w:r>
        <w:rPr>
          <w:b w:val="0"/>
          <w:i w:val="0"/>
        </w:rPr>
        <w:t>.</w:t>
      </w:r>
    </w:p>
    <w:p>
      <w:r>
        <w:rPr>
          <w:b w:val="0"/>
          <w:i w:val="0"/>
        </w:rPr>
      </w:r>
      <w:r>
        <w:rPr>
          <w:b/>
          <w:i w:val="0"/>
        </w:rPr>
        <w:t>Full investigation (in-repo reference table, mainstream anchors, research questions):</w:t>
      </w:r>
      <w:r>
        <w:rPr>
          <w:b w:val="0"/>
          <w:i w:val="0"/>
        </w:rPr>
        <w:t xml:space="preserve"> </w:t>
      </w:r>
      <w:hyperlink r:id="rId341">
        <w:r>
          <w:rPr>
            <w:b w:val="0"/>
            <w:i w:val="0"/>
            <w:color w:val="B8860B"/>
          </w:rPr>
          <w:t>/history/chronology/investigations/new-world-naming-mfee-and-colonization-memory.md</w:t>
        </w:r>
      </w:hyperlink>
    </w:p>
    <w:p>
      <w:r>
        <w:rPr>
          <w:b w:val="0"/>
          <w:i w:val="0"/>
        </w:rPr>
      </w:r>
      <w:r>
        <w:rPr>
          <w:b/>
          <w:i w:val="0"/>
        </w:rPr>
        <w:t>Timeline context:</w:t>
      </w:r>
      <w:r>
        <w:rPr>
          <w:b w:val="0"/>
          <w:i w:val="0"/>
        </w:rPr>
        <w:t xml:space="preserve"> </w:t>
      </w:r>
      <w:hyperlink r:id="rId108">
        <w:r>
          <w:rPr>
            <w:b w:val="0"/>
            <w:i w:val="0"/>
            <w:color w:val="B8860B"/>
          </w:rPr>
          <w:t>MudFlood: Extended Evidence</w:t>
        </w:r>
      </w:hyperlink>
      <w:r>
        <w:rPr>
          <w:b w:val="0"/>
          <w:i w:val="0"/>
        </w:rPr>
        <w:t xml:space="preserve"> · </w:t>
      </w:r>
      <w:hyperlink r:id="rId146">
        <w:r>
          <w:rPr>
            <w:b w:val="0"/>
            <w:i w:val="0"/>
            <w:color w:val="B8860B"/>
          </w:rPr>
          <w:t>Jesuit operations — New World</w:t>
        </w:r>
      </w:hyperlink>
      <w:r>
        <w:rPr>
          <w:b w:val="0"/>
          <w:i w:val="0"/>
        </w:rPr>
        <w:t xml:space="preserve"> · </w:t>
      </w:r>
      <w:hyperlink r:id="rId342">
        <w:r>
          <w:rPr>
            <w:b w:val="0"/>
            <w:i w:val="0"/>
            <w:color w:val="B8860B"/>
          </w:rPr>
          <w:t>15th c. Ottoman conquest of Europe</w:t>
        </w:r>
      </w:hyperlink>
      <w:r>
        <w:rPr>
          <w:b w:val="0"/>
          <w:i w:val="0"/>
        </w:rPr>
        <w:t xml:space="preserve"> · </w:t>
      </w:r>
      <w:hyperlink r:id="rId343">
        <w:r>
          <w:rPr>
            <w:b w:val="0"/>
            <w:i w:val="0"/>
            <w:color w:val="B8860B"/>
          </w:rPr>
          <w:t>Promised land — 1492 BCE/CE pattern</w:t>
        </w:r>
      </w:hyperlink>
    </w:p>
    <w:p>
      <w:r>
        <w:rPr>
          <w:b w:val="0"/>
          <w:i w:val="0"/>
        </w:rPr>
      </w:r>
      <w:r>
        <w:rPr>
          <w:b/>
          <w:i w:val="0"/>
        </w:rPr>
        <w:t>Literature check:</w:t>
      </w:r>
      <w:r>
        <w:rPr>
          <w:b w:val="0"/>
          <w:i w:val="0"/>
        </w:rPr>
        <w:t xml:space="preserve"> A 2026-03-23 sweep found no scholarly support for tying “New World” / “New …” names to a post–mud-flood remaking of Earth; sources instead reinforce early 16th-c. </w:t>
      </w:r>
      <w:r>
        <w:rPr>
          <w:b w:val="0"/>
          <w:i/>
        </w:rPr>
        <w:t>Mundus Novus</w:t>
      </w:r>
      <w:r>
        <w:rPr>
          <w:b w:val="0"/>
          <w:i w:val="0"/>
        </w:rPr>
        <w:t xml:space="preserve"> diffusion, Dutch provincial toponyms, and 1990s geological “Zealandia.” See § External literature search in the paradigm-threat-files investigation linked above.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Giants, Infantry, Guerrilla, and the Children's Crusade — Etymology</w:t>
      </w:r>
    </w:p>
    <w:p>
      <w:pPr>
        <w:pStyle w:val="Quote"/>
      </w:pPr>
      <w:r>
        <w:rPr>
          <w:b w:val="0"/>
          <w:i w:val="0"/>
          <w:sz w:val="19"/>
        </w:rPr>
      </w:r>
      <w:r>
        <w:rPr>
          <w:b/>
          <w:i w:val="0"/>
          <w:sz w:val="19"/>
        </w:rPr>
        <w:t>TL;DR:</w:t>
      </w:r>
      <w:r>
        <w:rPr>
          <w:b w:val="0"/>
          <w:i w:val="0"/>
          <w:sz w:val="19"/>
        </w:rPr>
        <w:t xml:space="preserve"> TODO</w:t>
      </w:r>
    </w:p>
    <w:p>
      <w:r>
        <w:rPr>
          <w:b w:val="0"/>
          <w:i w:val="0"/>
        </w:rPr>
        <w:t xml:space="preserve">This appendix overflows the chronology investigation </w:t>
      </w:r>
      <w:hyperlink r:id="rId344">
        <w:r>
          <w:rPr>
            <w:b w:val="0"/>
            <w:i w:val="0"/>
            <w:color w:val="B8860B"/>
          </w:rPr>
          <w:t>Giants, Infantry, Guerrilla — lexical investigation</w:t>
        </w:r>
      </w:hyperlink>
      <w:r>
        <w:rPr>
          <w:b w:val="0"/>
          <w:i w:val="0"/>
        </w:rPr>
        <w:t xml:space="preserve"> with </w:t>
      </w:r>
      <w:r>
        <w:rPr>
          <w:b/>
          <w:i w:val="0"/>
        </w:rPr>
        <w:t>mainstream etymology</w:t>
      </w:r>
      <w:r>
        <w:rPr>
          <w:b w:val="0"/>
          <w:i w:val="0"/>
        </w:rPr>
        <w:t xml:space="preserve">, </w:t>
      </w:r>
      <w:r>
        <w:rPr>
          <w:b/>
          <w:i w:val="0"/>
        </w:rPr>
        <w:t>Scaligerian chronology notes</w:t>
      </w:r>
      <w:r>
        <w:rPr>
          <w:b w:val="0"/>
          <w:i w:val="0"/>
        </w:rPr>
        <w:t xml:space="preserve">, and a </w:t>
      </w:r>
      <w:r>
        <w:rPr>
          <w:b/>
          <w:i w:val="0"/>
        </w:rPr>
        <w:t>related-word field</w:t>
      </w:r>
      <w:r>
        <w:rPr>
          <w:b w:val="0"/>
          <w:i w:val="0"/>
        </w:rPr>
        <w:t xml:space="preserve">. Timeline narrative: </w:t>
      </w:r>
      <w:hyperlink r:id="rId345">
        <w:r>
          <w:rPr>
            <w:b w:val="0"/>
            <w:i w:val="0"/>
            <w:color w:val="B8860B"/>
          </w:rPr>
          <w:t>First Crusade &amp; Trojan War</w:t>
        </w:r>
      </w:hyperlink>
      <w:r>
        <w:rPr>
          <w:b w:val="0"/>
          <w:i w:val="0"/>
        </w:rPr>
        <w:t xml:space="preserve">, </w:t>
      </w:r>
      <w:hyperlink r:id="rId210">
        <w:r>
          <w:rPr>
            <w:b w:val="0"/>
            <w:i w:val="0"/>
            <w:color w:val="B8860B"/>
          </w:rPr>
          <w:t>Giants of the Rus-Horde</w:t>
        </w:r>
      </w:hyperlink>
      <w:r>
        <w:rPr>
          <w:b w:val="0"/>
          <w:i w:val="0"/>
        </w:rPr>
        <w:t xml:space="preserve">, </w:t>
      </w:r>
      <w:hyperlink r:id="rId346">
        <w:r>
          <w:rPr>
            <w:b w:val="0"/>
            <w:i w:val="0"/>
            <w:color w:val="B8860B"/>
          </w:rPr>
          <w:t>Kulikovo</w:t>
        </w:r>
      </w:hyperlink>
      <w:r>
        <w:rPr>
          <w:b w:val="0"/>
          <w:i w:val="0"/>
        </w:rPr>
        <w:t>.</w:t>
      </w:r>
    </w:p>
    <w:p>
      <w:pPr>
        <w:pStyle w:val="Heading2"/>
        <w:keepNext/>
        <w:keepLines/>
      </w:pPr>
      <w:r>
        <w:t>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rPr>
                <w:rFonts w:ascii="Libre Franklin" w:hAnsi="Libre Franklin"/>
                <w:b/>
                <w:sz w:val="18"/>
              </w:rPr>
              <w:t>Term</w:t>
            </w:r>
          </w:p>
        </w:tc>
        <w:tc>
          <w:tcPr>
            <w:tcW w:type="dxa" w:w="3188"/>
            <w:shd w:val="clear" w:color="auto" w:fill="F0F0F0"/>
          </w:tcPr>
          <w:p>
            <w:pPr>
              <w:spacing w:before="20" w:after="20"/>
              <w:jc w:val="center"/>
            </w:pPr>
            <w:r>
              <w:rPr>
                <w:rFonts w:ascii="Libre Franklin" w:hAnsi="Libre Franklin"/>
                <w:b/>
                <w:sz w:val="18"/>
              </w:rPr>
              <w:t>Mainstream lexicography (short)</w:t>
            </w:r>
          </w:p>
        </w:tc>
        <w:tc>
          <w:tcPr>
            <w:tcW w:type="dxa" w:w="2398"/>
            <w:shd w:val="clear" w:color="auto" w:fill="F0F0F0"/>
          </w:tcPr>
          <w:p>
            <w:pPr>
              <w:spacing w:before="20" w:after="20"/>
              <w:jc w:val="center"/>
            </w:pPr>
            <w:r>
              <w:rPr>
                <w:rFonts w:ascii="Libre Franklin" w:hAnsi="Libre Franklin"/>
                <w:b/>
                <w:sz w:val="18"/>
              </w:rPr>
              <w:t>This chronology (thesis)</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rPr>
                <w:b w:val="0"/>
                <w:i w:val="0"/>
                <w:sz w:val="18"/>
              </w:rPr>
              <w:t xml:space="preserve">From Italian/Spanish </w:t>
            </w:r>
            <w:r>
              <w:rPr>
                <w:b w:val="0"/>
                <w:i/>
                <w:sz w:val="18"/>
              </w:rPr>
              <w:t>infanteria</w:t>
            </w:r>
            <w:r>
              <w:rPr>
                <w:b w:val="0"/>
                <w:i w:val="0"/>
                <w:sz w:val="18"/>
              </w:rPr>
              <w:t xml:space="preserve"> ← </w:t>
            </w:r>
            <w:r>
              <w:rPr>
                <w:b w:val="0"/>
                <w:i/>
                <w:sz w:val="18"/>
              </w:rPr>
              <w:t>infante</w:t>
            </w:r>
            <w:r>
              <w:rPr>
                <w:b w:val="0"/>
                <w:i w:val="0"/>
                <w:sz w:val="18"/>
              </w:rPr>
              <w:t xml:space="preserve"> “foot soldier,” earlier “youth”; Latin </w:t>
            </w:r>
            <w:r>
              <w:rPr>
                <w:b w:val="0"/>
                <w:i/>
                <w:sz w:val="18"/>
              </w:rPr>
              <w:t>infans</w:t>
            </w:r>
            <w:r>
              <w:rPr>
                <w:b w:val="0"/>
                <w:i w:val="0"/>
                <w:sz w:val="18"/>
              </w:rPr>
              <w:t xml:space="preserve"> “unable to speak” → extended to child/youth. English from late 16th c. Emphasis: </w:t>
            </w:r>
            <w:r>
              <w:rPr>
                <w:b/>
                <w:i w:val="0"/>
                <w:sz w:val="18"/>
              </w:rPr>
              <w:t>foot</w:t>
            </w:r>
            <w:r>
              <w:rPr>
                <w:b w:val="0"/>
                <w:i w:val="0"/>
                <w:sz w:val="18"/>
              </w:rPr>
              <w:t xml:space="preserve"> vs cavalry, often </w:t>
            </w:r>
            <w:r>
              <w:rPr>
                <w:b/>
                <w:i w:val="0"/>
                <w:sz w:val="18"/>
              </w:rPr>
              <w:t>young</w:t>
            </w:r>
            <w:r>
              <w:rPr>
                <w:b w:val="0"/>
                <w:i w:val="0"/>
                <w:sz w:val="18"/>
              </w:rPr>
              <w:t xml:space="preserve"> or </w:t>
            </w:r>
            <w:r>
              <w:rPr>
                <w:b/>
                <w:i w:val="0"/>
                <w:sz w:val="18"/>
              </w:rPr>
              <w:t>low rank</w:t>
            </w:r>
            <w:r>
              <w:rPr>
                <w:b w:val="0"/>
                <w:i w:val="0"/>
                <w:sz w:val="18"/>
              </w:rPr>
              <w:t>.</w:t>
            </w:r>
          </w:p>
        </w:tc>
        <w:tc>
          <w:tcPr>
            <w:tcW w:type="dxa" w:w="2398"/>
          </w:tcPr>
          <w:p>
            <w:pPr>
              <w:spacing w:before="20" w:after="20"/>
            </w:pPr>
            <w:r>
              <w:rPr>
                <w:b w:val="0"/>
                <w:i w:val="0"/>
                <w:sz w:val="18"/>
              </w:rPr>
              <w:t xml:space="preserve">Horde </w:t>
            </w:r>
            <w:r>
              <w:rPr>
                <w:b/>
                <w:i w:val="0"/>
                <w:sz w:val="18"/>
              </w:rPr>
              <w:t>organized foot</w:t>
            </w:r>
            <w:r>
              <w:rPr>
                <w:b w:val="0"/>
                <w:i w:val="0"/>
                <w:sz w:val="18"/>
              </w:rPr>
              <w:t xml:space="preserve"> included </w:t>
            </w:r>
            <w:r>
              <w:rPr>
                <w:b/>
                <w:i w:val="0"/>
                <w:sz w:val="18"/>
              </w:rPr>
              <w:t>young giant</w:t>
            </w:r>
            <w:r>
              <w:rPr>
                <w:b w:val="0"/>
                <w:i w:val="0"/>
                <w:sz w:val="18"/>
              </w:rPr>
              <w:t xml:space="preserve"> lines; the </w:t>
            </w:r>
            <w:r>
              <w:rPr>
                <w:b/>
                <w:i w:val="0"/>
                <w:sz w:val="18"/>
              </w:rPr>
              <w:t>infant-/youth</w:t>
            </w:r>
            <w:r>
              <w:rPr>
                <w:b w:val="0"/>
                <w:i w:val="0"/>
                <w:sz w:val="18"/>
              </w:rPr>
              <w:t xml:space="preserve"> thread matches </w:t>
            </w:r>
            <w:r>
              <w:rPr>
                <w:b/>
                <w:i w:val="0"/>
                <w:sz w:val="18"/>
              </w:rPr>
              <w:t>rash, strong, non-knightly</w:t>
            </w:r>
            <w:r>
              <w:rPr>
                <w:b w:val="0"/>
                <w:i w:val="0"/>
                <w:sz w:val="18"/>
              </w:rPr>
              <w:t xml:space="preserve"> mass assault without preserving stature in glosses.</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rPr>
                <w:b w:val="0"/>
                <w:i w:val="0"/>
                <w:sz w:val="18"/>
              </w:rPr>
            </w:r>
            <w:r>
              <w:rPr>
                <w:b/>
                <w:i w:val="0"/>
                <w:sz w:val="18"/>
              </w:rPr>
              <w:t>No etymological</w:t>
            </w:r>
            <w:r>
              <w:rPr>
                <w:b w:val="0"/>
                <w:i w:val="0"/>
                <w:sz w:val="18"/>
              </w:rPr>
              <w:t xml:space="preserve"> link to “giant.” </w:t>
            </w:r>
            <w:r>
              <w:rPr>
                <w:b/>
                <w:i w:val="0"/>
                <w:sz w:val="18"/>
              </w:rPr>
              <w:t>Historical</w:t>
            </w:r>
            <w:r>
              <w:rPr>
                <w:b w:val="0"/>
                <w:i w:val="0"/>
                <w:sz w:val="18"/>
              </w:rPr>
              <w:t xml:space="preserve"> parallel: after </w:t>
            </w:r>
            <w:r>
              <w:rPr>
                <w:b/>
                <w:i w:val="0"/>
                <w:sz w:val="18"/>
              </w:rPr>
              <w:t>cannon</w:t>
            </w:r>
            <w:r>
              <w:rPr>
                <w:b w:val="0"/>
                <w:i w:val="0"/>
                <w:sz w:val="18"/>
              </w:rPr>
              <w:t xml:space="preserve"> and </w:t>
            </w:r>
            <w:r>
              <w:rPr>
                <w:b/>
                <w:i w:val="0"/>
                <w:sz w:val="18"/>
              </w:rPr>
              <w:t>state hunt</w:t>
            </w:r>
            <w:r>
              <w:rPr>
                <w:b w:val="0"/>
                <w:i w:val="0"/>
                <w:sz w:val="18"/>
              </w:rPr>
              <w:t xml:space="preserve">, giant-line </w:t>
            </w:r>
            <w:r>
              <w:rPr>
                <w:b/>
                <w:i w:val="0"/>
                <w:sz w:val="18"/>
              </w:rPr>
              <w:t>remnants</w:t>
            </w:r>
            <w:r>
              <w:rPr>
                <w:b w:val="0"/>
                <w:i w:val="0"/>
                <w:sz w:val="18"/>
              </w:rPr>
              <w:t xml:space="preserve"> fit </w:t>
            </w:r>
            <w:r>
              <w:rPr>
                <w:b/>
                <w:i w:val="0"/>
                <w:sz w:val="18"/>
              </w:rPr>
              <w:t>irregular</w:t>
            </w:r>
            <w:r>
              <w:rPr>
                <w:b w:val="0"/>
                <w:i w:val="0"/>
                <w:sz w:val="18"/>
              </w:rPr>
              <w:t xml:space="preserve">, </w:t>
            </w:r>
            <w:r>
              <w:rPr>
                <w:b/>
                <w:i w:val="0"/>
                <w:sz w:val="18"/>
              </w:rPr>
              <w:t>local</w:t>
            </w:r>
            <w:r>
              <w:rPr>
                <w:b w:val="0"/>
                <w:i w:val="0"/>
                <w:sz w:val="18"/>
              </w:rPr>
              <w:t xml:space="preserve"> war — what later languages label </w:t>
            </w:r>
            <w:r>
              <w:rPr>
                <w:b/>
                <w:i w:val="0"/>
                <w:sz w:val="18"/>
              </w:rPr>
              <w:t>guerrilla</w:t>
            </w:r>
            <w:r>
              <w:rPr>
                <w:b w:val="0"/>
                <w:i w:val="0"/>
                <w:sz w:val="18"/>
              </w:rPr>
              <w:t>.</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rPr>
                <w:b w:val="0"/>
                <w:i w:val="0"/>
                <w:sz w:val="18"/>
              </w:rPr>
              <w:t xml:space="preserve">Same name read as </w:t>
            </w:r>
            <w:r>
              <w:rPr>
                <w:b/>
                <w:i w:val="0"/>
                <w:sz w:val="18"/>
              </w:rPr>
              <w:t>young giants’</w:t>
            </w:r>
            <w:r>
              <w:rPr>
                <w:b w:val="0"/>
                <w:i w:val="0"/>
                <w:sz w:val="18"/>
              </w:rPr>
              <w:t xml:space="preserve"> premature wave before the main host — </w:t>
            </w:r>
            <w:hyperlink r:id="rId345">
              <w:r>
                <w:rPr>
                  <w:b w:val="0"/>
                  <w:i w:val="0"/>
                  <w:color w:val="B8860B"/>
                  <w:sz w:val="18"/>
                </w:rPr>
                <w:t>First Crusade article</w:t>
              </w:r>
            </w:hyperlink>
            <w:r>
              <w:rPr>
                <w:b w:val="0"/>
                <w:i w:val="0"/>
                <w:sz w:val="18"/>
              </w:rPr>
              <w:t>.</w:t>
            </w:r>
          </w:p>
        </w:tc>
      </w:tr>
    </w:tbl>
    <w:p/>
    <w:p>
      <w:pPr>
        <w:pStyle w:val="Heading2"/>
        <w:keepNext/>
        <w:keepLines/>
      </w:pPr>
      <w:r>
        <w:t>Mainstream etymology (reference)</w:t>
      </w:r>
    </w:p>
    <w:p>
      <w:r>
        <w:rPr>
          <w:b w:val="0"/>
          <w:i w:val="0"/>
        </w:rPr>
      </w:r>
      <w:r>
        <w:rPr>
          <w:b/>
          <w:i w:val="0"/>
        </w:rPr>
        <w:t>Infantry</w:t>
      </w:r>
      <w:r>
        <w:rPr>
          <w:b w:val="0"/>
          <w:i w:val="0"/>
        </w:rPr>
        <w:t xml:space="preserve"> — </w:t>
      </w:r>
      <w:hyperlink r:id="rId347">
        <w:r>
          <w:rPr>
            <w:b w:val="0"/>
            <w:i w:val="0"/>
            <w:color w:val="B8860B"/>
          </w:rPr>
          <w:t>Online Etymology Dictionary: infantry</w:t>
        </w:r>
      </w:hyperlink>
      <w:r>
        <w:rPr>
          <w:b w:val="0"/>
          <w:i w:val="0"/>
        </w:rPr>
        <w:t xml:space="preserve">: 1570s, French </w:t>
      </w:r>
      <w:r>
        <w:rPr>
          <w:b w:val="0"/>
          <w:i/>
        </w:rPr>
        <w:t>infanterie</w:t>
      </w:r>
      <w:r>
        <w:rPr>
          <w:b w:val="0"/>
          <w:i w:val="0"/>
        </w:rPr>
        <w:t xml:space="preserve">, Italian/Spanish </w:t>
      </w:r>
      <w:r>
        <w:rPr>
          <w:b w:val="0"/>
          <w:i/>
        </w:rPr>
        <w:t>infanteria</w:t>
      </w:r>
      <w:r>
        <w:rPr>
          <w:b w:val="0"/>
          <w:i w:val="0"/>
        </w:rPr>
        <w:t xml:space="preserve"> “foot soldiers… too inexperienced or low in rank to be cavalry,” from </w:t>
      </w:r>
      <w:r>
        <w:rPr>
          <w:b w:val="0"/>
          <w:i/>
        </w:rPr>
        <w:t>infante</w:t>
      </w:r>
      <w:r>
        <w:rPr>
          <w:b w:val="0"/>
          <w:i w:val="0"/>
        </w:rPr>
        <w:t xml:space="preserve"> “foot soldier,” originally “a youth,” from Latin </w:t>
      </w:r>
      <w:r>
        <w:rPr>
          <w:b w:val="0"/>
          <w:i/>
        </w:rPr>
        <w:t>infantem</w:t>
      </w:r>
      <w:r>
        <w:rPr>
          <w:b w:val="0"/>
          <w:i w:val="0"/>
        </w:rPr>
        <w:t xml:space="preserve"> (see </w:t>
      </w:r>
      <w:r>
        <w:rPr>
          <w:b w:val="0"/>
          <w:i/>
        </w:rPr>
        <w:t>infant</w:t>
      </w:r>
      <w:r>
        <w:rPr>
          <w:b w:val="0"/>
          <w:i w:val="0"/>
        </w:rPr>
        <w:t>).</w:t>
      </w:r>
    </w:p>
    <w:p>
      <w:r>
        <w:rPr>
          <w:b w:val="0"/>
          <w:i w:val="0"/>
        </w:rPr>
      </w:r>
      <w:r>
        <w:rPr>
          <w:b/>
          <w:i w:val="0"/>
        </w:rPr>
        <w:t>Guerrilla</w:t>
      </w:r>
      <w:r>
        <w:rPr>
          <w:b w:val="0"/>
          <w:i w:val="0"/>
        </w:rPr>
        <w:t xml:space="preserve"> — </w:t>
      </w:r>
      <w:hyperlink r:id="rId348">
        <w:r>
          <w:rPr>
            <w:b w:val="0"/>
            <w:i w:val="0"/>
            <w:color w:val="B8860B"/>
          </w:rPr>
          <w:t>Online Etymology Dictionary: guerrilla</w:t>
        </w:r>
      </w:hyperlink>
      <w:r>
        <w:rPr>
          <w:b w:val="0"/>
          <w:i w:val="0"/>
        </w:rPr>
        <w:t xml:space="preserve">: diminutive of Spanish </w:t>
      </w:r>
      <w:r>
        <w:rPr>
          <w:b w:val="0"/>
          <w:i/>
        </w:rPr>
        <w:t>guerra</w:t>
      </w:r>
      <w:r>
        <w:rPr>
          <w:b w:val="0"/>
          <w:i w:val="0"/>
        </w:rPr>
        <w:t xml:space="preserve"> “war”; English from Peninsular War context.</w:t>
      </w:r>
    </w:p>
    <w:p>
      <w:r>
        <w:rPr>
          <w:b w:val="0"/>
          <w:i w:val="0"/>
        </w:rPr>
      </w:r>
      <w:r>
        <w:rPr>
          <w:b/>
          <w:i w:val="0"/>
        </w:rPr>
        <w:t>Infant / infante fork</w:t>
      </w:r>
      <w:r>
        <w:rPr>
          <w:b w:val="0"/>
          <w:i w:val="0"/>
        </w:rPr>
        <w:t xml:space="preserve"> — Italian </w:t>
      </w:r>
      <w:r>
        <w:rPr>
          <w:b w:val="0"/>
          <w:i/>
        </w:rPr>
        <w:t>infante</w:t>
      </w:r>
      <w:r>
        <w:rPr>
          <w:b w:val="0"/>
          <w:i w:val="0"/>
        </w:rPr>
        <w:t xml:space="preserve"> “foot soldier” vs Spanish/Portuguese </w:t>
      </w:r>
      <w:r>
        <w:rPr>
          <w:b/>
          <w:i w:val="0"/>
        </w:rPr>
        <w:t>Infante/Infanta</w:t>
      </w:r>
      <w:r>
        <w:rPr>
          <w:b w:val="0"/>
          <w:i w:val="0"/>
        </w:rPr>
        <w:t xml:space="preserve"> (royal prince[ss]); same Latin root, divergent military vs court meaning.</w:t>
      </w:r>
    </w:p>
    <w:p>
      <w:pPr>
        <w:pStyle w:val="Heading2"/>
        <w:keepNext/>
        <w:keepLines/>
      </w:pPr>
      <w:r>
        <w:t>Children's Crusade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rPr>
                <w:rFonts w:ascii="Libre Franklin" w:hAnsi="Libre Franklin"/>
                <w:b/>
                <w:sz w:val="18"/>
              </w:rPr>
              <w:t>Source</w:t>
            </w:r>
          </w:p>
        </w:tc>
        <w:tc>
          <w:tcPr>
            <w:tcW w:type="dxa" w:w="5543"/>
            <w:shd w:val="clear" w:color="auto" w:fill="F0F0F0"/>
          </w:tcPr>
          <w:p>
            <w:pPr>
              <w:spacing w:before="20" w:after="20"/>
              <w:jc w:val="center"/>
            </w:pPr>
            <w:r>
              <w:rPr>
                <w:rFonts w:ascii="Libre Franklin" w:hAnsi="Libre Franklin"/>
                <w:b/>
                <w:sz w:val="18"/>
              </w:rPr>
              <w:t>Claim</w:t>
            </w:r>
          </w:p>
        </w:tc>
      </w:tr>
      <w:tr>
        <w:tc>
          <w:tcPr>
            <w:tcW w:type="dxa" w:w="830"/>
          </w:tcPr>
          <w:p>
            <w:pPr>
              <w:spacing w:before="20" w:after="20"/>
            </w:pPr>
            <w:r>
              <w:rPr>
                <w:b w:val="0"/>
                <w:i w:val="0"/>
                <w:sz w:val="18"/>
              </w:rPr>
              <w:t>Textbook</w:t>
            </w:r>
          </w:p>
        </w:tc>
        <w:tc>
          <w:tcPr>
            <w:tcW w:type="dxa" w:w="5543"/>
          </w:tcPr>
          <w:p>
            <w:pPr>
              <w:spacing w:before="20" w:after="20"/>
            </w:pPr>
            <w:r>
              <w:rPr>
                <w:b w:val="0"/>
                <w:i w:val="0"/>
                <w:sz w:val="18"/>
              </w:rPr>
              <w:t xml:space="preserve">“First Crusade” </w:t>
            </w:r>
            <w:r>
              <w:rPr>
                <w:b/>
                <w:i w:val="0"/>
                <w:sz w:val="18"/>
              </w:rPr>
              <w:t>1096–1099</w:t>
            </w:r>
            <w:r>
              <w:rPr>
                <w:b w:val="0"/>
                <w:i w:val="0"/>
                <w:sz w:val="18"/>
              </w:rPr>
              <w:t xml:space="preserve">; </w:t>
            </w:r>
            <w:r>
              <w:rPr>
                <w:b/>
                <w:i w:val="0"/>
                <w:sz w:val="18"/>
              </w:rPr>
              <w:t>Children's Crusade</w:t>
            </w:r>
            <w:r>
              <w:rPr>
                <w:b w:val="0"/>
                <w:i w:val="0"/>
                <w:sz w:val="18"/>
              </w:rPr>
              <w:t xml:space="preserve"> </w:t>
            </w:r>
            <w:r>
              <w:rPr>
                <w:b/>
                <w:i w:val="0"/>
                <w:sz w:val="18"/>
              </w:rPr>
              <w:t>1212</w:t>
            </w:r>
            <w:r>
              <w:rPr>
                <w:b w:val="0"/>
                <w:i w:val="0"/>
                <w:sz w:val="18"/>
              </w:rPr>
              <w:t>, separate phenomenon.</w:t>
            </w:r>
          </w:p>
        </w:tc>
      </w:tr>
      <w:tr>
        <w:tc>
          <w:tcPr>
            <w:tcW w:type="dxa" w:w="830"/>
          </w:tcPr>
          <w:p>
            <w:pPr>
              <w:spacing w:before="20" w:after="20"/>
            </w:pPr>
            <w:r>
              <w:rPr>
                <w:b w:val="0"/>
                <w:i w:val="0"/>
                <w:sz w:val="18"/>
              </w:rPr>
              <w:t>This timeline</w:t>
            </w:r>
          </w:p>
        </w:tc>
        <w:tc>
          <w:tcPr>
            <w:tcW w:type="dxa" w:w="5543"/>
          </w:tcPr>
          <w:p>
            <w:pPr>
              <w:spacing w:before="20" w:after="20"/>
            </w:pPr>
            <w:r>
              <w:rPr>
                <w:b w:val="0"/>
                <w:i w:val="0"/>
                <w:sz w:val="18"/>
              </w:rPr>
            </w:r>
            <w:r>
              <w:rPr>
                <w:b/>
                <w:i w:val="0"/>
                <w:sz w:val="18"/>
              </w:rPr>
              <w:t>First Crusade</w:t>
            </w:r>
            <w:r>
              <w:rPr>
                <w:b w:val="0"/>
                <w:i w:val="0"/>
                <w:sz w:val="18"/>
              </w:rPr>
              <w:t xml:space="preserve"> to avenge the Crucifixion placed in </w:t>
            </w:r>
            <w:r>
              <w:rPr>
                <w:b/>
                <w:i w:val="0"/>
                <w:sz w:val="18"/>
              </w:rPr>
              <w:t>late 12th – early 13th c.</w:t>
            </w:r>
            <w:r>
              <w:rPr>
                <w:b w:val="0"/>
                <w:i w:val="0"/>
                <w:sz w:val="18"/>
              </w:rPr>
              <w:t xml:space="preserve"> (Fomenko layer); </w:t>
            </w:r>
            <w:r>
              <w:rPr>
                <w:b/>
                <w:i w:val="0"/>
                <w:sz w:val="18"/>
              </w:rPr>
              <w:t>Children's Crusade</w:t>
            </w:r>
            <w:r>
              <w:rPr>
                <w:b w:val="0"/>
                <w:i w:val="0"/>
                <w:sz w:val="18"/>
              </w:rPr>
              <w:t xml:space="preserve"> label attached to </w:t>
            </w:r>
            <w:r>
              <w:rPr>
                <w:b/>
                <w:i w:val="0"/>
                <w:sz w:val="18"/>
              </w:rPr>
              <w:t>young giant</w:t>
            </w:r>
            <w:r>
              <w:rPr>
                <w:b w:val="0"/>
                <w:i w:val="0"/>
                <w:sz w:val="18"/>
              </w:rPr>
              <w:t xml:space="preserve"> first wave in </w:t>
            </w:r>
            <w:hyperlink r:id="rId345">
              <w:r>
                <w:rPr>
                  <w:b w:val="0"/>
                  <w:i w:val="0"/>
                  <w:color w:val="B8860B"/>
                  <w:sz w:val="18"/>
                </w:rPr>
                <w:t>First Crusade &amp; Trojan War</w:t>
              </w:r>
            </w:hyperlink>
            <w:r>
              <w:rPr>
                <w:b w:val="0"/>
                <w:i w:val="0"/>
                <w:sz w:val="18"/>
              </w:rPr>
              <w:t>.</w:t>
            </w:r>
          </w:p>
        </w:tc>
      </w:tr>
    </w:tbl>
    <w:p/>
    <w:p>
      <w:r>
        <w:rPr>
          <w:b w:val="0"/>
          <w:i w:val="0"/>
        </w:rPr>
        <w:t xml:space="preserve">Wikipedia (overview): </w:t>
      </w:r>
      <w:hyperlink r:id="rId349">
        <w:r>
          <w:rPr>
            <w:b w:val="0"/>
            <w:i w:val="0"/>
            <w:color w:val="B8860B"/>
          </w:rPr>
          <w:t>Children's Crusade</w:t>
        </w:r>
      </w:hyperlink>
      <w:r>
        <w:rPr>
          <w:b w:val="0"/>
          <w:i w:val="0"/>
        </w:rPr>
        <w:t>.</w:t>
      </w:r>
    </w:p>
    <w:p>
      <w:pPr>
        <w:pStyle w:val="Heading2"/>
        <w:keepNext/>
        <w:keepLines/>
      </w:pPr>
      <w:r>
        <w:t>Related words (giant, youth, foot, irregular)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rPr>
                <w:rFonts w:ascii="Libre Franklin" w:hAnsi="Libre Franklin"/>
                <w:b/>
                <w:sz w:val="18"/>
              </w:rPr>
              <w:t>Word / label</w:t>
            </w:r>
          </w:p>
        </w:tc>
        <w:tc>
          <w:tcPr>
            <w:tcW w:type="dxa" w:w="5374"/>
            <w:shd w:val="clear" w:color="auto" w:fill="F0F0F0"/>
          </w:tcPr>
          <w:p>
            <w:pPr>
              <w:spacing w:before="20" w:after="20"/>
              <w:jc w:val="center"/>
            </w:pPr>
            <w:r>
              <w:rPr>
                <w:rFonts w:ascii="Libre Franklin" w:hAnsi="Libre Franklin"/>
                <w:b/>
                <w:sz w:val="18"/>
              </w:rPr>
              <w:t>Relevance</w:t>
            </w:r>
          </w:p>
        </w:tc>
      </w:tr>
      <w:tr>
        <w:tc>
          <w:tcPr>
            <w:tcW w:type="dxa" w:w="999"/>
          </w:tcPr>
          <w:p>
            <w:pPr>
              <w:spacing w:before="20" w:after="20"/>
            </w:pPr>
            <w:r>
              <w:rPr>
                <w:b w:val="0"/>
                <w:i/>
                <w:sz w:val="18"/>
              </w:rPr>
              <w:t>Pueri</w:t>
            </w:r>
          </w:p>
        </w:tc>
        <w:tc>
          <w:tcPr>
            <w:tcW w:type="dxa" w:w="5374"/>
          </w:tcPr>
          <w:p>
            <w:pPr>
              <w:spacing w:before="20" w:after="20"/>
            </w:pPr>
            <w:r>
              <w:rPr>
                <w:b w:val="0"/>
                <w:i w:val="0"/>
                <w:sz w:val="18"/>
              </w:rPr>
              <w:t xml:space="preserve">Latin “boys/children”; used of 1212 participants — often interpreted as </w:t>
            </w:r>
            <w:r>
              <w:rPr>
                <w:b/>
                <w:i w:val="0"/>
                <w:sz w:val="18"/>
              </w:rPr>
              <w:t>social dependents</w:t>
            </w:r>
            <w:r>
              <w:rPr>
                <w:b w:val="0"/>
                <w:i w:val="0"/>
                <w:sz w:val="18"/>
              </w:rPr>
              <w:t xml:space="preserve"> or </w:t>
            </w:r>
            <w:r>
              <w:rPr>
                <w:b/>
                <w:i w:val="0"/>
                <w:sz w:val="18"/>
              </w:rPr>
              <w:t>youths</w:t>
            </w:r>
            <w:r>
              <w:rPr>
                <w:b w:val="0"/>
                <w:i w:val="0"/>
                <w:sz w:val="18"/>
              </w:rPr>
              <w:t>, not necessarily small children.</w:t>
            </w:r>
          </w:p>
        </w:tc>
      </w:tr>
      <w:tr>
        <w:tc>
          <w:tcPr>
            <w:tcW w:type="dxa" w:w="999"/>
          </w:tcPr>
          <w:p>
            <w:pPr>
              <w:spacing w:before="20" w:after="20"/>
            </w:pPr>
            <w:r>
              <w:rPr>
                <w:b w:val="0"/>
                <w:i/>
                <w:sz w:val="18"/>
              </w:rPr>
              <w:t>Hoplite</w:t>
            </w:r>
          </w:p>
        </w:tc>
        <w:tc>
          <w:tcPr>
            <w:tcW w:type="dxa" w:w="5374"/>
          </w:tcPr>
          <w:p>
            <w:pPr>
              <w:spacing w:before="20" w:after="20"/>
            </w:pPr>
            <w:r>
              <w:rPr>
                <w:b w:val="0"/>
                <w:i w:val="0"/>
                <w:sz w:val="18"/>
              </w:rPr>
              <w:t xml:space="preserve">Greek </w:t>
            </w:r>
            <w:r>
              <w:rPr>
                <w:b/>
                <w:i w:val="0"/>
                <w:sz w:val="18"/>
              </w:rPr>
              <w:t>heavy foot</w:t>
            </w:r>
            <w:r>
              <w:rPr>
                <w:b w:val="0"/>
                <w:i w:val="0"/>
                <w:sz w:val="18"/>
              </w:rPr>
              <w:t xml:space="preserve">; </w:t>
            </w:r>
            <w:r>
              <w:rPr>
                <w:b w:val="0"/>
                <w:i/>
                <w:sz w:val="18"/>
              </w:rPr>
              <w:t>hoplon</w:t>
            </w:r>
            <w:r>
              <w:rPr>
                <w:b w:val="0"/>
                <w:i w:val="0"/>
                <w:sz w:val="18"/>
              </w:rPr>
              <w:t xml:space="preserve">-related; parallel </w:t>
            </w:r>
            <w:r>
              <w:rPr>
                <w:b/>
                <w:i w:val="0"/>
                <w:sz w:val="18"/>
              </w:rPr>
              <w:t>mass infantry</w:t>
            </w:r>
            <w:r>
              <w:rPr>
                <w:b w:val="0"/>
                <w:i w:val="0"/>
                <w:sz w:val="18"/>
              </w:rPr>
              <w:t xml:space="preserve"> tradition, different etymology.</w:t>
            </w:r>
          </w:p>
        </w:tc>
      </w:tr>
      <w:tr>
        <w:tc>
          <w:tcPr>
            <w:tcW w:type="dxa" w:w="999"/>
          </w:tcPr>
          <w:p>
            <w:pPr>
              <w:spacing w:before="20" w:after="20"/>
            </w:pPr>
            <w:r>
              <w:rPr>
                <w:b w:val="0"/>
                <w:i/>
                <w:sz w:val="18"/>
              </w:rPr>
              <w:t>Cohort</w:t>
            </w:r>
          </w:p>
        </w:tc>
        <w:tc>
          <w:tcPr>
            <w:tcW w:type="dxa" w:w="5374"/>
          </w:tcPr>
          <w:p>
            <w:pPr>
              <w:spacing w:before="20" w:after="20"/>
            </w:pPr>
            <w:r>
              <w:rPr>
                <w:b w:val="0"/>
                <w:i w:val="0"/>
                <w:sz w:val="18"/>
              </w:rPr>
              <w:t xml:space="preserve">Latin </w:t>
            </w:r>
            <w:r>
              <w:rPr>
                <w:b w:val="0"/>
                <w:i/>
                <w:sz w:val="18"/>
              </w:rPr>
              <w:t>cohors</w:t>
            </w:r>
            <w:r>
              <w:rPr>
                <w:b w:val="0"/>
                <w:i w:val="0"/>
                <w:sz w:val="18"/>
              </w:rPr>
              <w:t xml:space="preserve"> → Roman </w:t>
            </w:r>
            <w:r>
              <w:rPr>
                <w:b/>
                <w:i w:val="0"/>
                <w:sz w:val="18"/>
              </w:rPr>
              <w:t>infantry</w:t>
            </w:r>
            <w:r>
              <w:rPr>
                <w:b w:val="0"/>
                <w:i w:val="0"/>
                <w:sz w:val="18"/>
              </w:rPr>
              <w:t xml:space="preserve"> unit; “enclosure” → body of soldiers.</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rPr>
                <w:b w:val="0"/>
                <w:i w:val="0"/>
                <w:sz w:val="18"/>
              </w:rPr>
              <w:t>Hebrew giant-tribe vocabulary; cross-mythic pattern.</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rPr>
                <w:b w:val="0"/>
                <w:i w:val="0"/>
                <w:sz w:val="18"/>
              </w:rPr>
              <w:t xml:space="preserve">Indo-European and Norse </w:t>
            </w:r>
            <w:r>
              <w:rPr>
                <w:b/>
                <w:i w:val="0"/>
                <w:sz w:val="18"/>
              </w:rPr>
              <w:t>oversized</w:t>
            </w:r>
            <w:r>
              <w:rPr>
                <w:b w:val="0"/>
                <w:i w:val="0"/>
                <w:sz w:val="18"/>
              </w:rPr>
              <w:t xml:space="preserve"> antagonists; </w:t>
            </w:r>
            <w:hyperlink r:id="rId345">
              <w:r>
                <w:rPr>
                  <w:b w:val="0"/>
                  <w:i w:val="0"/>
                  <w:color w:val="B8860B"/>
                  <w:sz w:val="18"/>
                </w:rPr>
                <w:t>Jötunn</w:t>
              </w:r>
            </w:hyperlink>
            <w:r>
              <w:rPr>
                <w:b w:val="0"/>
                <w:i w:val="0"/>
                <w:sz w:val="18"/>
              </w:rPr>
              <w:t xml:space="preserve"> linked in First Crusade article.</w:t>
            </w:r>
          </w:p>
        </w:tc>
      </w:tr>
      <w:tr>
        <w:tc>
          <w:tcPr>
            <w:tcW w:type="dxa" w:w="999"/>
          </w:tcPr>
          <w:p>
            <w:pPr>
              <w:spacing w:before="20" w:after="20"/>
            </w:pPr>
            <w:r>
              <w:rPr>
                <w:b w:val="0"/>
                <w:i/>
                <w:sz w:val="18"/>
              </w:rPr>
              <w:t>Gigantomachy</w:t>
            </w:r>
          </w:p>
        </w:tc>
        <w:tc>
          <w:tcPr>
            <w:tcW w:type="dxa" w:w="5374"/>
          </w:tcPr>
          <w:p>
            <w:pPr>
              <w:spacing w:before="20" w:after="20"/>
            </w:pPr>
            <w:r>
              <w:rPr>
                <w:b w:val="0"/>
                <w:i w:val="0"/>
                <w:sz w:val="18"/>
              </w:rPr>
              <w:t xml:space="preserve">Mythic </w:t>
            </w:r>
            <w:r>
              <w:rPr>
                <w:b/>
                <w:i w:val="0"/>
                <w:sz w:val="18"/>
              </w:rPr>
              <w:t>war against giants</w:t>
            </w:r>
            <w:r>
              <w:rPr>
                <w:b w:val="0"/>
                <w:i w:val="0"/>
                <w:sz w:val="18"/>
              </w:rPr>
              <w:t xml:space="preserve"> — structural parallel to state vs giant-line conflict.</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rPr>
                <w:b w:val="0"/>
                <w:i w:val="0"/>
                <w:sz w:val="18"/>
              </w:rPr>
            </w:r>
            <w:r>
              <w:rPr>
                <w:b/>
                <w:i w:val="0"/>
                <w:sz w:val="18"/>
              </w:rPr>
              <w:t>Irregular</w:t>
            </w:r>
            <w:r>
              <w:rPr>
                <w:b w:val="0"/>
                <w:i w:val="0"/>
                <w:sz w:val="18"/>
              </w:rPr>
              <w:t xml:space="preserve"> fighter vocabulary; useful analogues for </w:t>
            </w:r>
            <w:r>
              <w:rPr>
                <w:b/>
                <w:i w:val="0"/>
                <w:sz w:val="18"/>
              </w:rPr>
              <w:t>post-set-piece</w:t>
            </w:r>
            <w:r>
              <w:rPr>
                <w:b w:val="0"/>
                <w:i w:val="0"/>
                <w:sz w:val="18"/>
              </w:rPr>
              <w:t xml:space="preserve"> resistance without implying Spanish </w:t>
            </w:r>
            <w:r>
              <w:rPr>
                <w:b w:val="0"/>
                <w:i/>
                <w:sz w:val="18"/>
              </w:rPr>
              <w:t>guerrilla</w:t>
            </w:r>
            <w:r>
              <w:rPr>
                <w:b w:val="0"/>
                <w:i w:val="0"/>
                <w:sz w:val="18"/>
              </w:rPr>
              <w:t>’s origin.</w:t>
            </w:r>
          </w:p>
        </w:tc>
      </w:tr>
    </w:tbl>
    <w:p/>
    <w:p>
      <w:pPr>
        <w:pStyle w:val="Heading2"/>
        <w:keepNext/>
        <w:keepLines/>
      </w:pPr>
      <w:r>
        <w:t>Cross-links</w:t>
      </w:r>
    </w:p>
    <w:p>
      <w:pPr>
        <w:pStyle w:val="ListBullet"/>
        <w:spacing w:before="20" w:after="20"/>
      </w:pPr>
      <w:hyperlink r:id="rId350">
        <w:r>
          <w:rPr>
            <w:b w:val="0"/>
            <w:i w:val="0"/>
            <w:color w:val="B8860B"/>
            <w:sz w:val="19"/>
          </w:rPr>
          <w:t>Two Branches: Fomenko vs Author</w:t>
        </w:r>
      </w:hyperlink>
      <w:r>
        <w:rPr>
          <w:b w:val="0"/>
          <w:i w:val="0"/>
          <w:sz w:val="19"/>
        </w:rPr>
        <w:t xml:space="preserve"> — attribution boundary for Royal vs Apostolic labels across </w:t>
      </w:r>
      <w:r>
        <w:rPr>
          <w:b/>
          <w:i w:val="0"/>
          <w:sz w:val="19"/>
        </w:rPr>
        <w:t>First Crusade</w:t>
      </w:r>
      <w:r>
        <w:rPr>
          <w:b w:val="0"/>
          <w:i w:val="0"/>
          <w:sz w:val="19"/>
        </w:rPr>
        <w:t xml:space="preserve"> vs </w:t>
      </w:r>
      <w:r>
        <w:rPr>
          <w:b/>
          <w:i w:val="0"/>
          <w:sz w:val="19"/>
        </w:rPr>
        <w:t>Kulikovo</w:t>
      </w:r>
      <w:r>
        <w:rPr>
          <w:b w:val="0"/>
          <w:i w:val="0"/>
          <w:sz w:val="19"/>
        </w:rPr>
        <w:t>.</w:t>
      </w:r>
    </w:p>
    <w:p/>
    <w:p>
      <w:pPr>
        <w:sectPr>
          <w:headerReference w:type="default" r:id="rId331"/>
          <w:footerReference w:type="default" r:id="rId332"/>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XXII</w:t>
      </w:r>
    </w:p>
    <w:p>
      <w:pPr>
        <w:pStyle w:val="Heading1"/>
        <w:jc w:val="center"/>
      </w:pPr>
      <w:r>
        <w:rPr>
          <w:b/>
        </w:rPr>
        <w:t>Appendix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351"/>
      <w:footerReference w:type="default" r:id="rId352"/>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AUTHOR PROFILES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CHRONOLOGY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NARRATIVE CONTROL</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CONFLICT, EMPIRE, AND MANUFACTURED WAR</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SCIENCE, DISPLACEMENT, AND ANTIBODIES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CATACLYSM AND MEMORY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 — 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appendix" TargetMode="External"/><Relationship Id="rId12" Type="http://schemas.openxmlformats.org/officeDocument/2006/relationships/hyperlink" Target="/timeline/evt-author-profiles" TargetMode="External"/><Relationship Id="rId13" Type="http://schemas.openxmlformats.org/officeDocument/2006/relationships/hyperlink" Target="./content/00.overview/00.02.01-authors-challenging-chronology.md" TargetMode="External"/><Relationship Id="rId14" Type="http://schemas.openxmlformats.org/officeDocument/2006/relationships/hyperlink" Target="/timeline/evt-authors-cataclysm-texts" TargetMode="External"/><Relationship Id="rId15" Type="http://schemas.openxmlformats.org/officeDocument/2006/relationships/hyperlink" Target="/timeline/evt-n-a-morozov" TargetMode="External"/><Relationship Id="rId16" Type="http://schemas.openxmlformats.org/officeDocument/2006/relationships/hyperlink" Target="/timeline/evt-wal-thornhill" TargetMode="External"/><Relationship Id="rId17" Type="http://schemas.openxmlformats.org/officeDocument/2006/relationships/hyperlink" Target="/timeline/evt-ralph-juergens" TargetMode="External"/><Relationship Id="rId18" Type="http://schemas.openxmlformats.org/officeDocument/2006/relationships/hyperlink" Target="/timeline/evt-immanuel-velikovsky" TargetMode="External"/><Relationship Id="rId19" Type="http://schemas.openxmlformats.org/officeDocument/2006/relationships/hyperlink" Target="/timeline/evt-anatoly-fomenko" TargetMode="External"/><Relationship Id="rId20" Type="http://schemas.openxmlformats.org/officeDocument/2006/relationships/hyperlink" Target="/timeline/evt-david-talbott" TargetMode="External"/><Relationship Id="rId21" Type="http://schemas.openxmlformats.org/officeDocument/2006/relationships/hyperlink" Target="/timeline/evt-anthony-peratt" TargetMode="External"/><Relationship Id="rId22" Type="http://schemas.openxmlformats.org/officeDocument/2006/relationships/hyperlink" Target="/timeline/evt-jno-cook" TargetMode="External"/><Relationship Id="rId23" Type="http://schemas.openxmlformats.org/officeDocument/2006/relationships/hyperlink" Target="/timeline/evt-alfred-de-grazia" TargetMode="External"/><Relationship Id="rId24" Type="http://schemas.openxmlformats.org/officeDocument/2006/relationships/hyperlink" Target="/timeline/evt-donald-scott" TargetMode="External"/><Relationship Id="rId25" Type="http://schemas.openxmlformats.org/officeDocument/2006/relationships/hyperlink" Target="/timeline/evt-ev-cochrane" TargetMode="External"/><Relationship Id="rId26" Type="http://schemas.openxmlformats.org/officeDocument/2006/relationships/hyperlink" Target="/timeline/evt-de-santillana-von-dechend" TargetMode="External"/><Relationship Id="rId27" Type="http://schemas.openxmlformats.org/officeDocument/2006/relationships/hyperlink" Target="/timeline/evt-heribert-illig" TargetMode="External"/><Relationship Id="rId28" Type="http://schemas.openxmlformats.org/officeDocument/2006/relationships/hyperlink" Target="/timeline/evt-gunnar-heinsohn" TargetMode="External"/><Relationship Id="rId29" Type="http://schemas.openxmlformats.org/officeDocument/2006/relationships/hyperlink" Target="/timeline/evt-dwardu-cardona" TargetMode="External"/><Relationship Id="rId30" Type="http://schemas.openxmlformats.org/officeDocument/2006/relationships/hyperlink" Target="/timeline/evt-clube-napier" TargetMode="External"/><Relationship Id="rId31" Type="http://schemas.openxmlformats.org/officeDocument/2006/relationships/hyperlink" Target="/timeline/evt-livio-stecchini" TargetMode="External"/><Relationship Id="rId32" Type="http://schemas.openxmlformats.org/officeDocument/2006/relationships/hyperlink" Target="/timeline/evt-rose-vaughan" TargetMode="External"/><Relationship Id="rId33" Type="http://schemas.openxmlformats.org/officeDocument/2006/relationships/hyperlink" Target="/timeline/evt-tom-van-flandern" TargetMode="External"/><Relationship Id="rId34" Type="http://schemas.openxmlformats.org/officeDocument/2006/relationships/hyperlink" Target="/timeline/evt-martinus-van-der-sluijs" TargetMode="External"/><Relationship Id="rId35" Type="http://schemas.openxmlformats.org/officeDocument/2006/relationships/hyperlink" Target="/timeline/evt-charles-ginenthal" TargetMode="External"/><Relationship Id="rId36" Type="http://schemas.openxmlformats.org/officeDocument/2006/relationships/hyperlink" Target="/timeline/evt-robert-schoch" TargetMode="External"/><Relationship Id="rId37" Type="http://schemas.openxmlformats.org/officeDocument/2006/relationships/hyperlink" Target="/timeline/evt-graham-hancock" TargetMode="External"/><Relationship Id="rId38" Type="http://schemas.openxmlformats.org/officeDocument/2006/relationships/hyperlink" Target="/timeline/evt-michael-cremo" TargetMode="External"/><Relationship Id="rId39" Type="http://schemas.openxmlformats.org/officeDocument/2006/relationships/hyperlink" Target="https://en.wikipedia.org/wiki/New_Chronology_(Fomenko)" TargetMode="External"/><Relationship Id="rId40" Type="http://schemas.openxmlformats.org/officeDocument/2006/relationships/hyperlink" Target="https://en.wikipedia.org/wiki/Shlisselburg_Fortress" TargetMode="External"/><Relationship Id="rId41" Type="http://schemas.openxmlformats.org/officeDocument/2006/relationships/hyperlink" Target="https://en.wikipedia.org/wiki/John_Chrysostom" TargetMode="External"/><Relationship Id="rId42" Type="http://schemas.openxmlformats.org/officeDocument/2006/relationships/hyperlink" Target="https://en.wikipedia.org/wiki/Patmos" TargetMode="External"/><Relationship Id="rId43" Type="http://schemas.openxmlformats.org/officeDocument/2006/relationships/hyperlink" Target="https://en.wikipedia.org/wiki/The_Revelation_in_Storm_and_Thunder" TargetMode="External"/><Relationship Id="rId44" Type="http://schemas.openxmlformats.org/officeDocument/2006/relationships/hyperlink" Target="https://en.wikipedia.org/wiki/Nikolai_Morozov" TargetMode="External"/><Relationship Id="rId45" Type="http://schemas.openxmlformats.org/officeDocument/2006/relationships/hyperlink" Target="https://en.wikipedia.org/wiki/Anatoly_Fomenko" TargetMode="External"/><Relationship Id="rId46" Type="http://schemas.openxmlformats.org/officeDocument/2006/relationships/hyperlink" Target="https://catalog.hathitrust.org/Record/001584930" TargetMode="External"/><Relationship Id="rId47" Type="http://schemas.openxmlformats.org/officeDocument/2006/relationships/hyperlink" Target="https://link.springer.com" TargetMode="External"/><Relationship Id="rId48" Type="http://schemas.openxmlformats.org/officeDocument/2006/relationships/hyperlink" Target="https://en.wikipedia.org/wiki/Codex_Sinaiticus" TargetMode="External"/><Relationship Id="rId49" Type="http://schemas.openxmlformats.org/officeDocument/2006/relationships/hyperlink" Target="https://en.wikipedia.org/wiki/Porfiry_Uspensky" TargetMode="External"/><Relationship Id="rId50" Type="http://schemas.openxmlformats.org/officeDocument/2006/relationships/hyperlink" Target="https://books.google.ru/books?id=C9IIAwAAQBAJ&amp;pg=PA258" TargetMode="External"/><Relationship Id="rId51" Type="http://schemas.openxmlformats.org/officeDocument/2006/relationships/hyperlink" Target="https://purebibleforum.com/index.php?threads/morozov-extract-on-examining-sinaiticus-with-added-notes-from-a-russian-forum.4641/" TargetMode="External"/><Relationship Id="rId52" Type="http://schemas.openxmlformats.org/officeDocument/2006/relationships/hyperlink" Target="https://www.thunderbolts.info/wp/eu-guide/" TargetMode="External"/><Relationship Id="rId53" Type="http://schemas.openxmlformats.org/officeDocument/2006/relationships/hyperlink" Target="https://www.thunderbolts.info" TargetMode="External"/><Relationship Id="rId54" Type="http://schemas.openxmlformats.org/officeDocument/2006/relationships/hyperlink" Target="https://archive.org/details/worldsincollisio00veli" TargetMode="External"/><Relationship Id="rId55" Type="http://schemas.openxmlformats.org/officeDocument/2006/relationships/hyperlink" Target="https://en.wikipedia.org/wiki/Hannes_Alfv%C3%A9n" TargetMode="External"/><Relationship Id="rId56" Type="http://schemas.openxmlformats.org/officeDocument/2006/relationships/hyperlink" Target="https://www.safireproject.com/" TargetMode="External"/><Relationship Id="rId57" Type="http://schemas.openxmlformats.org/officeDocument/2006/relationships/hyperlink" Target="https://www.jpl.nasa.gov/missions/deep-impact" TargetMode="External"/><Relationship Id="rId58" Type="http://schemas.openxmlformats.org/officeDocument/2006/relationships/hyperlink" Target="https://en.wikipedia.org/wiki/Birkeland_current" TargetMode="External"/><Relationship Id="rId59" Type="http://schemas.openxmlformats.org/officeDocument/2006/relationships/hyperlink" Target="https://www.thunderbolts.info/wp/authors/dave-talbott/" TargetMode="External"/><Relationship Id="rId60" Type="http://schemas.openxmlformats.org/officeDocument/2006/relationships/hyperlink" Target="https://en.wikipedia.org/wiki/Dwardu_Cardona" TargetMode="External"/><Relationship Id="rId61" Type="http://schemas.openxmlformats.org/officeDocument/2006/relationships/hyperlink" Target="https://en.wikipedia.org/wiki/Brown_dwarf" TargetMode="External"/><Relationship Id="rId62" Type="http://schemas.openxmlformats.org/officeDocument/2006/relationships/hyperlink" Target="https://www.thunderbolts.info/wp/resources/dvd-blu-ray/symbols-of-an-alien-sky/" TargetMode="External"/><Relationship Id="rId63" Type="http://schemas.openxmlformats.org/officeDocument/2006/relationships/hyperlink" Target="https://www.thunderbolts.info/wp/resources/dvd-blu-ray/the-lightning-scarred-planet-mars/" TargetMode="External"/><Relationship Id="rId64" Type="http://schemas.openxmlformats.org/officeDocument/2006/relationships/hyperlink" Target="https://www.nasa.gov/webb" TargetMode="External"/><Relationship Id="rId65" Type="http://schemas.openxmlformats.org/officeDocument/2006/relationships/hyperlink" Target="https://en.wikipedia.org/wiki/Richard_Feynman" TargetMode="External"/><Relationship Id="rId66" Type="http://schemas.openxmlformats.org/officeDocument/2006/relationships/hyperlink" Target="https://en.wikipedia.org/wiki/Martin_Rees" TargetMode="External"/><Relationship Id="rId67" Type="http://schemas.openxmlformats.org/officeDocument/2006/relationships/hyperlink" Target="/timeline/evt-before-creation" TargetMode="External"/><Relationship Id="rId68" Type="http://schemas.openxmlformats.org/officeDocument/2006/relationships/hyperlink" Target="/timeline/evt-cosmic-life-cycle" TargetMode="External"/><Relationship Id="rId69" Type="http://schemas.openxmlformats.org/officeDocument/2006/relationships/hyperlink" Target="https://www.youtube.com/watch?v=wOwkIGNkQCw" TargetMode="External"/><Relationship Id="rId70" Type="http://schemas.openxmlformats.org/officeDocument/2006/relationships/hyperlink" Target="https://youtu.be/_NZi3HHjYk4" TargetMode="External"/><Relationship Id="rId71" Type="http://schemas.openxmlformats.org/officeDocument/2006/relationships/hyperlink" Target="https://www.youtube.com/watch?v=rp3pJG6IIQQ" TargetMode="External"/><Relationship Id="rId72" Type="http://schemas.openxmlformats.org/officeDocument/2006/relationships/hyperlink" Target="https://en.wikipedia.org/wiki/Wal_Thornhill" TargetMode="External"/><Relationship Id="rId73" Type="http://schemas.openxmlformats.org/officeDocument/2006/relationships/hyperlink" Target="https://www.holoscience.com" TargetMode="External"/><Relationship Id="rId74" Type="http://schemas.openxmlformats.org/officeDocument/2006/relationships/hyperlink" Target="https://en.wikipedia.org/wiki/Electric_universe_theory" TargetMode="External"/><Relationship Id="rId75" Type="http://schemas.openxmlformats.org/officeDocument/2006/relationships/hyperlink" Target="https://en.wikipedia.org/wiki/Case_Western_Reserve_University" TargetMode="External"/><Relationship Id="rId76" Type="http://schemas.openxmlformats.org/officeDocument/2006/relationships/hyperlink" Target="https://en.wikipedia.org/wiki/McGraw-Hill" TargetMode="External"/><Relationship Id="rId77" Type="http://schemas.openxmlformats.org/officeDocument/2006/relationships/hyperlink" Target="https://www.velikovsky.info/pens%C3%A9e/" TargetMode="External"/><Relationship Id="rId78" Type="http://schemas.openxmlformats.org/officeDocument/2006/relationships/hyperlink" Target="https://www.velikovsky.info/kronos/" TargetMode="External"/><Relationship Id="rId79" Type="http://schemas.openxmlformats.org/officeDocument/2006/relationships/hyperlink" Target="https://en.wikipedia.org/wiki/Immanuel_Velikovsky" TargetMode="External"/><Relationship Id="rId80" Type="http://schemas.openxmlformats.org/officeDocument/2006/relationships/hyperlink" Target="https://en.wikipedia.org/wiki/Wikipedia:Articles_for_deletion/Ralph_Juergens" TargetMode="External"/><Relationship Id="rId81" Type="http://schemas.openxmlformats.org/officeDocument/2006/relationships/hyperlink" Target="https://www.velikovsky.info/alfred-de-grazia/" TargetMode="External"/><Relationship Id="rId82" Type="http://schemas.openxmlformats.org/officeDocument/2006/relationships/hyperlink" Target="https://www.velikovsky.info/livio-catullo-stecchini/" TargetMode="External"/><Relationship Id="rId83" Type="http://schemas.openxmlformats.org/officeDocument/2006/relationships/hyperlink" Target="https://en.wikipedia.org/wiki/American_Behavioral_Scientist" TargetMode="External"/><Relationship Id="rId84" Type="http://schemas.openxmlformats.org/officeDocument/2006/relationships/hyperlink" Target="https://archive.org/details/velikovskyaffair00degr" TargetMode="External"/><Relationship Id="rId85" Type="http://schemas.openxmlformats.org/officeDocument/2006/relationships/hyperlink" Target="https://www.velikovsky.info/foundation-for-studies-of-modern-science/" TargetMode="External"/><Relationship Id="rId86" Type="http://schemas.openxmlformats.org/officeDocument/2006/relationships/hyperlink" Target="https://www.velikovsky.info/richard-p-kramer/" TargetMode="External"/><Relationship Id="rId87" Type="http://schemas.openxmlformats.org/officeDocument/2006/relationships/hyperlink" Target="https://www.kronos-press.com/juergens/" TargetMode="External"/><Relationship Id="rId88" Type="http://schemas.openxmlformats.org/officeDocument/2006/relationships/hyperlink" Target="https://en.wikipedia.org/wiki/Melvin_A._Cook" TargetMode="External"/><Relationship Id="rId89" Type="http://schemas.openxmlformats.org/officeDocument/2006/relationships/hyperlink" Target="https://www.velikovsky.info/charles-bruce-(physicist)/" TargetMode="External"/><Relationship Id="rId90" Type="http://schemas.openxmlformats.org/officeDocument/2006/relationships/hyperlink" Target="https://www.kronos-press.com/juergens/k0404-stellar.htm" TargetMode="External"/><Relationship Id="rId91" Type="http://schemas.openxmlformats.org/officeDocument/2006/relationships/hyperlink" Target="https://www.kronos-press.com/juergens/k0404-photosphere.htm" TargetMode="External"/><Relationship Id="rId92" Type="http://schemas.openxmlformats.org/officeDocument/2006/relationships/hyperlink" Target="https://www.genealogybank.com/doc/ssdi/news/v1:112D897B0965B748" TargetMode="External"/><Relationship Id="rId93" Type="http://schemas.openxmlformats.org/officeDocument/2006/relationships/hyperlink" Target="/timeline/evt-4077-bce-the-golden-age" TargetMode="External"/><Relationship Id="rId94" Type="http://schemas.openxmlformats.org/officeDocument/2006/relationships/hyperlink" Target="https://www.kronos-press.com/juergens/k0801-electric-i.htm" TargetMode="External"/><Relationship Id="rId95" Type="http://schemas.openxmlformats.org/officeDocument/2006/relationships/hyperlink" Target="https://www.kronos-press.com/juergens/k0802-electric-ii.htm" TargetMode="External"/><Relationship Id="rId96" Type="http://schemas.openxmlformats.org/officeDocument/2006/relationships/hyperlink" Target="https://www.velikovsky.info/ralph-juergens/" TargetMode="External"/><Relationship Id="rId97" Type="http://schemas.openxmlformats.org/officeDocument/2006/relationships/hyperlink" Target="https://thesecularheretic.com/the-electric-universe-heresy/" TargetMode="External"/><Relationship Id="rId98" Type="http://schemas.openxmlformats.org/officeDocument/2006/relationships/hyperlink" Target="https://www.holoscience.com/wp/electric-gravity-in-an-electric-universe/" TargetMode="External"/><Relationship Id="rId99" Type="http://schemas.openxmlformats.org/officeDocument/2006/relationships/hyperlink" Target="https://en.wikipedia.org/wiki/Plasma_cosmology" TargetMode="External"/><Relationship Id="rId100" Type="http://schemas.openxmlformats.org/officeDocument/2006/relationships/hyperlink" Target="https://chronologia.org/en/seven/history.html" TargetMode="External"/><Relationship Id="rId101" Type="http://schemas.openxmlformats.org/officeDocument/2006/relationships/hyperlink" Target="/timeline/evt-authors-challenging-chronology" TargetMode="External"/><Relationship Id="rId102" Type="http://schemas.openxmlformats.org/officeDocument/2006/relationships/hyperlink" Target="https://chronologia.org" TargetMode="External"/><Relationship Id="rId103" Type="http://schemas.openxmlformats.org/officeDocument/2006/relationships/hyperlink" Target="https://thunderbolts.info" TargetMode="External"/><Relationship Id="rId104" Type="http://schemas.openxmlformats.org/officeDocument/2006/relationships/hyperlink" Target="https://www.academia.edu/9156691" TargetMode="External"/><Relationship Id="rId105" Type="http://schemas.openxmlformats.org/officeDocument/2006/relationships/hyperlink" Target="https://saturniancosmology.org" TargetMode="External"/><Relationship Id="rId106" Type="http://schemas.openxmlformats.org/officeDocument/2006/relationships/hyperlink" Target="https://saturniancosmology.org/books.php.html" TargetMode="External"/><Relationship Id="rId107" Type="http://schemas.openxmlformats.org/officeDocument/2006/relationships/hyperlink" Target="https://www.saturniancosmology.org/syn.php" TargetMode="External"/><Relationship Id="rId108" Type="http://schemas.openxmlformats.org/officeDocument/2006/relationships/hyperlink" Target="/timeline/evt-mudflood-evidence" TargetMode="External"/><Relationship Id="rId109" Type="http://schemas.openxmlformats.org/officeDocument/2006/relationships/hyperlink" Target="/cosmos/cosmology/de_grazia/README.md" TargetMode="External"/><Relationship Id="rId110" Type="http://schemas.openxmlformats.org/officeDocument/2006/relationships/hyperlink" Target="https://grazian-archive.com" TargetMode="External"/><Relationship Id="rId111" Type="http://schemas.openxmlformats.org/officeDocument/2006/relationships/hyperlink" Target="http://electric-cosmos.org" TargetMode="External"/><Relationship Id="rId112" Type="http://schemas.openxmlformats.org/officeDocument/2006/relationships/hyperlink" Target="/timeline/evt-other-challenges-to-chronology" TargetMode="External"/><Relationship Id="rId113" Type="http://schemas.openxmlformats.org/officeDocument/2006/relationships/hyperlink" Target="https://q-mag.org" TargetMode="External"/><Relationship Id="rId114" Type="http://schemas.openxmlformats.org/officeDocument/2006/relationships/hyperlink" Target="./content/00.overview/00.02.02-authors-cataclysm-texts.md" TargetMode="External"/><Relationship Id="rId115" Type="http://schemas.openxmlformats.org/officeDocument/2006/relationships/hyperlink" Target="http://metaresearch.org" TargetMode="External"/><Relationship Id="rId116" Type="http://schemas.openxmlformats.org/officeDocument/2006/relationships/hyperlink" Target="/timeline/evt-suppression-of-maxwell-aether" TargetMode="External"/><Relationship Id="rId117" Type="http://schemas.openxmlformats.org/officeDocument/2006/relationships/hyperlink" Target="/timeline/evt-flexner-report-suppression-of" TargetMode="External"/><Relationship Id="rId118" Type="http://schemas.openxmlformats.org/officeDocument/2006/relationships/hyperlink" Target="/timeline/evt-suppressed-energy-technology-cross-reference" TargetMode="External"/><Relationship Id="rId119" Type="http://schemas.openxmlformats.org/officeDocument/2006/relationships/header" Target="header2.xml"/><Relationship Id="rId120" Type="http://schemas.openxmlformats.org/officeDocument/2006/relationships/footer" Target="footer2.xml"/><Relationship Id="rId121" Type="http://schemas.openxmlformats.org/officeDocument/2006/relationships/hyperlink" Target="/timeline/evt-authors-appendix-part" TargetMode="External"/><Relationship Id="rId122" Type="http://schemas.openxmlformats.org/officeDocument/2006/relationships/hyperlink" Target="/timeline/evt-building-the-new-chronology-appendix" TargetMode="External"/><Relationship Id="rId123" Type="http://schemas.openxmlformats.org/officeDocument/2006/relationships/hyperlink" Target="/timeline/evt-timeline-synchronization-tables" TargetMode="External"/><Relationship Id="rId124" Type="http://schemas.openxmlformats.org/officeDocument/2006/relationships/hyperlink" Target="/timeline/evt-year-length-calendar-evidence" TargetMode="External"/><Relationship Id="rId125" Type="http://schemas.openxmlformats.org/officeDocument/2006/relationships/hyperlink" Target="/timeline/evt-mars-contacts-timeline" TargetMode="External"/><Relationship Id="rId126" Type="http://schemas.openxmlformats.org/officeDocument/2006/relationships/hyperlink" Target="/timeline/evt-mars-literature-author-profiles" TargetMode="External"/><Relationship Id="rId127" Type="http://schemas.openxmlformats.org/officeDocument/2006/relationships/hyperlink" Target="/timeline/evt-pyramids-myths-evidence" TargetMode="External"/><Relationship Id="rId128" Type="http://schemas.openxmlformats.org/officeDocument/2006/relationships/hyperlink" Target="/timeline/evt-fomenko-and-the-pyramid-question" TargetMode="External"/><Relationship Id="rId129" Type="http://schemas.openxmlformats.org/officeDocument/2006/relationships/hyperlink" Target="/timeline/evt-seven-days-of-creation" TargetMode="External"/><Relationship Id="rId130" Type="http://schemas.openxmlformats.org/officeDocument/2006/relationships/hyperlink" Target="/timeline/evt-golden-age-documentary-sequence-appendix" TargetMode="External"/><Relationship Id="rId131" Type="http://schemas.openxmlformats.org/officeDocument/2006/relationships/hyperlink" Target="/timeline/evt-appendix-narrative-control-part" TargetMode="External"/><Relationship Id="rId132" Type="http://schemas.openxmlformats.org/officeDocument/2006/relationships/hyperlink" Target="/timeline/evt-predictive-programming-film-tv-games" TargetMode="External"/><Relationship Id="rId133" Type="http://schemas.openxmlformats.org/officeDocument/2006/relationships/hyperlink" Target="/timeline/evt-predictive-programming-literature" TargetMode="External"/><Relationship Id="rId134" Type="http://schemas.openxmlformats.org/officeDocument/2006/relationships/hyperlink" Target="/timeline/evt-asimov-three-laws-and-marx-encoding" TargetMode="External"/><Relationship Id="rId135" Type="http://schemas.openxmlformats.org/officeDocument/2006/relationships/hyperlink" Target="/timeline/evt-controlled-opposition-thunderbolts-case-study" TargetMode="External"/><Relationship Id="rId136" Type="http://schemas.openxmlformats.org/officeDocument/2006/relationships/hyperlink" Target="/timeline/evt-operation-mockingbird-historical-chain" TargetMode="External"/><Relationship Id="rId137" Type="http://schemas.openxmlformats.org/officeDocument/2006/relationships/hyperlink" Target="/timeline/evt-controlled-opposition-managed-disclosure" TargetMode="External"/><Relationship Id="rId138" Type="http://schemas.openxmlformats.org/officeDocument/2006/relationships/hyperlink" Target="/timeline/evt-censorship-pattern" TargetMode="External"/><Relationship Id="rId139" Type="http://schemas.openxmlformats.org/officeDocument/2006/relationships/hyperlink" Target="/timeline/evt-censorship-historical-timeline" TargetMode="External"/><Relationship Id="rId140" Type="http://schemas.openxmlformats.org/officeDocument/2006/relationships/hyperlink" Target="/timeline/evt-appendix-conflict-empire-part" TargetMode="External"/><Relationship Id="rId141" Type="http://schemas.openxmlformats.org/officeDocument/2006/relationships/hyperlink" Target="/timeline/evt-false-flags-architecture" TargetMode="External"/><Relationship Id="rId142" Type="http://schemas.openxmlformats.org/officeDocument/2006/relationships/hyperlink" Target="/timeline/evt-false-flags-investigation" TargetMode="External"/><Relationship Id="rId143" Type="http://schemas.openxmlformats.org/officeDocument/2006/relationships/hyperlink" Target="/timeline/evt-hordian-empire-fracture" TargetMode="External"/><Relationship Id="rId144" Type="http://schemas.openxmlformats.org/officeDocument/2006/relationships/hyperlink" Target="/timeline/evt-slave-trades-evidence" TargetMode="External"/><Relationship Id="rId145" Type="http://schemas.openxmlformats.org/officeDocument/2006/relationships/hyperlink" Target="/timeline/evt-british-empire-case-studies" TargetMode="External"/><Relationship Id="rId146" Type="http://schemas.openxmlformats.org/officeDocument/2006/relationships/hyperlink" Target="/timeline/evt-jesuit-ops-conversion-empire" TargetMode="External"/><Relationship Id="rId147" Type="http://schemas.openxmlformats.org/officeDocument/2006/relationships/hyperlink" Target="/timeline/evt-napoleonic-wars-1812-evidence" TargetMode="External"/><Relationship Id="rId148" Type="http://schemas.openxmlformats.org/officeDocument/2006/relationships/hyperlink" Target="/timeline/evt-reverse-crusades-structural-comparison" TargetMode="External"/><Relationship Id="rId149" Type="http://schemas.openxmlformats.org/officeDocument/2006/relationships/hyperlink" Target="/timeline/evt-21st-century-geopolitics-extended" TargetMode="External"/><Relationship Id="rId150" Type="http://schemas.openxmlformats.org/officeDocument/2006/relationships/hyperlink" Target="/timeline/evt-world-war-ii-aftermath-extended" TargetMode="External"/><Relationship Id="rId151" Type="http://schemas.openxmlformats.org/officeDocument/2006/relationships/hyperlink" Target="/timeline/evt-appendix-science-society-part" TargetMode="External"/><Relationship Id="rId152" Type="http://schemas.openxmlformats.org/officeDocument/2006/relationships/hyperlink" Target="/timeline/evt-soviet-historiography-bogdanov" TargetMode="External"/><Relationship Id="rId153" Type="http://schemas.openxmlformats.org/officeDocument/2006/relationships/hyperlink" Target="/timeline/evt-einstein-1905-aether-theoretical-physics-appendix" TargetMode="External"/><Relationship Id="rId154" Type="http://schemas.openxmlformats.org/officeDocument/2006/relationships/hyperlink" Target="/timeline/evt-population-control-timeline-15th-21st-centuries" TargetMode="External"/><Relationship Id="rId155" Type="http://schemas.openxmlformats.org/officeDocument/2006/relationships/hyperlink" Target="/timeline/evt-historical-antibodies-profiles" TargetMode="External"/><Relationship Id="rId156" Type="http://schemas.openxmlformats.org/officeDocument/2006/relationships/hyperlink" Target="/timeline/evt-trump-case-study-extended" TargetMode="External"/><Relationship Id="rId157" Type="http://schemas.openxmlformats.org/officeDocument/2006/relationships/hyperlink" Target="/timeline/evt-appendix-cataclysm-memory-part" TargetMode="External"/><Relationship Id="rId158" Type="http://schemas.openxmlformats.org/officeDocument/2006/relationships/hyperlink" Target="/timeline/evt-orphan-trains-trail-of-tears-evidence" TargetMode="External"/><Relationship Id="rId159" Type="http://schemas.openxmlformats.org/officeDocument/2006/relationships/hyperlink" Target="/timeline/evt-slow-ecological-collapse-mfee-donner-appendix" TargetMode="External"/><Relationship Id="rId160" Type="http://schemas.openxmlformats.org/officeDocument/2006/relationships/hyperlink" Target="/timeline/evt-new-world-naming-mfee-colonization-memory-appendix" TargetMode="External"/><Relationship Id="rId161" Type="http://schemas.openxmlformats.org/officeDocument/2006/relationships/hyperlink" Target="/timeline/evt-giants-infantry-guerrilla-childrens-crusade-etymology" TargetMode="External"/><Relationship Id="rId162" Type="http://schemas.openxmlformats.org/officeDocument/2006/relationships/hyperlink" Target="/history/chronology/investigations/rus-horde-english-political-lexicon-speculation.md" TargetMode="External"/><Relationship Id="rId163" Type="http://schemas.openxmlformats.org/officeDocument/2006/relationships/hyperlink" Target="/history/chronology/investigations/etana-sumerian-king-list-saturnian-investigation.md" TargetMode="External"/><Relationship Id="rId164" Type="http://schemas.openxmlformats.org/officeDocument/2006/relationships/hyperlink" Target="/timeline/evt-credits" TargetMode="External"/><Relationship Id="rId165" Type="http://schemas.openxmlformats.org/officeDocument/2006/relationships/hyperlink" Target="https://github.com/clevertree/paradigm-threat-timeline/blob/main/docs/FEEDBACK.md" TargetMode="External"/><Relationship Id="rId166" Type="http://schemas.openxmlformats.org/officeDocument/2006/relationships/hyperlink" Target="https://github.com/clevertree/paradigm-threat-files/blob/master/history/chronology/page.md" TargetMode="External"/><Relationship Id="rId167" Type="http://schemas.openxmlformats.org/officeDocument/2006/relationships/hyperlink" Target="https://github.com/clevertree/paradigm-threat-timeline/blob/main/content/00.overview/00.02.00-background.md" TargetMode="External"/><Relationship Id="rId168" Type="http://schemas.openxmlformats.org/officeDocument/2006/relationships/hyperlink" Target="http://www.ras.ru/digest/fdigestlist/bulletin.aspx" TargetMode="External"/><Relationship Id="rId169" Type="http://schemas.openxmlformats.org/officeDocument/2006/relationships/hyperlink" Target="/timeline/evt-new-religion-of-constancy" TargetMode="External"/><Relationship Id="rId170" Type="http://schemas.openxmlformats.org/officeDocument/2006/relationships/hyperlink" Target="/timeline/evt-670-bce-the-blip" TargetMode="External"/><Relationship Id="rId171" Type="http://schemas.openxmlformats.org/officeDocument/2006/relationships/hyperlink" Target="/timeline/evt-building-the-new-chronology" TargetMode="External"/><Relationship Id="rId172" Type="http://schemas.openxmlformats.org/officeDocument/2006/relationships/hyperlink" Target="/timeline/evt-timeline-synchronization" TargetMode="External"/><Relationship Id="rId173" Type="http://schemas.openxmlformats.org/officeDocument/2006/relationships/hyperlink" Target="/timeline/evt-the-length-of-a-year-changes-throughout-antiquity" TargetMode="External"/><Relationship Id="rId174" Type="http://schemas.openxmlformats.org/officeDocument/2006/relationships/hyperlink" Target="/timeline/evt-1774-ce-the-mars-catastrophe-brandenburgs-nuclear-evidence" TargetMode="External"/><Relationship Id="rId175" Type="http://schemas.openxmlformats.org/officeDocument/2006/relationships/hyperlink" Target="/timeline/evt-1773-ce-the-rebellion-of-pugachev" TargetMode="External"/><Relationship Id="rId176" Type="http://schemas.openxmlformats.org/officeDocument/2006/relationships/hyperlink" Target="https://armscontrolcenter.org/fact-sheet-directed-energy-weapons/" TargetMode="External"/><Relationship Id="rId177" Type="http://schemas.openxmlformats.org/officeDocument/2006/relationships/hyperlink" Target="/timeline/evt-1774-ce-the-mars-catastrophe" TargetMode="External"/><Relationship Id="rId178" Type="http://schemas.openxmlformats.org/officeDocument/2006/relationships/hyperlink" Target="/timeline/evt-the-mudflood-world-cataclysm" TargetMode="External"/><Relationship Id="rId179" Type="http://schemas.openxmlformats.org/officeDocument/2006/relationships/hyperlink" Target="/influence/predictive_programming/fiction_encoding/wells/index-island-of-dr-moreau.md" TargetMode="External"/><Relationship Id="rId180" Type="http://schemas.openxmlformats.org/officeDocument/2006/relationships/hyperlink" Target="/influence/predictive_programming/fiction_encoding/tolkien/ARTICLE-palantir-analysis.md" TargetMode="External"/><Relationship Id="rId181" Type="http://schemas.openxmlformats.org/officeDocument/2006/relationships/hyperlink" Target="/timeline/evt-1814-ce-aftermath-of-1812-russian-pursuit-to-paris" TargetMode="External"/><Relationship Id="rId182" Type="http://schemas.openxmlformats.org/officeDocument/2006/relationships/hyperlink" Target="/influence/predictive_programming/fiction_encoding/wells/massacre-of-mankind-2017-reference.md" TargetMode="External"/><Relationship Id="rId183" Type="http://schemas.openxmlformats.org/officeDocument/2006/relationships/hyperlink" Target="/timeline/evt-pyramids-myths-vs-reality" TargetMode="External"/><Relationship Id="rId184" Type="http://schemas.openxmlformats.org/officeDocument/2006/relationships/hyperlink" Target="https://chronologia.org/en/how_it_was/04_10.html" TargetMode="External"/><Relationship Id="rId185" Type="http://schemas.openxmlformats.org/officeDocument/2006/relationships/hyperlink" Target="https://www.geopolymer.org" TargetMode="External"/><Relationship Id="rId186" Type="http://schemas.openxmlformats.org/officeDocument/2006/relationships/hyperlink" Target="/timeline/evt-geopolymer-concrete-horde-secret" TargetMode="External"/><Relationship Id="rId187" Type="http://schemas.openxmlformats.org/officeDocument/2006/relationships/hyperlink" Target="https://en.wikipedia.org/wiki/Cronus" TargetMode="External"/><Relationship Id="rId188" Type="http://schemas.openxmlformats.org/officeDocument/2006/relationships/hyperlink" Target="/timeline/evt-proto-saturn-joins-the-sun-s-orbit" TargetMode="External"/><Relationship Id="rId189" Type="http://schemas.openxmlformats.org/officeDocument/2006/relationships/hyperlink" Target="/timeline/evt-atlantis-and-the-tree-of-knowledge" TargetMode="External"/><Relationship Id="rId190" Type="http://schemas.openxmlformats.org/officeDocument/2006/relationships/hyperlink" Target="/timeline/evt-absu-layers-surrounded-planets" TargetMode="External"/><Relationship Id="rId191" Type="http://schemas.openxmlformats.org/officeDocument/2006/relationships/hyperlink" Target="/timeline/evt-northern-configuration" TargetMode="External"/><Relationship Id="rId192" Type="http://schemas.openxmlformats.org/officeDocument/2006/relationships/hyperlink" Target="/timeline/evt-3-plasmoids-southern-hemisphere" TargetMode="External"/><Relationship Id="rId193" Type="http://schemas.openxmlformats.org/officeDocument/2006/relationships/hyperlink" Target="/timeline/evt-3147-bce-the-golden-age-ends-violently" TargetMode="External"/><Relationship Id="rId194" Type="http://schemas.openxmlformats.org/officeDocument/2006/relationships/hyperlink" Target="/timeline/evt-3147-bce-the-dark-ages" TargetMode="External"/><Relationship Id="rId195" Type="http://schemas.openxmlformats.org/officeDocument/2006/relationships/hyperlink" Target="https://saturniancosmology.org/mech.php" TargetMode="External"/><Relationship Id="rId196" Type="http://schemas.openxmlformats.org/officeDocument/2006/relationships/hyperlink" Target="https://www.thunderbolts.info/wp/2014/12/19/never-the-twain-shall-meet/" TargetMode="External"/><Relationship Id="rId197" Type="http://schemas.openxmlformats.org/officeDocument/2006/relationships/hyperlink" Target="https://www.biblegateway.com/passage/?search=Genesis+7%3A4&amp;version=KJV" TargetMode="External"/><Relationship Id="rId198" Type="http://schemas.openxmlformats.org/officeDocument/2006/relationships/hyperlink" Target="https://www.biblegateway.com/passage/?search=Isaiah+30%3A26&amp;version=KJV" TargetMode="External"/><Relationship Id="rId199" Type="http://schemas.openxmlformats.org/officeDocument/2006/relationships/hyperlink" Target="https://saturniancosmology.org/polar.php" TargetMode="External"/><Relationship Id="rId200" Type="http://schemas.openxmlformats.org/officeDocument/2006/relationships/hyperlink" Target="https://saturniancosmology.org/time.php" TargetMode="External"/><Relationship Id="rId201" Type="http://schemas.openxmlformats.org/officeDocument/2006/relationships/hyperlink" Target="https://saturniancosmology.org/intro.php" TargetMode="External"/><Relationship Id="rId202" Type="http://schemas.openxmlformats.org/officeDocument/2006/relationships/hyperlink" Target="https://www.biblegateway.com/passage/?search=Genesis+1&amp;version=KJV" TargetMode="External"/><Relationship Id="rId203" Type="http://schemas.openxmlformats.org/officeDocument/2006/relationships/hyperlink" Target="https://en.wikipedia.org/wiki/Week#History" TargetMode="External"/><Relationship Id="rId204" Type="http://schemas.openxmlformats.org/officeDocument/2006/relationships/hyperlink" Target="https://www.youtube.com/watch?v=oophJNlP-fk" TargetMode="External"/><Relationship Id="rId205" Type="http://schemas.openxmlformats.org/officeDocument/2006/relationships/hyperlink" Target="/history/chronology/investigations/golden-age-event-dates.md" TargetMode="External"/><Relationship Id="rId206" Type="http://schemas.openxmlformats.org/officeDocument/2006/relationships/header" Target="header3.xml"/><Relationship Id="rId207" Type="http://schemas.openxmlformats.org/officeDocument/2006/relationships/footer" Target="footer3.xml"/><Relationship Id="rId208" Type="http://schemas.openxmlformats.org/officeDocument/2006/relationships/hyperlink" Target="/influence/predictive_programming/fiction_encoding/fiction-presented-as-fact-investigation.md" TargetMode="External"/><Relationship Id="rId209" Type="http://schemas.openxmlformats.org/officeDocument/2006/relationships/hyperlink" Target="https://en.wikipedia.org/wiki/The_Wizard_of_Oz_(1939_film)" TargetMode="External"/><Relationship Id="rId210" Type="http://schemas.openxmlformats.org/officeDocument/2006/relationships/hyperlink" Target="/timeline/evt-the-giants-of-the-rus-horde" TargetMode="External"/><Relationship Id="rId211" Type="http://schemas.openxmlformats.org/officeDocument/2006/relationships/hyperlink" Target="https://en.wikipedia.org/wiki/Florence_Deeks" TargetMode="External"/><Relationship Id="rId212" Type="http://schemas.openxmlformats.org/officeDocument/2006/relationships/hyperlink" Target="https://en.wikipedia.org/wiki/Active_Denial_System" TargetMode="External"/><Relationship Id="rId213" Type="http://schemas.openxmlformats.org/officeDocument/2006/relationships/hyperlink" Target="https://en.wikipedia.org/wiki/The_War_of_the_Worlds_(1938_radio_drama)" TargetMode="External"/><Relationship Id="rId214" Type="http://schemas.openxmlformats.org/officeDocument/2006/relationships/hyperlink" Target="/timeline/evt-american-chestnut-blight-martian" TargetMode="External"/><Relationship Id="rId215" Type="http://schemas.openxmlformats.org/officeDocument/2006/relationships/hyperlink" Target="/influence/predictive_programming/fiction_encoding/compromised-court-cases-declared-reality-investigation.md" TargetMode="External"/><Relationship Id="rId216" Type="http://schemas.openxmlformats.org/officeDocument/2006/relationships/hyperlink" Target="/timeline/evt-1421-ce-meteorite-falls-on-yaroslavl" TargetMode="External"/><Relationship Id="rId217" Type="http://schemas.openxmlformats.org/officeDocument/2006/relationships/hyperlink" Target="/timeline/evt-language-of-the-deep-state" TargetMode="External"/><Relationship Id="rId218" Type="http://schemas.openxmlformats.org/officeDocument/2006/relationships/hyperlink" Target="/influence/predictive_programming/fiction_encoding/thompson/thompson-managed-disclosure-investigation.md" TargetMode="External"/><Relationship Id="rId219" Type="http://schemas.openxmlformats.org/officeDocument/2006/relationships/hyperlink" Target="/influence/predictive_programming/fiction_encoding/stoker/index-dracula.md" TargetMode="External"/><Relationship Id="rId220" Type="http://schemas.openxmlformats.org/officeDocument/2006/relationships/hyperlink" Target="/timeline/evt-1300-ce-14th-century-ce-the-great-expansion-triumph-and-betr" TargetMode="External"/><Relationship Id="rId221" Type="http://schemas.openxmlformats.org/officeDocument/2006/relationships/hyperlink" Target="https://paradigmthreat.net/influence/predictive_programming/fiction_encoding/ed-wood-plan9/index-ed-wood-plan9-investigation" TargetMode="External"/><Relationship Id="rId222" Type="http://schemas.openxmlformats.org/officeDocument/2006/relationships/hyperlink" Target="/influence/predictive_programming/fiction_encoding/urantia/index-urantia-book-investigation.md" TargetMode="External"/><Relationship Id="rId223" Type="http://schemas.openxmlformats.org/officeDocument/2006/relationships/hyperlink" Target="/influence/predictive_programming/fiction_encoding/swift/swift-tartary-rus-timeline-mirrors.md" TargetMode="External"/><Relationship Id="rId224" Type="http://schemas.openxmlformats.org/officeDocument/2006/relationships/hyperlink" Target="/influence/predictive_programming/fiction_encoding/swift/swift-mars-giants-publication-stance.md" TargetMode="External"/><Relationship Id="rId225" Type="http://schemas.openxmlformats.org/officeDocument/2006/relationships/hyperlink" Target="/influence/predictive_programming/fiction_encoding/swift/swift-investigation-debate-rails-and-drift.md" TargetMode="External"/><Relationship Id="rId226" Type="http://schemas.openxmlformats.org/officeDocument/2006/relationships/hyperlink" Target="/timeline/evt-1726-ce-gullivers-travels-managed-disclosure" TargetMode="External"/><Relationship Id="rId227" Type="http://schemas.openxmlformats.org/officeDocument/2006/relationships/hyperlink" Target="https://paradigmthreat.net/influence/predictive_programming/fiction_encoding/grrm/index-george-rr-martin-world-of-ice-and-fire-investigation.md" TargetMode="External"/><Relationship Id="rId228" Type="http://schemas.openxmlformats.org/officeDocument/2006/relationships/hyperlink" Target="/history/chronology/page.md" TargetMode="External"/><Relationship Id="rId229" Type="http://schemas.openxmlformats.org/officeDocument/2006/relationships/hyperlink" Target="/cosmos/mars/investigations/index-mars.md" TargetMode="External"/><Relationship Id="rId230" Type="http://schemas.openxmlformats.org/officeDocument/2006/relationships/hyperlink" Target="https://en.wikipedia.org/wiki/Red_Book_of_Hergest" TargetMode="External"/><Relationship Id="rId231" Type="http://schemas.openxmlformats.org/officeDocument/2006/relationships/hyperlink" Target="https://paradigmthreat.net/influence/predictive_programming/fiction_encoding/princess-bride/index-princess-bride-andronicus-fezzik-investigation.md" TargetMode="External"/><Relationship Id="rId232" Type="http://schemas.openxmlformats.org/officeDocument/2006/relationships/hyperlink" Target="https://en.wikipedia.org/wiki/Nazi_book_burnings" TargetMode="External"/><Relationship Id="rId233" Type="http://schemas.openxmlformats.org/officeDocument/2006/relationships/hyperlink" Target="/timeline/evt-mars-literature-as-reclassified-nonfiction" TargetMode="External"/><Relationship Id="rId234" Type="http://schemas.openxmlformats.org/officeDocument/2006/relationships/hyperlink" Target="/timeline/evt-historical-antibodies-pattern" TargetMode="External"/><Relationship Id="rId235" Type="http://schemas.openxmlformats.org/officeDocument/2006/relationships/hyperlink" Target="/cosmos/mars/investigations/mars-fiction-survey.md" TargetMode="External"/><Relationship Id="rId236" Type="http://schemas.openxmlformats.org/officeDocument/2006/relationships/hyperlink" Target="https://chronologia.org/en/how_it_was/08_21.html" TargetMode="External"/><Relationship Id="rId237" Type="http://schemas.openxmlformats.org/officeDocument/2006/relationships/hyperlink" Target="/timeline/evt-deep-state-the-census-naming" TargetMode="External"/><Relationship Id="rId238" Type="http://schemas.openxmlformats.org/officeDocument/2006/relationships/hyperlink" Target="/timeline/evt-slave-trades-and-the-horde-fracture" TargetMode="External"/><Relationship Id="rId239" Type="http://schemas.openxmlformats.org/officeDocument/2006/relationships/hyperlink" Target="/timeline/evt-jesuits-make-pilgrimage-to" TargetMode="External"/><Relationship Id="rId240" Type="http://schemas.openxmlformats.org/officeDocument/2006/relationships/hyperlink" Target="/timeline/evt-1613-ce-romanovs-zakharyin-yurievs-dynasty-takes-the-throne" TargetMode="External"/><Relationship Id="rId241" Type="http://schemas.openxmlformats.org/officeDocument/2006/relationships/hyperlink" Target="/timeline/evt-gregorian-calendar-makes-slight" TargetMode="External"/><Relationship Id="rId242" Type="http://schemas.openxmlformats.org/officeDocument/2006/relationships/hyperlink" Target="/timeline/evt-1627-ce-deep-state-erases-russian-empire-from-all-chronology" TargetMode="External"/><Relationship Id="rId243" Type="http://schemas.openxmlformats.org/officeDocument/2006/relationships/hyperlink" Target="/timeline/evt-censorship-book-burning-from" TargetMode="External"/><Relationship Id="rId244" Type="http://schemas.openxmlformats.org/officeDocument/2006/relationships/hyperlink" Target="/timeline/evt-russian-intellectual-emigration" TargetMode="External"/><Relationship Id="rId245" Type="http://schemas.openxmlformats.org/officeDocument/2006/relationships/header" Target="header4.xml"/><Relationship Id="rId246" Type="http://schemas.openxmlformats.org/officeDocument/2006/relationships/footer" Target="footer4.xml"/><Relationship Id="rId247" Type="http://schemas.openxmlformats.org/officeDocument/2006/relationships/hyperlink" Target="/timeline/evt-false-flags-architecture-of" TargetMode="External"/><Relationship Id="rId248" Type="http://schemas.openxmlformats.org/officeDocument/2006/relationships/hyperlink" Target="/events/false_flag/investigations/09-11-investigation.md" TargetMode="External"/><Relationship Id="rId249" Type="http://schemas.openxmlformats.org/officeDocument/2006/relationships/hyperlink" Target="https://jamesperloff.net/pearl-harbor-roosevelts-911/" TargetMode="External"/><Relationship Id="rId250" Type="http://schemas.openxmlformats.org/officeDocument/2006/relationships/hyperlink" Target="https://www.falseflag.info/pearl-harbor/" TargetMode="External"/><Relationship Id="rId251" Type="http://schemas.openxmlformats.org/officeDocument/2006/relationships/hyperlink" Target="https://hofs.online/the-encyclopedia-of-false-flag-staged-operations/" TargetMode="External"/><Relationship Id="rId252" Type="http://schemas.openxmlformats.org/officeDocument/2006/relationships/hyperlink" Target="https://en.wikipedia.org/wiki/Pearl_Harbor_advance-knowledge_conspiracy_theory" TargetMode="External"/><Relationship Id="rId253" Type="http://schemas.openxmlformats.org/officeDocument/2006/relationships/hyperlink" Target="https://en.wikipedia.org/wiki/McCollum_memo" TargetMode="External"/><Relationship Id="rId254" Type="http://schemas.openxmlformats.org/officeDocument/2006/relationships/hyperlink" Target="https://en.wikipedia.org/wiki/Battle_of_Los_Angeles" TargetMode="External"/><Relationship Id="rId255" Type="http://schemas.openxmlformats.org/officeDocument/2006/relationships/hyperlink" Target="https://apjjf.org/-Mark-Selden/2414/article.html" TargetMode="External"/><Relationship Id="rId256" Type="http://schemas.openxmlformats.org/officeDocument/2006/relationships/hyperlink" Target="https://cstms.berkeley.edu/current-events/napalm-in-world-war-ii-invention-test-the-bat-bomb-and-incinerating-japan/" TargetMode="External"/><Relationship Id="rId257" Type="http://schemas.openxmlformats.org/officeDocument/2006/relationships/hyperlink" Target="https://www.whatreallyhappened.com/WRHARTICLES/pearl.php" TargetMode="External"/><Relationship Id="rId258" Type="http://schemas.openxmlformats.org/officeDocument/2006/relationships/hyperlink" Target="https://www.ibiblio.org/pha/myths/Missing_Carriers.html" TargetMode="External"/><Relationship Id="rId259" Type="http://schemas.openxmlformats.org/officeDocument/2006/relationships/hyperlink" Target="/timeline/evt-british-empire-as-deep-state" TargetMode="External"/><Relationship Id="rId260" Type="http://schemas.openxmlformats.org/officeDocument/2006/relationships/hyperlink" Target="https://en.wikipedia.org/wiki/Government_reform_of_Peter_the_Great" TargetMode="External"/><Relationship Id="rId261" Type="http://schemas.openxmlformats.org/officeDocument/2006/relationships/hyperlink" Target="https://www.prlib.ru/en/history/619018" TargetMode="External"/><Relationship Id="rId262" Type="http://schemas.openxmlformats.org/officeDocument/2006/relationships/hyperlink" Target="https://en.wikipedia.org/wiki/Anti-Russian_sentiment#18th_and_19th_centuries" TargetMode="External"/><Relationship Id="rId263" Type="http://schemas.openxmlformats.org/officeDocument/2006/relationships/hyperlink" Target="https://www.rt.com/russia/569147-zakharova-odessa-monuments-history/" TargetMode="External"/><Relationship Id="rId264" Type="http://schemas.openxmlformats.org/officeDocument/2006/relationships/hyperlink" Target="https://chronologia.org/en/how_it_was/05.html#the7" TargetMode="External"/><Relationship Id="rId265" Type="http://schemas.openxmlformats.org/officeDocument/2006/relationships/hyperlink" Target="https://chronologia.org/en/how_it_was/06_21.html#the628" TargetMode="External"/><Relationship Id="rId266" Type="http://schemas.openxmlformats.org/officeDocument/2006/relationships/hyperlink" Target="/timeline/evt-1300-ce-european-religious" TargetMode="External"/><Relationship Id="rId267" Type="http://schemas.openxmlformats.org/officeDocument/2006/relationships/hyperlink" Target="/timeline/evt-1542-ce-the-holy-inquisition" TargetMode="External"/><Relationship Id="rId268" Type="http://schemas.openxmlformats.org/officeDocument/2006/relationships/hyperlink" Target="https://chronologia.org/en/how_it_was/07.html" TargetMode="External"/><Relationship Id="rId269" Type="http://schemas.openxmlformats.org/officeDocument/2006/relationships/hyperlink" Target="https://chronologia.org/en/how_it_was/08.html" TargetMode="External"/><Relationship Id="rId270" Type="http://schemas.openxmlformats.org/officeDocument/2006/relationships/hyperlink" Target="/timeline/evt-romanov-seizure-fracturing-of" TargetMode="External"/><Relationship Id="rId271" Type="http://schemas.openxmlformats.org/officeDocument/2006/relationships/hyperlink" Target="/timeline/evt-jesuit-restoration-mission-pattern" TargetMode="External"/><Relationship Id="rId272" Type="http://schemas.openxmlformats.org/officeDocument/2006/relationships/hyperlink" Target="https://en.wikipedia.org/wiki/Partition_of_India" TargetMode="External"/><Relationship Id="rId273" Type="http://schemas.openxmlformats.org/officeDocument/2006/relationships/hyperlink" Target="https://en.wikipedia.org/wiki/Balfour_Declaration" TargetMode="External"/><Relationship Id="rId274" Type="http://schemas.openxmlformats.org/officeDocument/2006/relationships/hyperlink" Target="https://en.wikipedia.org/wiki/Scramble_for_Africa" TargetMode="External"/><Relationship Id="rId275" Type="http://schemas.openxmlformats.org/officeDocument/2006/relationships/hyperlink" Target="https://en.wikipedia.org/wiki/Opium_Wars" TargetMode="External"/><Relationship Id="rId276" Type="http://schemas.openxmlformats.org/officeDocument/2006/relationships/hyperlink" Target="https://en.wikipedia.org/wiki/Meiji_Restoration" TargetMode="External"/><Relationship Id="rId277" Type="http://schemas.openxmlformats.org/officeDocument/2006/relationships/hyperlink" Target="/governance/war/investigations/pitcairn-bounty-mutiny-sovereignty-and-narratives.md#21-captain-bligh--books-naval-record-and-the-screens-tyrant-tahiti-as-suppressed-trigger" TargetMode="External"/><Relationship Id="rId278" Type="http://schemas.openxmlformats.org/officeDocument/2006/relationships/hyperlink" Target="/governance/war/investigations/pitcairn-bounty-mutiny-sovereignty-and-narratives.md" TargetMode="External"/><Relationship Id="rId279" Type="http://schemas.openxmlformats.org/officeDocument/2006/relationships/hyperlink" Target="/governance/war/investigations/pitcairn-island-timeline.md" TargetMode="External"/><Relationship Id="rId280" Type="http://schemas.openxmlformats.org/officeDocument/2006/relationships/hyperlink" Target="https://en.wikipedia.org/wiki/Monita_Secreta" TargetMode="External"/><Relationship Id="rId281" Type="http://schemas.openxmlformats.org/officeDocument/2006/relationships/hyperlink" Target="/timeline/evt-deep-state-redacts-christianity-into-jesuit-catholicism" TargetMode="External"/><Relationship Id="rId282" Type="http://schemas.openxmlformats.org/officeDocument/2006/relationships/hyperlink" Target="https://en.wikipedia.org/wiki/Ignatius_of_Loyola" TargetMode="External"/><Relationship Id="rId283" Type="http://schemas.openxmlformats.org/officeDocument/2006/relationships/hyperlink" Target="https://en.wikipedia.org/wiki/Spiritual_Exercises_of_Ignatius_of_Loyola" TargetMode="External"/><Relationship Id="rId284" Type="http://schemas.openxmlformats.org/officeDocument/2006/relationships/hyperlink" Target="https://sofrep.com/news/soldiers-god-catholicisms-special-operations-force/" TargetMode="External"/><Relationship Id="rId285" Type="http://schemas.openxmlformats.org/officeDocument/2006/relationships/hyperlink" Target="https://en.wikipedia.org/wiki/Maya_codices" TargetMode="External"/><Relationship Id="rId286" Type="http://schemas.openxmlformats.org/officeDocument/2006/relationships/hyperlink" Target="https://en.wikipedia.org/wiki/Diego_de_Landa" TargetMode="External"/><Relationship Id="rId287" Type="http://schemas.openxmlformats.org/officeDocument/2006/relationships/hyperlink" Target="https://en.wikipedia.org/wiki/Jesuit_reduction" TargetMode="External"/><Relationship Id="rId288" Type="http://schemas.openxmlformats.org/officeDocument/2006/relationships/hyperlink" Target="https://en.wikipedia.org/wiki/Carolingian_Empire" TargetMode="External"/><Relationship Id="rId289" Type="http://schemas.openxmlformats.org/officeDocument/2006/relationships/hyperlink" Target="https://en.wikipedia.org/wiki/Al-Aqsa_Mosque" TargetMode="External"/><Relationship Id="rId290" Type="http://schemas.openxmlformats.org/officeDocument/2006/relationships/hyperlink" Target="/timeline/evt-jesuits-missions-convert-asians-to-buddhism" TargetMode="External"/><Relationship Id="rId291" Type="http://schemas.openxmlformats.org/officeDocument/2006/relationships/hyperlink" Target="/timeline/evt-1718-ce-secret-society-of-jesus-goes-public" TargetMode="External"/><Relationship Id="rId292" Type="http://schemas.openxmlformats.org/officeDocument/2006/relationships/hyperlink" Target="/timeline/evt-from-missionaries-to-corporations" TargetMode="External"/><Relationship Id="rId293" Type="http://schemas.openxmlformats.org/officeDocument/2006/relationships/hyperlink" Target="https://en.wikipedia.org/wiki/18_Brumaire" TargetMode="External"/><Relationship Id="rId294" Type="http://schemas.openxmlformats.org/officeDocument/2006/relationships/hyperlink" Target="https://en.wikipedia.org/wiki/Rosetta_Stone" TargetMode="External"/><Relationship Id="rId295" Type="http://schemas.openxmlformats.org/officeDocument/2006/relationships/hyperlink" Target="https://en.wikipedia.org/wiki/Roller_coaster" TargetMode="External"/><Relationship Id="rId296" Type="http://schemas.openxmlformats.org/officeDocument/2006/relationships/hyperlink" Target="https://en.wikipedia.org/wiki/French_Aerostatic_Corps" TargetMode="External"/><Relationship Id="rId297" Type="http://schemas.openxmlformats.org/officeDocument/2006/relationships/hyperlink" Target="/governance/war/investigations/napoleonic-advanced-artillery-airship-investigation.md" TargetMode="External"/><Relationship Id="rId298" Type="http://schemas.openxmlformats.org/officeDocument/2006/relationships/hyperlink" Target="https://en.wikipedia.org/wiki/Grande_Arm%C3%A9e" TargetMode="External"/><Relationship Id="rId299" Type="http://schemas.openxmlformats.org/officeDocument/2006/relationships/hyperlink" Target="https://en.wikipedia.org/wiki/Louisiana_Purchase" TargetMode="External"/><Relationship Id="rId300" Type="http://schemas.openxmlformats.org/officeDocument/2006/relationships/hyperlink" Target="https://en.wikipedia.org/wiki/Battle_of_Borodino" TargetMode="External"/><Relationship Id="rId301" Type="http://schemas.openxmlformats.org/officeDocument/2006/relationships/hyperlink" Target="/timeline/evt-1880-ce-tchaikovsky-releases-1812-overture" TargetMode="External"/><Relationship Id="rId302" Type="http://schemas.openxmlformats.org/officeDocument/2006/relationships/hyperlink" Target="/governance/war/investigations/operation-paperclip-nazi-continuity-and-wwii-narrative-investigation.md" TargetMode="External"/><Relationship Id="rId303" Type="http://schemas.openxmlformats.org/officeDocument/2006/relationships/hyperlink" Target="/governance/war/investigations/reverse-crusades-comparison.md" TargetMode="External"/><Relationship Id="rId304" Type="http://schemas.openxmlformats.org/officeDocument/2006/relationships/hyperlink" Target="/timeline/evt-2000-ce-21st-century-the-final-struggle-reverse-crusade-iv" TargetMode="External"/><Relationship Id="rId305" Type="http://schemas.openxmlformats.org/officeDocument/2006/relationships/hyperlink" Target="/timeline/evt-world-war-ii-reverse-crusade-iii" TargetMode="External"/><Relationship Id="rId306" Type="http://schemas.openxmlformats.org/officeDocument/2006/relationships/hyperlink" Target="/history/mudflood" TargetMode="External"/><Relationship Id="rId307" Type="http://schemas.openxmlformats.org/officeDocument/2006/relationships/hyperlink" Target="/governance/war/investigations/vril-society.md" TargetMode="External"/><Relationship Id="rId308" Type="http://schemas.openxmlformats.org/officeDocument/2006/relationships/header" Target="header5.xml"/><Relationship Id="rId309" Type="http://schemas.openxmlformats.org/officeDocument/2006/relationships/footer" Target="footer5.xml"/><Relationship Id="rId310" Type="http://schemas.openxmlformats.org/officeDocument/2006/relationships/hyperlink" Target="/timeline/evt-weather-control-from-martian" TargetMode="External"/><Relationship Id="rId311" Type="http://schemas.openxmlformats.org/officeDocument/2006/relationships/hyperlink" Target="/timeline/evt-2009-ce-cern-s-lhc-portal" TargetMode="External"/><Relationship Id="rId312" Type="http://schemas.openxmlformats.org/officeDocument/2006/relationships/hyperlink" Target="/timeline/evt-challenging-established-physics" TargetMode="External"/><Relationship Id="rId313" Type="http://schemas.openxmlformats.org/officeDocument/2006/relationships/hyperlink" Target="/timeline/evt-nuclear-energy-bomb-most" TargetMode="External"/><Relationship Id="rId314" Type="http://schemas.openxmlformats.org/officeDocument/2006/relationships/hyperlink" Target="/science/geoengineering/weather-modification-investigation" TargetMode="External"/><Relationship Id="rId315" Type="http://schemas.openxmlformats.org/officeDocument/2006/relationships/hyperlink" Target="/science/havana_syndrome/havana-syndrome-investigation.md" TargetMode="External"/><Relationship Id="rId316" Type="http://schemas.openxmlformats.org/officeDocument/2006/relationships/hyperlink" Target="/science/cern_portal/index.md" TargetMode="External"/><Relationship Id="rId317" Type="http://schemas.openxmlformats.org/officeDocument/2006/relationships/hyperlink" Target="/cosmos/mars/investigations/mars-stock-market-correlation" TargetMode="External"/><Relationship Id="rId318" Type="http://schemas.openxmlformats.org/officeDocument/2006/relationships/hyperlink" Target="/science/telepathy/remote_viewing/aether-consciousness.md" TargetMode="External"/><Relationship Id="rId319" Type="http://schemas.openxmlformats.org/officeDocument/2006/relationships/hyperlink" Target="/science/nukes/investigations/nukes-dont-exist-investigation.md" TargetMode="External"/><Relationship Id="rId320" Type="http://schemas.openxmlformats.org/officeDocument/2006/relationships/hyperlink" Target="/timeline/evt-19th-century-weapons" TargetMode="External"/><Relationship Id="rId321" Type="http://schemas.openxmlformats.org/officeDocument/2006/relationships/hyperlink" Target="/science/maxwell_aether/01-burden-of-proof-debate.md" TargetMode="External"/><Relationship Id="rId322" Type="http://schemas.openxmlformats.org/officeDocument/2006/relationships/hyperlink" Target="/cosmos/cosmology/saturnian/index-safireproject.md" TargetMode="External"/><Relationship Id="rId323" Type="http://schemas.openxmlformats.org/officeDocument/2006/relationships/hyperlink" Target="/timeline/evt-controlled-opposition-appendix" TargetMode="External"/><Relationship Id="rId324" Type="http://schemas.openxmlformats.org/officeDocument/2006/relationships/hyperlink" Target="/timeline/evt-1492-ce-the-apocalypse-crusade" TargetMode="External"/><Relationship Id="rId325" Type="http://schemas.openxmlformats.org/officeDocument/2006/relationships/hyperlink" Target="/timeline/evt-1666-ce-london-burns-to-the-ground-sept-2-6-1666" TargetMode="External"/><Relationship Id="rId326" Type="http://schemas.openxmlformats.org/officeDocument/2006/relationships/hyperlink" Target="/timeline/evt-historical-antibodies" TargetMode="External"/><Relationship Id="rId327" Type="http://schemas.openxmlformats.org/officeDocument/2006/relationships/hyperlink" Target="/timeline/evt-shakespeare-encodes-the-horde" TargetMode="External"/><Relationship Id="rId328" Type="http://schemas.openxmlformats.org/officeDocument/2006/relationships/hyperlink" Target="/timeline/evt-trump" TargetMode="External"/><Relationship Id="rId329" Type="http://schemas.openxmlformats.org/officeDocument/2006/relationships/hyperlink" Target="https://www.loc.gov/collections/george-s-patton-diaries/about-this-collection/" TargetMode="External"/><Relationship Id="rId330" Type="http://schemas.openxmlformats.org/officeDocument/2006/relationships/hyperlink" Target="/events/trump/index-trump-investigation.md" TargetMode="External"/><Relationship Id="rId331" Type="http://schemas.openxmlformats.org/officeDocument/2006/relationships/header" Target="header6.xml"/><Relationship Id="rId332" Type="http://schemas.openxmlformats.org/officeDocument/2006/relationships/footer" Target="footer6.xml"/><Relationship Id="rId333" Type="http://schemas.openxmlformats.org/officeDocument/2006/relationships/hyperlink" Target="/timeline/evt-trail-tears-century-long-erasure" TargetMode="External"/><Relationship Id="rId334" Type="http://schemas.openxmlformats.org/officeDocument/2006/relationships/hyperlink" Target="https://paradigmthreat.net/history/common-questions#q4-why-did-the-maya-civilization-collapse-why-was-it-advanced-why-does-the-mainstream-record-say-they-collapsed-over-1000-years-ago" TargetMode="External"/><Relationship Id="rId335" Type="http://schemas.openxmlformats.org/officeDocument/2006/relationships/hyperlink" Target="/history/orphan_trains/orphan-trains-investigation.md" TargetMode="External"/><Relationship Id="rId336" Type="http://schemas.openxmlformats.org/officeDocument/2006/relationships/hyperlink" Target="https://en.wikipedia.org/wiki/Donner_Party" TargetMode="External"/><Relationship Id="rId337" Type="http://schemas.openxmlformats.org/officeDocument/2006/relationships/hyperlink" Target="/history/chronology/investigations/slow-ecological-collapse-mfee-through-donner-era.md" TargetMode="External"/><Relationship Id="rId338" Type="http://schemas.openxmlformats.org/officeDocument/2006/relationships/hyperlink" Target="/timeline/evt-1833-ce-josiah-priest-american-antiquities" TargetMode="External"/><Relationship Id="rId339" Type="http://schemas.openxmlformats.org/officeDocument/2006/relationships/hyperlink" Target="https://archive.org/details/americanantiquit00prie" TargetMode="External"/><Relationship Id="rId340" Type="http://schemas.openxmlformats.org/officeDocument/2006/relationships/hyperlink" Target="/history/chronology/investigations/new-world-naming-mfee-and-colonization-memory.md#josiah-priest-american-antiquities-1833" TargetMode="External"/><Relationship Id="rId341" Type="http://schemas.openxmlformats.org/officeDocument/2006/relationships/hyperlink" Target="/history/chronology/investigations/new-world-naming-mfee-and-colonization-memory.md" TargetMode="External"/><Relationship Id="rId342" Type="http://schemas.openxmlformats.org/officeDocument/2006/relationships/hyperlink" Target="/timeline/evt-1400-ce-15th-century-ce-ottoman-conquest-of-europe" TargetMode="External"/><Relationship Id="rId343" Type="http://schemas.openxmlformats.org/officeDocument/2006/relationships/hyperlink" Target="/history/mudflood/investigations/promised-land-investigation.md" TargetMode="External"/><Relationship Id="rId344" Type="http://schemas.openxmlformats.org/officeDocument/2006/relationships/hyperlink" Target="/history/chronology/investigations/giants-infantry-guerrilla-etymology-investigation.md" TargetMode="External"/><Relationship Id="rId345" Type="http://schemas.openxmlformats.org/officeDocument/2006/relationships/hyperlink" Target="/timeline/evt-the-first-crusade-trojan-war" TargetMode="External"/><Relationship Id="rId346" Type="http://schemas.openxmlformats.org/officeDocument/2006/relationships/hyperlink" Target="/timeline/evt-giants-are-defeated-at-the-battle-of" TargetMode="External"/><Relationship Id="rId347" Type="http://schemas.openxmlformats.org/officeDocument/2006/relationships/hyperlink" Target="https://www.etymonline.com/word/infantry" TargetMode="External"/><Relationship Id="rId348" Type="http://schemas.openxmlformats.org/officeDocument/2006/relationships/hyperlink" Target="https://www.etymonline.com/word/guerrilla" TargetMode="External"/><Relationship Id="rId349" Type="http://schemas.openxmlformats.org/officeDocument/2006/relationships/hyperlink" Target="https://en.wikipedia.org/wiki/Children%27s_Crusade" TargetMode="External"/><Relationship Id="rId350" Type="http://schemas.openxmlformats.org/officeDocument/2006/relationships/hyperlink" Target="/history/chronology/investigations/two-branches-christianity-fomenko-vs-author.md" TargetMode="External"/><Relationship Id="rId351" Type="http://schemas.openxmlformats.org/officeDocument/2006/relationships/header" Target="header7.xml"/><Relationship Id="rId352"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