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1.2.140</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 — Author Profiles</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1"/>
      </w:pPr>
      <w:r>
        <w:rPr>
          <w:rFonts w:ascii="Libre Franklin" w:hAnsi="Libre Franklin"/>
          <w:b/>
          <w:sz w:val="21"/>
        </w:rPr>
        <w:t>Part XVII: Appendix — Chronology</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Golden Age: Talbott Documentary Sequence (Table)</w:t>
      </w:r>
    </w:p>
    <w:p>
      <w:pPr>
        <w:pStyle w:val="TOC1"/>
      </w:pPr>
      <w:r>
        <w:rPr>
          <w:rFonts w:ascii="Libre Franklin" w:hAnsi="Libre Franklin"/>
          <w:b/>
          <w:sz w:val="21"/>
        </w:rPr>
        <w:t>Part XVIII: Appendix — Narrative Control</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Pattern (Appendix)</w:t>
      </w:r>
    </w:p>
    <w:p>
      <w:pPr>
        <w:pStyle w:val="TOC3"/>
      </w:pPr>
      <w:r>
        <w:rPr>
          <w:rFonts w:ascii="EB Garamond" w:hAnsi="EB Garamond"/>
          <w:i/>
          <w:color w:val="666666"/>
          <w:sz w:val="17"/>
        </w:rPr>
        <w:t>Censorship and Book Burning: The Historical Record</w:t>
      </w:r>
    </w:p>
    <w:p>
      <w:pPr>
        <w:pStyle w:val="TOC1"/>
      </w:pPr>
      <w:r>
        <w:rPr>
          <w:rFonts w:ascii="Libre Franklin" w:hAnsi="Libre Franklin"/>
          <w:b/>
          <w:sz w:val="21"/>
        </w:rPr>
        <w:t>Part XIX: Appendix — Conflict, Empire, and Manufactured War</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(Appendix)</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1"/>
      </w:pPr>
      <w:r>
        <w:rPr>
          <w:rFonts w:ascii="Libre Franklin" w:hAnsi="Libre Franklin"/>
          <w:b/>
          <w:sz w:val="21"/>
        </w:rPr>
        <w:t>Part XX: Appendix — Science, Displacement, and Antibodies</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Einstein, 1905, the Luminiferous Aether, and “Theoretical Physics” (Appendix)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XXI: Appendix — Cataclysm and Memory</w:t>
      </w:r>
    </w:p>
    <w:p>
      <w:pPr>
        <w:pStyle w:val="TOC2"/>
      </w:pPr>
      <w:r>
        <w:rPr>
          <w:rFonts w:ascii="EB Garamond" w:hAnsi="EB Garamond"/>
          <w:sz w:val="19"/>
        </w:rPr>
        <w:t>Chapter 15: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Slow ecological collapse — MFEE through the Donner era</w:t>
      </w:r>
    </w:p>
    <w:p>
      <w:pPr>
        <w:pStyle w:val="TOC3"/>
      </w:pPr>
      <w:r>
        <w:rPr>
          <w:rFonts w:ascii="EB Garamond" w:hAnsi="EB Garamond"/>
          <w:i/>
          <w:color w:val="666666"/>
          <w:sz w:val="17"/>
        </w:rPr>
        <w:t>“New World” naming, MFEE, and colonization memory</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XXII: Appendix —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 — Author Profiles</w:t>
      </w:r>
    </w:p>
    <w:p>
      <w:r>
        <w:rPr>
          <w:b w:val="0"/>
          <w:i w:val="0"/>
        </w:rPr>
        <w:t>This part collects biographical and research profiles for investigators cited in the main timeline. The hub table lists everyone; individual articles expand methods, cross-links, and key works.</w:t>
      </w:r>
    </w:p>
    <w:p>
      <w:r>
        <w:rPr>
          <w:b w:val="0"/>
          <w:i w:val="0"/>
        </w:rPr>
        <w:t xml:space="preserve">For the full appendix volume map (chronology, narrative control, conflict, science, cataclysm, credits), see </w:t>
      </w:r>
      <w:hyperlink r:id="rId11">
        <w:r>
          <w:rPr>
            <w:b w:val="0"/>
            <w:i w:val="0"/>
            <w:color w:val="B8860B"/>
          </w:rPr>
          <w:t>Appendix — Volume Contents</w:t>
        </w:r>
      </w:hyperlink>
      <w:r>
        <w:rPr>
          <w:b w:val="0"/>
          <w:i w:val="0"/>
        </w:rPr>
        <w:t>.</w:t>
      </w:r>
    </w:p>
    <w:p>
      <w:pPr>
        <w:pBdr>
          <w:bottom w:val="single" w:sz="6" w:space="1" w:color="CCCCCC"/>
        </w:pBdr>
      </w:pPr>
    </w:p>
    <w:p>
      <w:pPr>
        <w:pStyle w:val="Heading2"/>
        <w:keepNext/>
        <w:keepLines/>
      </w:pPr>
      <w:r>
        <w:t>Hub</w:t>
      </w:r>
    </w:p>
    <w:p>
      <w:pPr>
        <w:pStyle w:val="ListBullet"/>
        <w:spacing w:before="20" w:after="20"/>
      </w:pPr>
      <w:hyperlink r:id="rId12">
        <w:r>
          <w:rPr>
            <w:b w:val="0"/>
            <w:i w:val="0"/>
            <w:color w:val="B8860B"/>
            <w:sz w:val="19"/>
          </w:rPr>
          <w:t>Author Profiles</w:t>
        </w:r>
      </w:hyperlink>
      <w:r>
        <w:rPr>
          <w:b w:val="0"/>
          <w:i w:val="0"/>
          <w:sz w:val="19"/>
        </w:rPr>
        <w:t xml:space="preserve"> — table of all researchers with links to individual profiles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1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3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4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4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4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4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4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4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46">
        <w:r>
          <w:rPr>
            <w:b w:val="0"/>
            <w:i w:val="0"/>
            <w:color w:val="B8860B"/>
            <w:sz w:val="19"/>
          </w:rPr>
          <w:t>HathiTrust — Khristos volumes</w:t>
        </w:r>
      </w:hyperlink>
    </w:p>
    <w:p>
      <w:pPr>
        <w:pStyle w:val="ListBullet"/>
        <w:spacing w:before="20" w:after="20"/>
      </w:pPr>
      <w:hyperlink r:id="rId4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4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4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5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5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4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44">
        <w:r>
          <w:rPr>
            <w:b w:val="0"/>
            <w:i w:val="0"/>
            <w:color w:val="B8860B"/>
            <w:sz w:val="19"/>
          </w:rPr>
          <w:t>Wikipedia — Nikolai Morozov</w:t>
        </w:r>
      </w:hyperlink>
    </w:p>
    <w:p>
      <w:pPr>
        <w:pStyle w:val="ListBullet"/>
        <w:spacing w:before="20" w:after="20"/>
      </w:pPr>
      <w:hyperlink r:id="rId39">
        <w:r>
          <w:rPr>
            <w:b w:val="0"/>
            <w:i w:val="0"/>
            <w:color w:val="B8860B"/>
            <w:sz w:val="19"/>
          </w:rPr>
          <w:t>Wikipedia — New Chronology (Fomenko)</w:t>
        </w:r>
      </w:hyperlink>
    </w:p>
    <w:p>
      <w:pPr>
        <w:pStyle w:val="ListBullet"/>
        <w:spacing w:before="20" w:after="20"/>
      </w:pPr>
      <w:hyperlink r:id="rId46">
        <w:r>
          <w:rPr>
            <w:b w:val="0"/>
            <w:i w:val="0"/>
            <w:color w:val="B8860B"/>
            <w:sz w:val="19"/>
          </w:rPr>
          <w:t>HathiTrust Digital Library — Morozov works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5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5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5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5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5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5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5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59">
        <w:r>
          <w:rPr>
            <w:b w:val="0"/>
            <w:i w:val="0"/>
            <w:color w:val="B8860B"/>
          </w:rPr>
          <w:t>Dave Talbott</w:t>
        </w:r>
      </w:hyperlink>
      <w:r>
        <w:rPr>
          <w:b w:val="0"/>
          <w:i w:val="0"/>
        </w:rPr>
        <w:t xml:space="preserve"> and</w:t>
      </w:r>
      <w:r>
        <w:rPr>
          <w:b w:val="0"/>
          <w:i w:val="0"/>
        </w:rPr>
        <w:t xml:space="preserve"> </w:t>
      </w:r>
      <w:hyperlink r:id="rId60">
        <w:r>
          <w:rPr>
            <w:b w:val="0"/>
            <w:i w:val="0"/>
            <w:color w:val="B8860B"/>
          </w:rPr>
          <w:t>Dwardu Cardona</w:t>
        </w:r>
      </w:hyperlink>
      <w:r>
        <w:rPr>
          <w:b w:val="0"/>
          <w:i w:val="0"/>
        </w:rPr>
        <w:t xml:space="preserve"> — is the model of Saturn as a former</w:t>
      </w:r>
      <w:r>
        <w:rPr>
          <w:b w:val="0"/>
          <w:i w:val="0"/>
        </w:rPr>
        <w:t xml:space="preserve"> </w:t>
      </w:r>
      <w:hyperlink r:id="rId6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6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6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6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6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6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6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6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5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6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6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7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7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5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Wal Thornhill</w:t>
        </w:r>
      </w:hyperlink>
    </w:p>
    <w:p>
      <w:pPr>
        <w:pStyle w:val="ListBullet"/>
        <w:spacing w:before="20" w:after="20"/>
      </w:pPr>
      <w:hyperlink r:id="rId73">
        <w:r>
          <w:rPr>
            <w:b w:val="0"/>
            <w:i w:val="0"/>
            <w:color w:val="B8860B"/>
            <w:sz w:val="19"/>
          </w:rPr>
          <w:t>HoloCosmos / Holoscience.com — Thornhill's papers</w:t>
        </w:r>
      </w:hyperlink>
    </w:p>
    <w:p>
      <w:pPr>
        <w:pStyle w:val="ListBullet"/>
        <w:spacing w:before="20" w:after="20"/>
      </w:pPr>
      <w:hyperlink r:id="rId53">
        <w:r>
          <w:rPr>
            <w:b w:val="0"/>
            <w:i w:val="0"/>
            <w:color w:val="B8860B"/>
            <w:sz w:val="19"/>
          </w:rPr>
          <w:t>Thunderbolts Project — Electric Universe</w:t>
        </w:r>
      </w:hyperlink>
    </w:p>
    <w:p>
      <w:pPr>
        <w:pStyle w:val="ListBullet"/>
        <w:spacing w:before="20" w:after="20"/>
      </w:pPr>
      <w:hyperlink r:id="rId74">
        <w:r>
          <w:rPr>
            <w:b w:val="0"/>
            <w:i w:val="0"/>
            <w:color w:val="B8860B"/>
            <w:sz w:val="19"/>
          </w:rPr>
          <w:t>Wikipedia — Electric Universe</w:t>
        </w:r>
      </w:hyperlink>
    </w:p>
    <w:p>
      <w:pPr>
        <w:pStyle w:val="ListBullet"/>
        <w:spacing w:before="20" w:after="20"/>
      </w:pPr>
      <w:hyperlink r:id="rId55">
        <w:r>
          <w:rPr>
            <w:b w:val="0"/>
            <w:i w:val="0"/>
            <w:color w:val="B8860B"/>
            <w:sz w:val="19"/>
          </w:rPr>
          <w:t>Wikipedia — Hannes Alfvén</w:t>
        </w:r>
      </w:hyperlink>
    </w:p>
    <w:p>
      <w:pPr>
        <w:pStyle w:val="ListBullet"/>
        <w:spacing w:before="20" w:after="20"/>
      </w:pPr>
      <w:hyperlink r:id="rId56">
        <w:r>
          <w:rPr>
            <w:b w:val="0"/>
            <w:i w:val="0"/>
            <w:color w:val="B8860B"/>
            <w:sz w:val="19"/>
          </w:rPr>
          <w:t>SAFIRE Project</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52">
        <w:r>
          <w:rPr>
            <w:b w:val="0"/>
            <w:i w:val="0"/>
            <w:color w:val="B8860B"/>
          </w:rPr>
          <w:t>Electric Universe</w:t>
        </w:r>
      </w:hyperlink>
      <w:r>
        <w:rPr>
          <w:b w:val="0"/>
          <w:i w:val="0"/>
        </w:rPr>
        <w:t xml:space="preserve"> </w:t>
      </w:r>
      <w:r>
        <w:rPr>
          <w:b w:val="0"/>
          <w:i w:val="0"/>
        </w:rPr>
        <w:t xml:space="preserve">model of </w:t>
      </w:r>
      <w:hyperlink r:id="rId1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7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76">
        <w:r>
          <w:rPr>
            <w:b w:val="0"/>
            <w:i w:val="0"/>
            <w:color w:val="B8860B"/>
          </w:rPr>
          <w:t>McGraw-Hill</w:t>
        </w:r>
      </w:hyperlink>
      <w:r>
        <w:rPr>
          <w:b w:val="0"/>
          <w:i w:val="0"/>
        </w:rPr>
        <w:t>, served as an Associate Editor of</w:t>
      </w:r>
      <w:r>
        <w:rPr>
          <w:b w:val="0"/>
          <w:i w:val="0"/>
        </w:rPr>
        <w:t xml:space="preserve"> </w:t>
      </w:r>
      <w:hyperlink r:id="rId77">
        <w:r>
          <w:rPr>
            <w:b w:val="0"/>
            <w:i w:val="0"/>
            <w:color w:val="B8860B"/>
          </w:rPr>
          <w:t>Pensée</w:t>
        </w:r>
      </w:hyperlink>
      <w:r>
        <w:rPr>
          <w:b w:val="0"/>
          <w:i w:val="0"/>
        </w:rPr>
        <w:t xml:space="preserve"> magazine, and became a Senior Editor of</w:t>
      </w:r>
      <w:r>
        <w:rPr>
          <w:b w:val="0"/>
          <w:i w:val="0"/>
        </w:rPr>
        <w:t xml:space="preserve"> </w:t>
      </w:r>
      <w:hyperlink r:id="rId7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7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8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8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8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8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8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85">
        <w:r>
          <w:rPr>
            <w:b w:val="0"/>
            <w:i w:val="0"/>
            <w:color w:val="B8860B"/>
          </w:rPr>
          <w:t>Foundation for Studies of Modern Science (FOSMOS)</w:t>
        </w:r>
      </w:hyperlink>
      <w:r>
        <w:rPr>
          <w:b w:val="0"/>
          <w:i w:val="0"/>
        </w:rPr>
        <w:t xml:space="preserve"> </w:t>
      </w:r>
      <w:r>
        <w:rPr>
          <w:b w:val="0"/>
          <w:i w:val="0"/>
        </w:rPr>
        <w:t xml:space="preserve">with de Grazia, Stecchini, and </w:t>
      </w:r>
      <w:hyperlink r:id="rId8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8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8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8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1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90">
        <w:r>
          <w:rPr>
            <w:b w:val="0"/>
            <w:i w:val="0"/>
            <w:color w:val="B8860B"/>
            <w:sz w:val="19"/>
          </w:rPr>
          <w:t>"Stellar Thermonuclear Energy: A False Trail?"</w:t>
        </w:r>
      </w:hyperlink>
    </w:p>
    <w:p>
      <w:pPr>
        <w:pStyle w:val="ListBullet"/>
        <w:spacing w:before="20" w:after="20"/>
      </w:pPr>
      <w:hyperlink r:id="rId9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9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8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5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6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9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6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8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9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9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96">
        <w:r>
          <w:rPr>
            <w:b w:val="0"/>
            <w:i w:val="0"/>
            <w:color w:val="B8860B"/>
            <w:sz w:val="19"/>
          </w:rPr>
          <w:t>Velikovsky Encyclopedia — Ralph Juergens</w:t>
        </w:r>
      </w:hyperlink>
    </w:p>
    <w:p>
      <w:pPr>
        <w:pStyle w:val="ListBullet"/>
        <w:spacing w:before="20" w:after="20"/>
      </w:pPr>
      <w:hyperlink r:id="rId80">
        <w:r>
          <w:rPr>
            <w:b w:val="0"/>
            <w:i w:val="0"/>
            <w:color w:val="B8860B"/>
            <w:sz w:val="19"/>
          </w:rPr>
          <w:t>Wikipedia AfD — Articles for Deletion: Ralph Juergens (2007)</w:t>
        </w:r>
      </w:hyperlink>
    </w:p>
    <w:p>
      <w:pPr>
        <w:pStyle w:val="ListBullet"/>
        <w:spacing w:before="20" w:after="20"/>
      </w:pPr>
      <w:hyperlink r:id="rId97">
        <w:r>
          <w:rPr>
            <w:b w:val="0"/>
            <w:i w:val="0"/>
            <w:color w:val="B8860B"/>
            <w:sz w:val="19"/>
          </w:rPr>
          <w:t>The Secular Heretic — Electric Universe Heresy</w:t>
        </w:r>
      </w:hyperlink>
    </w:p>
    <w:p>
      <w:pPr>
        <w:pStyle w:val="ListBullet"/>
        <w:spacing w:before="20" w:after="20"/>
      </w:pPr>
      <w:hyperlink r:id="rId98">
        <w:r>
          <w:rPr>
            <w:b w:val="0"/>
            <w:i w:val="0"/>
            <w:color w:val="B8860B"/>
            <w:sz w:val="19"/>
          </w:rPr>
          <w:t>Holoscience — Electric Gravity in an Electric Universe</w:t>
        </w:r>
      </w:hyperlink>
    </w:p>
    <w:p>
      <w:pPr>
        <w:pStyle w:val="ListBullet"/>
        <w:spacing w:before="20" w:after="20"/>
      </w:pPr>
      <w:hyperlink r:id="rId92">
        <w:r>
          <w:rPr>
            <w:b w:val="0"/>
            <w:i w:val="0"/>
            <w:color w:val="B8860B"/>
            <w:sz w:val="19"/>
          </w:rPr>
          <w:t>SSDI Death Record</w:t>
        </w:r>
      </w:hyperlink>
    </w:p>
    <w:p>
      <w:pPr>
        <w:pStyle w:val="ListBullet"/>
        <w:spacing w:before="20" w:after="20"/>
      </w:pPr>
      <w:hyperlink r:id="rId74">
        <w:r>
          <w:rPr>
            <w:b w:val="0"/>
            <w:i w:val="0"/>
            <w:color w:val="B8860B"/>
            <w:sz w:val="19"/>
          </w:rPr>
          <w:t>Wikipedia — Electric Universe Theory</w:t>
        </w:r>
      </w:hyperlink>
    </w:p>
    <w:p>
      <w:pPr>
        <w:pStyle w:val="ListBullet"/>
        <w:spacing w:before="20" w:after="20"/>
      </w:pPr>
      <w:hyperlink r:id="rId99">
        <w:r>
          <w:rPr>
            <w:b w:val="0"/>
            <w:i w:val="0"/>
            <w:color w:val="B8860B"/>
            <w:sz w:val="19"/>
          </w:rPr>
          <w:t>Wikipedia — Plasma Cosmology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0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23">
        <w:r>
          <w:rPr>
            <w:b w:val="0"/>
            <w:i w:val="0"/>
            <w:color w:val="B8860B"/>
            <w:sz w:val="19"/>
          </w:rPr>
          <w:t>Alfred de Grazia</w:t>
        </w:r>
      </w:hyperlink>
      <w:r>
        <w:rPr>
          <w:b w:val="0"/>
          <w:i w:val="0"/>
          <w:sz w:val="19"/>
        </w:rPr>
        <w:t xml:space="preserve"> — documented the suppression</w:t>
      </w:r>
    </w:p>
    <w:p>
      <w:pPr>
        <w:pStyle w:val="ListBullet"/>
        <w:spacing w:before="20" w:after="20"/>
      </w:pPr>
      <w:hyperlink r:id="rId2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0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02">
        <w:r>
          <w:rPr>
            <w:b w:val="0"/>
            <w:i w:val="0"/>
            <w:color w:val="B8860B"/>
          </w:rPr>
          <w:t>chronologia.org</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53">
        <w:r>
          <w:rPr>
            <w:b w:val="0"/>
            <w:i w:val="0"/>
            <w:color w:val="B8860B"/>
          </w:rPr>
          <w:t>Thunderbolts Project</w:t>
        </w:r>
      </w:hyperlink>
      <w:r>
        <w:rPr>
          <w:b w:val="0"/>
          <w:i w:val="0"/>
        </w:rPr>
        <w:t xml:space="preserve"> /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6">
        <w:r>
          <w:rPr>
            <w:b w:val="0"/>
            <w:i w:val="0"/>
            <w:color w:val="B8860B"/>
            <w:sz w:val="19"/>
          </w:rPr>
          <w:t>Wal Thornhill</w:t>
        </w:r>
      </w:hyperlink>
      <w:r>
        <w:rPr>
          <w:b w:val="0"/>
          <w:i w:val="0"/>
          <w:sz w:val="19"/>
        </w:rPr>
        <w:t xml:space="preserve"> — physics partner</w:t>
      </w:r>
    </w:p>
    <w:p>
      <w:pPr>
        <w:pStyle w:val="ListBullet"/>
        <w:spacing w:before="20" w:after="20"/>
      </w:pPr>
      <w:hyperlink r:id="rId29">
        <w:r>
          <w:rPr>
            <w:b w:val="0"/>
            <w:i w:val="0"/>
            <w:color w:val="B8860B"/>
            <w:sz w:val="19"/>
          </w:rPr>
          <w:t>Dwardu Cardona</w:t>
        </w:r>
      </w:hyperlink>
      <w:r>
        <w:rPr>
          <w:b w:val="0"/>
          <w:i w:val="0"/>
          <w:sz w:val="19"/>
        </w:rPr>
        <w:t xml:space="preserve"> — extended the God Star sequence</w:t>
      </w:r>
    </w:p>
    <w:p>
      <w:pPr>
        <w:pStyle w:val="ListBullet"/>
        <w:spacing w:before="20" w:after="20"/>
      </w:pPr>
      <w:hyperlink r:id="rId2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0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0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05">
        <w:r>
          <w:rPr>
            <w:b w:val="0"/>
            <w:i w:val="0"/>
            <w:color w:val="B8860B"/>
          </w:rPr>
          <w:t>saturniancosmology.org</w:t>
        </w:r>
      </w:hyperlink>
      <w:r>
        <w:br/>
      </w:r>
      <w:r>
        <w:rPr>
          <w:b w:val="0"/>
          <w:i w:val="0"/>
        </w:rPr>
      </w:r>
      <w:r>
        <w:rPr>
          <w:b/>
          <w:i w:val="0"/>
        </w:rPr>
        <w:t>Bibliography:</w:t>
      </w:r>
      <w:r>
        <w:rPr>
          <w:b w:val="0"/>
          <w:i w:val="0"/>
        </w:rPr>
        <w:t xml:space="preserve"> </w:t>
      </w:r>
      <w:hyperlink r:id="rId106">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07">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108">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p>
    <w:p>
      <w:pPr>
        <w:pStyle w:val="ListBullet"/>
        <w:spacing w:before="20" w:after="20"/>
      </w:pPr>
      <w:hyperlink r:id="rId16">
        <w:r>
          <w:rPr>
            <w:b w:val="0"/>
            <w:i w:val="0"/>
            <w:color w:val="B8860B"/>
            <w:sz w:val="19"/>
          </w:rPr>
          <w:t>Wal Thornhill</w:t>
        </w:r>
      </w:hyperlink>
    </w:p>
    <w:p>
      <w:pPr>
        <w:pStyle w:val="ListBullet"/>
        <w:spacing w:before="20" w:after="20"/>
      </w:pPr>
      <w:hyperlink r:id="rId32">
        <w:r>
          <w:rPr>
            <w:b w:val="0"/>
            <w:i w:val="0"/>
            <w:color w:val="B8860B"/>
            <w:sz w:val="19"/>
          </w:rPr>
          <w:t>Lynn Rose &amp; Raymond Vaughan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0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0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1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1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polar configuration framework</w:t>
      </w:r>
    </w:p>
    <w:p>
      <w:pPr>
        <w:pStyle w:val="ListBullet"/>
        <w:spacing w:before="20" w:after="20"/>
      </w:pPr>
      <w:hyperlink r:id="rId2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directly built on this work</w:t>
      </w:r>
    </w:p>
    <w:p>
      <w:pPr>
        <w:pStyle w:val="ListBullet"/>
        <w:spacing w:before="20" w:after="20"/>
      </w:pPr>
      <w:hyperlink r:id="rId2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3">
        <w:r>
          <w:rPr>
            <w:b w:val="0"/>
            <w:i w:val="0"/>
            <w:color w:val="B8860B"/>
            <w:sz w:val="19"/>
          </w:rPr>
          <w:t>Authors Challenging the Mainstream Timeline</w:t>
        </w:r>
      </w:hyperlink>
    </w:p>
    <w:p>
      <w:pPr>
        <w:pStyle w:val="ListBullet"/>
        <w:spacing w:before="20" w:after="20"/>
      </w:pPr>
      <w:hyperlink r:id="rId1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2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1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2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2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2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3">
        <w:r>
          <w:rPr>
            <w:b w:val="0"/>
            <w:i w:val="0"/>
            <w:color w:val="B8860B"/>
            <w:sz w:val="19"/>
          </w:rPr>
          <w:t>Alfred de Grazia</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3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2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1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2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1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2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3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3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3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3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1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1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1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118">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Appendix — Chronology</w:t>
      </w:r>
    </w:p>
    <w:p>
      <w:pPr>
        <w:pStyle w:val="Quote"/>
      </w:pPr>
      <w:r>
        <w:rPr>
          <w:b w:val="0"/>
          <w:i w:val="0"/>
          <w:sz w:val="19"/>
        </w:rPr>
      </w:r>
      <w:r>
        <w:rPr>
          <w:b/>
          <w:i w:val="0"/>
          <w:sz w:val="19"/>
        </w:rPr>
        <w:t>TL;DR:</w:t>
      </w:r>
      <w:r>
        <w:rPr>
          <w:b w:val="0"/>
          <w:i w:val="0"/>
          <w:sz w:val="19"/>
        </w:rPr>
        <w:t xml:space="preserve"> TODO</w:t>
      </w:r>
    </w:p>
    <w:p>
      <w:r>
        <w:rPr>
          <w:b w:val="0"/>
          <w:i w:val="0"/>
        </w:rPr>
        <w:t xml:space="preserve">This supplementary volume supports the main timeline. In print exports (PDF/DOCX), the </w:t>
      </w:r>
      <w:r>
        <w:rPr>
          <w:b/>
          <w:i w:val="0"/>
        </w:rPr>
        <w:t>leading number in each filename is the part</w:t>
      </w:r>
      <w:r>
        <w:rPr>
          <w:b w:val="0"/>
          <w:i w:val="0"/>
        </w:rPr>
        <w:t xml:space="preserve"> (</w:t>
      </w:r>
      <w:r>
        <w:rPr>
          <w:rFonts w:ascii="JetBrains Mono" w:hAnsi="JetBrains Mono"/>
          <w:sz w:val="20"/>
        </w:rPr>
        <w:t>XX.00.00</w:t>
      </w:r>
      <w:r>
        <w:rPr>
          <w:b w:val="0"/>
          <w:i w:val="0"/>
        </w:rPr>
        <w:t xml:space="preserve"> opens the part); </w:t>
      </w:r>
      <w:r>
        <w:rPr>
          <w:b/>
          <w:i w:val="0"/>
        </w:rPr>
        <w:t>middle numbers are chapters and sub-articles</w:t>
      </w:r>
      <w:r>
        <w:rPr>
          <w:b w:val="0"/>
          <w:i w:val="0"/>
        </w:rPr>
        <w:t xml:space="preserve"> carried over from the former single-folder layout (e.g. predictive programming remains the </w:t>
      </w:r>
      <w:r>
        <w:rPr>
          <w:rFonts w:ascii="JetBrains Mono" w:hAnsi="JetBrains Mono"/>
          <w:sz w:val="20"/>
        </w:rPr>
        <w:t>43.*</w:t>
      </w:r>
      <w:r>
        <w:rPr>
          <w:b w:val="0"/>
          <w:i w:val="0"/>
        </w:rPr>
        <w:t xml:space="preserve"> band, now under Part XVIII as </w:t>
      </w:r>
      <w:r>
        <w:rPr>
          <w:rFonts w:ascii="JetBrains Mono" w:hAnsi="JetBrains Mono"/>
          <w:sz w:val="20"/>
        </w:rPr>
        <w:t>18.43.*</w:t>
      </w:r>
      <w:r>
        <w:rPr>
          <w:b w:val="0"/>
          <w:i w:val="0"/>
        </w:rPr>
        <w:t>).</w:t>
      </w:r>
    </w:p>
    <w:p>
      <w:r>
        <w:rPr>
          <w:b w:val="0"/>
          <w:i w:val="0"/>
        </w:rPr>
      </w:r>
      <w:r>
        <w:rPr>
          <w:b/>
          <w:i w:val="0"/>
        </w:rPr>
        <w:t>Part XVII</w:t>
      </w:r>
      <w:r>
        <w:rPr>
          <w:b w:val="0"/>
          <w:i w:val="0"/>
        </w:rPr>
        <w:t xml:space="preserve"> (this file and the </w:t>
      </w:r>
      <w:r>
        <w:rPr>
          <w:rFonts w:ascii="JetBrains Mono" w:hAnsi="JetBrains Mono"/>
          <w:sz w:val="20"/>
        </w:rPr>
        <w:t>17.02.*</w:t>
      </w:r>
      <w:r>
        <w:rPr>
          <w:b w:val="0"/>
          <w:i w:val="0"/>
        </w:rPr>
        <w:t>–</w:t>
      </w:r>
      <w:r>
        <w:rPr>
          <w:rFonts w:ascii="JetBrains Mono" w:hAnsi="JetBrains Mono"/>
          <w:sz w:val="20"/>
        </w:rPr>
        <w:t>17.05.*</w:t>
      </w:r>
      <w:r>
        <w:rPr>
          <w:b w:val="0"/>
          <w:i w:val="0"/>
        </w:rPr>
        <w:t xml:space="preserve"> chapters) covers chronology, calendar method, Mars contacts as dossier, pyramids, and creation-era framing. </w:t>
      </w:r>
      <w:r>
        <w:rPr>
          <w:b/>
          <w:i w:val="0"/>
        </w:rPr>
        <w:t>Part XVI</w:t>
      </w:r>
      <w:r>
        <w:rPr>
          <w:b w:val="0"/>
          <w:i w:val="0"/>
        </w:rPr>
        <w:t xml:space="preserve"> is author profiles only. </w:t>
      </w:r>
      <w:r>
        <w:rPr>
          <w:b/>
          <w:i w:val="0"/>
        </w:rPr>
        <w:t>Parts XVIII–XXI</w:t>
      </w:r>
      <w:r>
        <w:rPr>
          <w:b w:val="0"/>
          <w:i w:val="0"/>
        </w:rPr>
        <w:t xml:space="preserve"> group narrative control, conflict and empire, science and displacement, and cataclysm memory. </w:t>
      </w:r>
      <w:r>
        <w:rPr>
          <w:b/>
          <w:i w:val="0"/>
        </w:rPr>
        <w:t>Part XXII</w:t>
      </w:r>
      <w:r>
        <w:rPr>
          <w:b w:val="0"/>
          <w:i w:val="0"/>
        </w:rPr>
        <w:t xml:space="preserve"> is credits.</w:t>
      </w:r>
    </w:p>
    <w:p>
      <w:pPr>
        <w:pBdr>
          <w:bottom w:val="single" w:sz="6" w:space="1" w:color="CCCCCC"/>
        </w:pBdr>
      </w:pPr>
    </w:p>
    <w:p>
      <w:pPr>
        <w:pStyle w:val="Heading2"/>
        <w:keepNext/>
        <w:keepLines/>
      </w:pPr>
      <w:r>
        <w:t>Contents by part</w:t>
      </w:r>
    </w:p>
    <w:p>
      <w:pPr>
        <w:pStyle w:val="Heading3"/>
        <w:keepNext/>
        <w:keepLines/>
      </w:pPr>
      <w:r>
        <w:t>Part XVI — Author profiles</w:t>
      </w:r>
    </w:p>
    <w:p>
      <w:pPr>
        <w:pStyle w:val="ListBullet"/>
        <w:spacing w:before="20" w:after="20"/>
      </w:pPr>
      <w:hyperlink r:id="rId121">
        <w:r>
          <w:rPr>
            <w:b w:val="0"/>
            <w:i w:val="0"/>
            <w:color w:val="B8860B"/>
            <w:sz w:val="19"/>
          </w:rPr>
          <w:t>Authors — Appendix Part XVI</w:t>
        </w:r>
      </w:hyperlink>
    </w:p>
    <w:p>
      <w:pPr>
        <w:pStyle w:val="ListBullet"/>
        <w:spacing w:before="20" w:after="20"/>
      </w:pPr>
      <w:hyperlink r:id="rId12">
        <w:r>
          <w:rPr>
            <w:b w:val="0"/>
            <w:i w:val="0"/>
            <w:color w:val="B8860B"/>
            <w:sz w:val="19"/>
          </w:rPr>
          <w:t>Author Profiles</w:t>
        </w:r>
      </w:hyperlink>
    </w:p>
    <w:p>
      <w:pPr>
        <w:pStyle w:val="Heading3"/>
        <w:keepNext/>
        <w:keepLines/>
      </w:pPr>
      <w:r>
        <w:t>Part XVII — Chronology, calendar, Mars dossier, pyramids, creation framing</w:t>
      </w:r>
    </w:p>
    <w:p>
      <w:pPr>
        <w:pStyle w:val="ListBullet"/>
        <w:spacing w:before="20" w:after="20"/>
      </w:pPr>
      <w:hyperlink r:id="rId122">
        <w:r>
          <w:rPr>
            <w:b w:val="0"/>
            <w:i w:val="0"/>
            <w:color w:val="B8860B"/>
            <w:sz w:val="19"/>
          </w:rPr>
          <w:t>Building the New Chronology</w:t>
        </w:r>
      </w:hyperlink>
    </w:p>
    <w:p>
      <w:pPr>
        <w:pStyle w:val="ListBullet"/>
        <w:spacing w:before="20" w:after="20"/>
      </w:pPr>
      <w:hyperlink r:id="rId112">
        <w:r>
          <w:rPr>
            <w:b w:val="0"/>
            <w:i w:val="0"/>
            <w:color w:val="B8860B"/>
            <w:sz w:val="19"/>
          </w:rPr>
          <w:t>Other Challenges to Chronology</w:t>
        </w:r>
      </w:hyperlink>
    </w:p>
    <w:p>
      <w:pPr>
        <w:pStyle w:val="ListBullet"/>
        <w:spacing w:before="20" w:after="20"/>
      </w:pPr>
      <w:hyperlink r:id="rId123">
        <w:r>
          <w:rPr>
            <w:b w:val="0"/>
            <w:i w:val="0"/>
            <w:color w:val="B8860B"/>
            <w:sz w:val="19"/>
          </w:rPr>
          <w:t>Timeline Synchronization: Date Tables</w:t>
        </w:r>
      </w:hyperlink>
    </w:p>
    <w:p>
      <w:pPr>
        <w:pStyle w:val="ListBullet"/>
        <w:spacing w:before="20" w:after="20"/>
      </w:pPr>
      <w:hyperlink r:id="rId124">
        <w:r>
          <w:rPr>
            <w:b w:val="0"/>
            <w:i w:val="0"/>
            <w:color w:val="B8860B"/>
            <w:sz w:val="19"/>
          </w:rPr>
          <w:t>Year-Length and Calendar Evidence</w:t>
        </w:r>
      </w:hyperlink>
    </w:p>
    <w:p>
      <w:pPr>
        <w:pStyle w:val="ListBullet"/>
        <w:spacing w:before="20" w:after="20"/>
      </w:pPr>
      <w:hyperlink r:id="rId125">
        <w:r>
          <w:rPr>
            <w:b w:val="0"/>
            <w:i w:val="0"/>
            <w:color w:val="B8860B"/>
            <w:sz w:val="19"/>
          </w:rPr>
          <w:t>Known Contacts with Mars: A Chronological Dossier</w:t>
        </w:r>
      </w:hyperlink>
    </w:p>
    <w:p>
      <w:pPr>
        <w:pStyle w:val="ListBullet"/>
        <w:spacing w:before="20" w:after="20"/>
      </w:pPr>
      <w:hyperlink r:id="rId126">
        <w:r>
          <w:rPr>
            <w:b w:val="0"/>
            <w:i w:val="0"/>
            <w:color w:val="B8860B"/>
            <w:sz w:val="19"/>
          </w:rPr>
          <w:t>Mars Literature: Author Profiles and Evidence</w:t>
        </w:r>
      </w:hyperlink>
    </w:p>
    <w:p>
      <w:pPr>
        <w:pStyle w:val="ListBullet"/>
        <w:spacing w:before="20" w:after="20"/>
      </w:pPr>
      <w:hyperlink r:id="rId127">
        <w:r>
          <w:rPr>
            <w:b w:val="0"/>
            <w:i w:val="0"/>
            <w:color w:val="B8860B"/>
            <w:sz w:val="19"/>
          </w:rPr>
          <w:t>Pyramids: Myths vs Reality — Evidence Table</w:t>
        </w:r>
      </w:hyperlink>
    </w:p>
    <w:p>
      <w:pPr>
        <w:pStyle w:val="ListBullet"/>
        <w:spacing w:before="20" w:after="20"/>
      </w:pPr>
      <w:hyperlink r:id="rId128">
        <w:r>
          <w:rPr>
            <w:b w:val="0"/>
            <w:i w:val="0"/>
            <w:color w:val="B8860B"/>
            <w:sz w:val="19"/>
          </w:rPr>
          <w:t>Fomenko and the Pyramid Question</w:t>
        </w:r>
      </w:hyperlink>
    </w:p>
    <w:p>
      <w:pPr>
        <w:pStyle w:val="ListBullet"/>
        <w:spacing w:before="20" w:after="20"/>
      </w:pPr>
      <w:hyperlink r:id="rId129">
        <w:r>
          <w:rPr>
            <w:b w:val="0"/>
            <w:i w:val="0"/>
            <w:color w:val="B8860B"/>
            <w:sz w:val="19"/>
          </w:rPr>
          <w:t>Seven Days of Creation</w:t>
        </w:r>
      </w:hyperlink>
    </w:p>
    <w:p>
      <w:pPr>
        <w:pStyle w:val="ListBullet"/>
        <w:spacing w:before="20" w:after="20"/>
      </w:pPr>
      <w:hyperlink r:id="rId130">
        <w:r>
          <w:rPr>
            <w:b w:val="0"/>
            <w:i w:val="0"/>
            <w:color w:val="B8860B"/>
            <w:sz w:val="19"/>
          </w:rPr>
          <w:t>Golden Age: Talbott Documentary Sequence (Table)</w:t>
        </w:r>
      </w:hyperlink>
    </w:p>
    <w:p>
      <w:pPr>
        <w:pStyle w:val="Heading3"/>
        <w:keepNext/>
        <w:keepLines/>
      </w:pPr>
      <w:r>
        <w:t>Part XVIII — Narrative control</w:t>
      </w:r>
    </w:p>
    <w:p>
      <w:pPr>
        <w:pStyle w:val="ListBullet"/>
        <w:spacing w:before="20" w:after="20"/>
      </w:pPr>
      <w:hyperlink r:id="rId131">
        <w:r>
          <w:rPr>
            <w:b w:val="0"/>
            <w:i w:val="0"/>
            <w:color w:val="B8860B"/>
            <w:sz w:val="19"/>
          </w:rPr>
          <w:t>Narrative Control — Appendix Part XVIII</w:t>
        </w:r>
      </w:hyperlink>
    </w:p>
    <w:p>
      <w:pPr>
        <w:pStyle w:val="ListBullet"/>
        <w:spacing w:before="20" w:after="20"/>
      </w:pPr>
      <w:hyperlink r:id="rId132">
        <w:r>
          <w:rPr>
            <w:b w:val="0"/>
            <w:i w:val="0"/>
            <w:color w:val="B8860B"/>
            <w:sz w:val="19"/>
          </w:rPr>
          <w:t>Film, Television, and Games</w:t>
        </w:r>
      </w:hyperlink>
    </w:p>
    <w:p>
      <w:pPr>
        <w:pStyle w:val="ListBullet"/>
        <w:spacing w:before="20" w:after="20"/>
      </w:pPr>
      <w:hyperlink r:id="rId133">
        <w:r>
          <w:rPr>
            <w:b w:val="0"/>
            <w:i w:val="0"/>
            <w:color w:val="B8860B"/>
            <w:sz w:val="19"/>
          </w:rPr>
          <w:t>Literature — Extended Author Evidence</w:t>
        </w:r>
      </w:hyperlink>
    </w:p>
    <w:p>
      <w:pPr>
        <w:pStyle w:val="ListBullet"/>
        <w:spacing w:before="20" w:after="20"/>
      </w:pPr>
      <w:hyperlink r:id="rId134">
        <w:r>
          <w:rPr>
            <w:b w:val="0"/>
            <w:i w:val="0"/>
            <w:color w:val="B8860B"/>
            <w:sz w:val="19"/>
          </w:rPr>
          <w:t>Asimov: Three Laws and Marx Encoding — Extended Evidence</w:t>
        </w:r>
      </w:hyperlink>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Pr>
        <w:pStyle w:val="ListBullet"/>
        <w:spacing w:before="20" w:after="20"/>
      </w:pPr>
      <w:hyperlink r:id="rId137">
        <w:r>
          <w:rPr>
            <w:b w:val="0"/>
            <w:i w:val="0"/>
            <w:color w:val="B8860B"/>
            <w:sz w:val="19"/>
          </w:rPr>
          <w:t>Controlled Opposition and Managed Disclosure</w:t>
        </w:r>
      </w:hyperlink>
    </w:p>
    <w:p>
      <w:pPr>
        <w:pStyle w:val="ListBullet"/>
        <w:spacing w:before="20" w:after="20"/>
      </w:pPr>
      <w:hyperlink r:id="rId138">
        <w:r>
          <w:rPr>
            <w:b w:val="0"/>
            <w:i w:val="0"/>
            <w:color w:val="B8860B"/>
            <w:sz w:val="19"/>
          </w:rPr>
          <w:t>Censorship: Pattern (Appendix)</w:t>
        </w:r>
      </w:hyperlink>
    </w:p>
    <w:p>
      <w:pPr>
        <w:pStyle w:val="ListBullet"/>
        <w:spacing w:before="20" w:after="20"/>
      </w:pPr>
      <w:hyperlink r:id="rId139">
        <w:r>
          <w:rPr>
            <w:b w:val="0"/>
            <w:i w:val="0"/>
            <w:color w:val="B8860B"/>
            <w:sz w:val="19"/>
          </w:rPr>
          <w:t>Censorship: The Historical Record</w:t>
        </w:r>
      </w:hyperlink>
    </w:p>
    <w:p>
      <w:pPr>
        <w:pStyle w:val="Heading3"/>
        <w:keepNext/>
        <w:keepLines/>
      </w:pPr>
      <w:r>
        <w:t>Part XIX — Conflict, empire, manufactured war</w:t>
      </w:r>
    </w:p>
    <w:p>
      <w:pPr>
        <w:pStyle w:val="ListBullet"/>
        <w:spacing w:before="20" w:after="20"/>
      </w:pPr>
      <w:hyperlink r:id="rId140">
        <w:r>
          <w:rPr>
            <w:b w:val="0"/>
            <w:i w:val="0"/>
            <w:color w:val="B8860B"/>
            <w:sz w:val="19"/>
          </w:rPr>
          <w:t>Conflict, Empire, and Manufactured War — Appendix Part XIX</w:t>
        </w:r>
      </w:hyperlink>
    </w:p>
    <w:p>
      <w:pPr>
        <w:pStyle w:val="ListBullet"/>
        <w:spacing w:before="20" w:after="20"/>
      </w:pPr>
      <w:hyperlink r:id="rId141">
        <w:r>
          <w:rPr>
            <w:b w:val="0"/>
            <w:i w:val="0"/>
            <w:color w:val="B8860B"/>
            <w:sz w:val="19"/>
          </w:rPr>
          <w:t>False Flags: Architecture (Appendix)</w:t>
        </w:r>
      </w:hyperlink>
    </w:p>
    <w:p>
      <w:pPr>
        <w:pStyle w:val="ListBullet"/>
        <w:spacing w:before="20" w:after="20"/>
      </w:pPr>
      <w:hyperlink r:id="rId142">
        <w:r>
          <w:rPr>
            <w:b w:val="0"/>
            <w:i w:val="0"/>
            <w:color w:val="B8860B"/>
            <w:sz w:val="19"/>
          </w:rPr>
          <w:t>False Flags Investigation: Evidence Dossier</w:t>
        </w:r>
      </w:hyperlink>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Pr>
        <w:pStyle w:val="ListBullet"/>
        <w:spacing w:before="20" w:after="20"/>
      </w:pPr>
      <w:hyperlink r:id="rId146">
        <w:r>
          <w:rPr>
            <w:b w:val="0"/>
            <w:i w:val="0"/>
            <w:color w:val="B8860B"/>
            <w:sz w:val="19"/>
          </w:rPr>
          <w:t>Jesuit Operations: Conversion, Catholicism, and the New World</w:t>
        </w:r>
      </w:hyperlink>
    </w:p>
    <w:p>
      <w:pPr>
        <w:pStyle w:val="ListBullet"/>
        <w:spacing w:before="20" w:after="20"/>
      </w:pPr>
      <w:hyperlink r:id="rId147">
        <w:r>
          <w:rPr>
            <w:b w:val="0"/>
            <w:i w:val="0"/>
            <w:color w:val="B8860B"/>
            <w:sz w:val="19"/>
          </w:rPr>
          <w:t>Napoleonic Wars and 1812 — Extended Evidence</w:t>
        </w:r>
      </w:hyperlink>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Pr>
        <w:pStyle w:val="Heading3"/>
        <w:keepNext/>
        <w:keepLines/>
      </w:pPr>
      <w:r>
        <w:t>Part XX — Science, displacement, antibodies</w:t>
      </w:r>
    </w:p>
    <w:p>
      <w:pPr>
        <w:pStyle w:val="ListBullet"/>
        <w:spacing w:before="20" w:after="20"/>
      </w:pPr>
      <w:hyperlink r:id="rId151">
        <w:r>
          <w:rPr>
            <w:b w:val="0"/>
            <w:i w:val="0"/>
            <w:color w:val="B8860B"/>
            <w:sz w:val="19"/>
          </w:rPr>
          <w:t>Science, Displacement, and Antibodies — Appendix Part XX</w:t>
        </w:r>
      </w:hyperlink>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153">
        <w:r>
          <w:rPr>
            <w:b w:val="0"/>
            <w:i w:val="0"/>
            <w:color w:val="B8860B"/>
            <w:sz w:val="19"/>
          </w:rPr>
          <w:t>Einstein 1905: Aether and Theoretical Physics — Appendix</w:t>
        </w:r>
      </w:hyperlink>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5">
        <w:r>
          <w:rPr>
            <w:b w:val="0"/>
            <w:i w:val="0"/>
            <w:color w:val="B8860B"/>
            <w:sz w:val="19"/>
          </w:rPr>
          <w:t>Historical Antibodies: Profiles</w:t>
        </w:r>
      </w:hyperlink>
    </w:p>
    <w:p>
      <w:pPr>
        <w:pStyle w:val="ListBullet"/>
        <w:spacing w:before="20" w:after="20"/>
      </w:pPr>
      <w:hyperlink r:id="rId156">
        <w:r>
          <w:rPr>
            <w:b w:val="0"/>
            <w:i w:val="0"/>
            <w:color w:val="B8860B"/>
            <w:sz w:val="19"/>
          </w:rPr>
          <w:t>Trump: Case Study</w:t>
        </w:r>
      </w:hyperlink>
    </w:p>
    <w:p>
      <w:pPr>
        <w:pStyle w:val="Heading3"/>
        <w:keepNext/>
        <w:keepLines/>
      </w:pPr>
      <w:r>
        <w:t>Part XXI — Cataclysm and memory</w:t>
      </w:r>
    </w:p>
    <w:p>
      <w:pPr>
        <w:pStyle w:val="ListBullet"/>
        <w:spacing w:before="20" w:after="20"/>
      </w:pPr>
      <w:hyperlink r:id="rId157">
        <w:r>
          <w:rPr>
            <w:b w:val="0"/>
            <w:i w:val="0"/>
            <w:color w:val="B8860B"/>
            <w:sz w:val="19"/>
          </w:rPr>
          <w:t>Cataclysm and Memory — Appendix Part XXI</w:t>
        </w:r>
      </w:hyperlink>
    </w:p>
    <w:p>
      <w:pPr>
        <w:pStyle w:val="ListBullet"/>
        <w:spacing w:before="20" w:after="20"/>
      </w:pPr>
      <w:hyperlink r:id="rId108">
        <w:r>
          <w:rPr>
            <w:b w:val="0"/>
            <w:i w:val="0"/>
            <w:color w:val="B8860B"/>
            <w:sz w:val="19"/>
          </w:rPr>
          <w:t>The MudFlood and World Cataclysm</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p>
    <w:p>
      <w:pPr>
        <w:pStyle w:val="ListBullet"/>
        <w:spacing w:before="20" w:after="20"/>
      </w:pPr>
      <w:hyperlink r:id="rId160">
        <w:r>
          <w:rPr>
            <w:b w:val="0"/>
            <w:i w:val="0"/>
            <w:color w:val="B8860B"/>
            <w:sz w:val="19"/>
          </w:rPr>
          <w:t>“New World” naming, MFEE, and colonization memory</w:t>
        </w:r>
      </w:hyperlink>
    </w:p>
    <w:p>
      <w:pPr>
        <w:pStyle w:val="ListBullet"/>
        <w:spacing w:before="20" w:after="20"/>
      </w:pPr>
      <w:hyperlink r:id="rId161">
        <w:r>
          <w:rPr>
            <w:b w:val="0"/>
            <w:i w:val="0"/>
            <w:color w:val="B8860B"/>
            <w:sz w:val="19"/>
          </w:rPr>
          <w:t>Giants, Infantry, Guerrilla, and the Children's Crusade — Etymology</w:t>
        </w:r>
      </w:hyperlink>
    </w:p>
    <w:p>
      <w:pPr>
        <w:pStyle w:val="Heading3"/>
        <w:keepNext/>
        <w:keepLines/>
      </w:pPr>
      <w:r>
        <w:t>Overview articles (main book)</w:t>
      </w:r>
    </w:p>
    <w:p>
      <w:pPr>
        <w:pStyle w:val="ListBullet"/>
        <w:spacing w:before="20" w:after="20"/>
      </w:pPr>
      <w:hyperlink r:id="rId14">
        <w:r>
          <w:rPr>
            <w:b w:val="0"/>
            <w:i w:val="0"/>
            <w:color w:val="B8860B"/>
            <w:sz w:val="19"/>
          </w:rPr>
          <w:t>Authors Who Read Ancient Sources as World Cataclysm</w:t>
        </w:r>
      </w:hyperlink>
    </w:p>
    <w:p>
      <w:pPr>
        <w:pStyle w:val="Heading3"/>
        <w:keepNext/>
        <w:keepLines/>
      </w:pPr>
      <w:r>
        <w:t>Files (no timeline event)</w:t>
      </w:r>
    </w:p>
    <w:p>
      <w:pPr>
        <w:pStyle w:val="ListBullet"/>
        <w:spacing w:before="20" w:after="20"/>
      </w:pPr>
      <w:r>
        <w:rPr>
          <w:b w:val="0"/>
          <w:i w:val="0"/>
          <w:sz w:val="19"/>
        </w:rPr>
      </w:r>
      <w:r>
        <w:rPr>
          <w:b/>
          <w:i w:val="0"/>
          <w:sz w:val="19"/>
        </w:rPr>
        <w:t>Lexical speculation:</w:t>
      </w:r>
      <w:r>
        <w:rPr>
          <w:b w:val="0"/>
          <w:i w:val="0"/>
          <w:sz w:val="19"/>
        </w:rPr>
        <w:t xml:space="preserve"> </w:t>
      </w:r>
      <w:hyperlink r:id="rId162">
        <w:r>
          <w:rPr>
            <w:b w:val="0"/>
            <w:i w:val="0"/>
            <w:color w:val="B8860B"/>
            <w:sz w:val="19"/>
          </w:rPr>
          <w:t>Rus-Horde echoes in English political and military lexicon</w:t>
        </w:r>
      </w:hyperlink>
    </w:p>
    <w:p>
      <w:pPr>
        <w:pStyle w:val="Heading3"/>
        <w:keepNext/>
        <w:keepLines/>
      </w:pPr>
      <w:r>
        <w:t>Part XXII — Credits</w:t>
      </w:r>
    </w:p>
    <w:p>
      <w:pPr>
        <w:pStyle w:val="ListBullet"/>
        <w:spacing w:before="20" w:after="20"/>
      </w:pPr>
      <w:hyperlink r:id="rId163">
        <w:r>
          <w:rPr>
            <w:b w:val="0"/>
            <w:i w:val="0"/>
            <w:color w:val="B8860B"/>
            <w:sz w:val="19"/>
          </w:rPr>
          <w:t>Credits</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164">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165">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166">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167">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164">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pPr>
        <w:pStyle w:val="Quote"/>
      </w:pPr>
      <w:r>
        <w:rPr>
          <w:b w:val="0"/>
          <w:i w:val="0"/>
          <w:sz w:val="19"/>
        </w:rPr>
      </w:r>
      <w:r>
        <w:rPr>
          <w:b/>
          <w:i w:val="0"/>
          <w:sz w:val="19"/>
        </w:rPr>
        <w:t>TL;DR:</w:t>
      </w:r>
      <w:r>
        <w:rPr>
          <w:b w:val="0"/>
          <w:i w:val="0"/>
          <w:sz w:val="19"/>
        </w:rPr>
        <w:t xml:space="preserve"> TODO</w:t>
      </w:r>
    </w:p>
    <w:p>
      <w:r>
        <w:rPr>
          <w:b w:val="0"/>
          <w:i w:val="0"/>
        </w:rPr>
        <w:t xml:space="preserve">Detailed comparison tables and Year Zero frameworks supplementing the main article: </w:t>
      </w:r>
      <w:hyperlink r:id="rId11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68">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69">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12">
        <w:r>
          <w:rPr>
            <w:b w:val="0"/>
            <w:i w:val="0"/>
            <w:color w:val="B8860B"/>
          </w:rPr>
          <w:t>Other Challenges to Chronology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Detailed scholar profiles supplementing the main article: </w:t>
      </w:r>
      <w:hyperlink r:id="rId170">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0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9">
        <w:r>
          <w:rPr>
            <w:b w:val="0"/>
            <w:i w:val="0"/>
            <w:color w:val="B8860B"/>
          </w:rPr>
          <w:t>Fomenko profile</w:t>
        </w:r>
      </w:hyperlink>
      <w:r>
        <w:rPr>
          <w:b w:val="0"/>
          <w:i w:val="0"/>
        </w:rPr>
        <w:t>.</w:t>
      </w:r>
    </w:p>
    <w:p>
      <w:r>
        <w:rPr>
          <w:b w:val="0"/>
          <w:i w:val="0"/>
        </w:rPr>
        <w:t xml:space="preserve">For gap-size comparison, see </w:t>
      </w:r>
      <w:hyperlink r:id="rId11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71">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72">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32">
        <w:r>
          <w:rPr>
            <w:b w:val="0"/>
            <w:i w:val="0"/>
            <w:color w:val="B8860B"/>
          </w:rPr>
          <w:t>Predictive Programming</w:t>
        </w:r>
      </w:hyperlink>
      <w:r>
        <w:rPr>
          <w:b w:val="0"/>
          <w:i w:val="0"/>
        </w:rPr>
        <w:t xml:space="preserve"> | </w:t>
      </w:r>
      <w:hyperlink r:id="rId173">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74">
        <w:r>
          <w:rPr>
            <w:b w:val="0"/>
            <w:i w:val="0"/>
            <w:color w:val="B8860B"/>
          </w:rPr>
          <w:t>Pugachev Rebellion</w:t>
        </w:r>
      </w:hyperlink>
      <w:r>
        <w:rPr>
          <w:b w:val="0"/>
          <w:i w:val="0"/>
        </w:rPr>
        <w:t xml:space="preserve"> (~1773–1774), humans on Mars deployed </w:t>
      </w:r>
      <w:hyperlink r:id="rId17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7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7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32">
        <w:r>
          <w:rPr>
            <w:b w:val="0"/>
            <w:i w:val="0"/>
            <w:color w:val="B8860B"/>
          </w:rPr>
          <w:t>predictive programming dead end</w:t>
        </w:r>
      </w:hyperlink>
      <w:r>
        <w:rPr>
          <w:b w:val="0"/>
          <w:i w:val="0"/>
        </w:rPr>
        <w:t xml:space="preserve">: the mystery is real, his framing is the trap. Full rebound theory: </w:t>
      </w:r>
      <w:hyperlink r:id="rId173">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78">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79">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141">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8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pPr>
        <w:pStyle w:val="Quote"/>
      </w:pPr>
      <w:r>
        <w:rPr>
          <w:b w:val="0"/>
          <w:i w:val="0"/>
          <w:sz w:val="19"/>
        </w:rPr>
      </w:r>
      <w:r>
        <w:rPr>
          <w:b/>
          <w:i w:val="0"/>
          <w:sz w:val="19"/>
        </w:rPr>
        <w:t>TL;DR:</w:t>
      </w:r>
      <w:r>
        <w:rPr>
          <w:b w:val="0"/>
          <w:i w:val="0"/>
          <w:sz w:val="19"/>
        </w:rPr>
        <w:t xml:space="preserve"> TODO</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6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86">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72">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87">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88">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89">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88">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90">
        <w:r>
          <w:rPr>
            <w:b w:val="0"/>
            <w:i w:val="0"/>
            <w:color w:val="B8860B"/>
          </w:rPr>
          <w:t>Northern Hemisphere Configuration</w:t>
        </w:r>
      </w:hyperlink>
      <w:r>
        <w:rPr>
          <w:b w:val="0"/>
          <w:i w:val="0"/>
        </w:rPr>
        <w:t xml:space="preserve"> | </w:t>
      </w:r>
      <w:hyperlink r:id="rId191">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9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90">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88">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92">
        <w:r>
          <w:rPr>
            <w:b w:val="0"/>
            <w:i w:val="0"/>
            <w:color w:val="B8860B"/>
          </w:rPr>
          <w:t>The Golden Age Ends Violently</w:t>
        </w:r>
      </w:hyperlink>
      <w:r>
        <w:rPr>
          <w:b w:val="0"/>
          <w:i w:val="0"/>
        </w:rPr>
        <w:t xml:space="preserve"> | </w:t>
      </w:r>
      <w:hyperlink r:id="rId193">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91">
        <w:r>
          <w:rPr>
            <w:b w:val="0"/>
            <w:i w:val="0"/>
            <w:color w:val="B8860B"/>
          </w:rPr>
          <w:t>Southern Hemisphere Configuration</w:t>
        </w:r>
      </w:hyperlink>
      <w:r>
        <w:rPr>
          <w:b w:val="0"/>
          <w:i w:val="0"/>
        </w:rPr>
        <w:t xml:space="preserve"> | </w:t>
      </w:r>
      <w:hyperlink r:id="rId6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92">
        <w:r>
          <w:rPr>
            <w:b w:val="0"/>
            <w:i w:val="0"/>
            <w:color w:val="B8860B"/>
          </w:rPr>
          <w:t>The Golden Age Ends Violently</w:t>
        </w:r>
      </w:hyperlink>
      <w:r>
        <w:rPr>
          <w:b w:val="0"/>
          <w:i w:val="0"/>
        </w:rPr>
        <w:t xml:space="preserve"> and </w:t>
      </w:r>
      <w:hyperlink r:id="rId193">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96">
        <w:r>
          <w:rPr>
            <w:b w:val="0"/>
            <w:i w:val="0"/>
            <w:color w:val="B8860B"/>
            <w:sz w:val="19"/>
          </w:rPr>
          <w:t>Genesis 7:4</w:t>
        </w:r>
      </w:hyperlink>
    </w:p>
    <w:p>
      <w:pPr>
        <w:pStyle w:val="ListBullet"/>
        <w:spacing w:before="20" w:after="20"/>
      </w:pPr>
      <w:hyperlink r:id="rId197">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72">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88">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89">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90">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91">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88">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92">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93">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8">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9">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00">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01">
        <w:r>
          <w:rPr>
            <w:b w:val="0"/>
            <w:i w:val="0"/>
            <w:color w:val="B8860B"/>
            <w:sz w:val="19"/>
          </w:rPr>
          <w:t>Genesis 1–2, KJV</w:t>
        </w:r>
      </w:hyperlink>
    </w:p>
    <w:p>
      <w:pPr>
        <w:pStyle w:val="ListBullet"/>
        <w:spacing w:before="20" w:after="20"/>
      </w:pPr>
      <w:hyperlink r:id="rId196">
        <w:r>
          <w:rPr>
            <w:b w:val="0"/>
            <w:i w:val="0"/>
            <w:color w:val="B8860B"/>
            <w:sz w:val="19"/>
          </w:rPr>
          <w:t>Genesis 7:4, KJV</w:t>
        </w:r>
      </w:hyperlink>
      <w:r>
        <w:rPr>
          <w:b w:val="0"/>
          <w:i w:val="0"/>
          <w:sz w:val="19"/>
        </w:rPr>
        <w:t xml:space="preserve"> — seven-day delay before the Flood</w:t>
      </w:r>
    </w:p>
    <w:p>
      <w:pPr>
        <w:pStyle w:val="ListBullet"/>
        <w:spacing w:before="20" w:after="20"/>
      </w:pPr>
      <w:hyperlink r:id="rId197">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86">
        <w:r>
          <w:rPr>
            <w:b w:val="0"/>
            <w:i w:val="0"/>
            <w:color w:val="B8860B"/>
            <w:sz w:val="19"/>
          </w:rPr>
          <w:t>Cronus / Kronos — Wikipedia</w:t>
        </w:r>
      </w:hyperlink>
    </w:p>
    <w:p>
      <w:pPr>
        <w:pStyle w:val="ListBullet"/>
        <w:spacing w:before="20" w:after="20"/>
      </w:pPr>
      <w:hyperlink r:id="rId202">
        <w:r>
          <w:rPr>
            <w:b w:val="0"/>
            <w:i w:val="0"/>
            <w:color w:val="B8860B"/>
            <w:sz w:val="19"/>
          </w:rPr>
          <w:t>Week — Wikipedia: Origin of the seven-day week</w:t>
        </w:r>
      </w:hyperlink>
    </w:p>
    <w:p/>
    <w:p>
      <w:pPr>
        <w:jc w:val="center"/>
      </w:pPr>
      <w:r>
        <w:rPr>
          <w:color w:val="B8860B"/>
          <w:sz w:val="24"/>
        </w:rPr>
        <w:t>— ✦ —</w:t>
      </w:r>
    </w:p>
    <w:p>
      <w:r>
        <w:rPr>
          <w:b w:val="0"/>
          <w:i w:val="0"/>
        </w:rPr>
        <w:t xml:space="preserve">Supplementary table for </w:t>
      </w:r>
      <w:hyperlink r:id="rId93">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203">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204">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XVIII</w:t>
      </w:r>
    </w:p>
    <w:p>
      <w:pPr>
        <w:pStyle w:val="Heading1"/>
        <w:jc w:val="center"/>
      </w:pPr>
      <w:r>
        <w:rPr>
          <w:b/>
        </w:rPr>
        <w:t>Appendix — Narrative Control</w:t>
      </w:r>
    </w:p>
    <w:p>
      <w:r>
        <w:rPr>
          <w:b w:val="0"/>
          <w:i w:val="0"/>
        </w:rPr>
        <w:t>Predictive programming in fiction, controlled opposition and managed disclosure, and censorship from antiquity to electronic media. Chapters in this part keep their original numbering in filenames (</w:t>
      </w:r>
      <w:r>
        <w:rPr>
          <w:rFonts w:ascii="JetBrains Mono" w:hAnsi="JetBrains Mono"/>
          <w:sz w:val="20"/>
        </w:rPr>
        <w:t>18.43.*</w:t>
      </w:r>
      <w:r>
        <w:rPr>
          <w:b w:val="0"/>
          <w:i w:val="0"/>
        </w:rPr>
        <w:t xml:space="preserve">, </w:t>
      </w:r>
      <w:r>
        <w:rPr>
          <w:rFonts w:ascii="JetBrains Mono" w:hAnsi="JetBrains Mono"/>
          <w:sz w:val="20"/>
        </w:rPr>
        <w:t>18.44.*</w:t>
      </w:r>
      <w:r>
        <w:rPr>
          <w:b w:val="0"/>
          <w:i w:val="0"/>
        </w:rPr>
        <w:t xml:space="preserve">, </w:t>
      </w:r>
      <w:r>
        <w:rPr>
          <w:rFonts w:ascii="JetBrains Mono" w:hAnsi="JetBrains Mono"/>
          <w:sz w:val="20"/>
        </w:rPr>
        <w:t>18.46.*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pPr>
        <w:pStyle w:val="Quote"/>
      </w:pPr>
      <w:r>
        <w:rPr>
          <w:b w:val="0"/>
          <w:i w:val="0"/>
          <w:sz w:val="19"/>
        </w:rPr>
      </w:r>
      <w:r>
        <w:rPr>
          <w:b/>
          <w:i w:val="0"/>
          <w:sz w:val="19"/>
        </w:rPr>
        <w:t>TL;DR:</w:t>
      </w:r>
      <w:r>
        <w:rPr>
          <w:b w:val="0"/>
          <w:i w:val="0"/>
          <w:sz w:val="19"/>
        </w:rPr>
        <w:t xml:space="preserve"> TODO</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207">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3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208">
        <w:r>
          <w:rPr>
            <w:b w:val="0"/>
            <w:i w:val="0"/>
            <w:color w:val="B8860B"/>
          </w:rPr>
          <w:t>1939 film</w:t>
        </w:r>
      </w:hyperlink>
      <w:r>
        <w:rPr>
          <w:b w:val="0"/>
          <w:i w:val="0"/>
        </w:rPr>
        <w:t xml:space="preserve"> encode the structure of </w:t>
      </w:r>
      <w:hyperlink r:id="rId188">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20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21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21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21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21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21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7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1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1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3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78">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r>
        <w:rPr>
          <w:b w:val="0"/>
          <w:i w:val="0"/>
          <w:sz w:val="19"/>
        </w:rPr>
        <w:t xml:space="preserve"> | </w:t>
      </w:r>
      <w:hyperlink r:id="rId214">
        <w:r>
          <w:rPr>
            <w:b w:val="0"/>
            <w:i w:val="0"/>
            <w:color w:val="B8860B"/>
            <w:sz w:val="19"/>
          </w:rPr>
          <w:t>Compromised Court Cases / Wells</w:t>
        </w:r>
      </w:hyperlink>
    </w:p>
    <w:p>
      <w:pPr>
        <w:pStyle w:val="ListBullet"/>
        <w:spacing w:before="20" w:after="20"/>
      </w:pPr>
      <w:hyperlink r:id="rId188">
        <w:r>
          <w:rPr>
            <w:b w:val="0"/>
            <w:i w:val="0"/>
            <w:color w:val="B8860B"/>
            <w:sz w:val="19"/>
          </w:rPr>
          <w:t>Atlantis and the Tree of Knowledge</w:t>
        </w:r>
      </w:hyperlink>
      <w:r>
        <w:rPr>
          <w:b w:val="0"/>
          <w:i w:val="0"/>
          <w:sz w:val="19"/>
        </w:rPr>
        <w:t xml:space="preserve"> | </w:t>
      </w:r>
      <w:hyperlink r:id="rId209">
        <w:r>
          <w:rPr>
            <w:b w:val="0"/>
            <w:i w:val="0"/>
            <w:color w:val="B8860B"/>
            <w:sz w:val="19"/>
          </w:rPr>
          <w:t>Giants of the Rus-Horde</w:t>
        </w:r>
      </w:hyperlink>
    </w:p>
    <w:p>
      <w:pPr>
        <w:pStyle w:val="ListBullet"/>
        <w:spacing w:before="20" w:after="20"/>
      </w:pPr>
      <w:hyperlink r:id="rId219">
        <w:r>
          <w:rPr>
            <w:b w:val="0"/>
            <w:i w:val="0"/>
            <w:color w:val="B8860B"/>
            <w:sz w:val="19"/>
          </w:rPr>
          <w:t>Star Metal / Hundred Years War</w:t>
        </w:r>
      </w:hyperlink>
      <w:r>
        <w:rPr>
          <w:b w:val="0"/>
          <w:i w:val="0"/>
          <w:sz w:val="19"/>
        </w:rPr>
        <w:t xml:space="preserve"> | </w:t>
      </w:r>
      <w:hyperlink r:id="rId216">
        <w:r>
          <w:rPr>
            <w:b w:val="0"/>
            <w:i w:val="0"/>
            <w:color w:val="B8860B"/>
            <w:sz w:val="19"/>
          </w:rPr>
          <w:t>Language of the Deep State</w:t>
        </w:r>
      </w:hyperlink>
    </w:p>
    <w:p>
      <w:pPr>
        <w:pStyle w:val="ListBullet"/>
        <w:spacing w:before="20" w:after="20"/>
      </w:pPr>
      <w:hyperlink r:id="rId173">
        <w:r>
          <w:rPr>
            <w:b w:val="0"/>
            <w:i w:val="0"/>
            <w:color w:val="B8860B"/>
            <w:sz w:val="19"/>
          </w:rPr>
          <w:t>The Mars Catastrophe: Research Dead End</w:t>
        </w:r>
      </w:hyperlink>
      <w:r>
        <w:rPr>
          <w:b w:val="0"/>
          <w:i w:val="0"/>
          <w:sz w:val="19"/>
        </w:rPr>
        <w:t xml:space="preserve"> | </w:t>
      </w:r>
      <w:hyperlink r:id="rId21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33">
        <w:r>
          <w:rPr>
            <w:b w:val="0"/>
            <w:i w:val="0"/>
            <w:color w:val="B8860B"/>
          </w:rPr>
          <w:t>Predictive Programming: Literature as Historical Erasure</w:t>
        </w:r>
      </w:hyperlink>
      <w:r>
        <w:rPr>
          <w:b w:val="0"/>
          <w:i w:val="0"/>
        </w:rPr>
        <w:t xml:space="preserve">. For the general overview of predictive programming, see </w:t>
      </w:r>
      <w:hyperlink r:id="rId132">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2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154">
        <w:r>
          <w:rPr>
            <w:b w:val="0"/>
            <w:i w:val="0"/>
            <w:color w:val="B8860B"/>
          </w:rPr>
          <w:t>Population Control: From 1492 to the Technocratic Grid</w:t>
        </w:r>
      </w:hyperlink>
      <w:r>
        <w:rPr>
          <w:b w:val="0"/>
          <w:i w:val="0"/>
        </w:rPr>
        <w:t xml:space="preserve"> and </w:t>
      </w:r>
      <w:hyperlink r:id="rId154">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3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32">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7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3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33">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33">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21">
        <w:r>
          <w:rPr>
            <w:b w:val="0"/>
            <w:i w:val="0"/>
            <w:color w:val="B8860B"/>
          </w:rPr>
          <w:t>GRRM investigation — chronology bottleneck</w:t>
        </w:r>
      </w:hyperlink>
      <w:r>
        <w:rPr>
          <w:b w:val="0"/>
          <w:i w:val="0"/>
        </w:rPr>
        <w:t xml:space="preserve"> and </w:t>
      </w:r>
      <w:hyperlink r:id="rId222">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21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21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21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32">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23">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24">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25">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25">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25">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25">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26">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25">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25">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3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134">
        <w:r>
          <w:rPr>
            <w:b w:val="0"/>
            <w:i w:val="0"/>
            <w:color w:val="B8860B"/>
            <w:sz w:val="19"/>
          </w:rPr>
          <w:t>Asimov: Marx in Space!</w:t>
        </w:r>
      </w:hyperlink>
      <w:r>
        <w:rPr>
          <w:b w:val="0"/>
          <w:i w:val="0"/>
          <w:sz w:val="19"/>
        </w:rPr>
        <w:t xml:space="preserve"> — main article</w:t>
      </w:r>
    </w:p>
    <w:p>
      <w:pPr>
        <w:pStyle w:val="ListBullet"/>
        <w:spacing w:before="20" w:after="20"/>
      </w:pPr>
      <w:hyperlink r:id="rId126">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detailed author profiles and textual evidence supporting the argument in </w:t>
      </w:r>
      <w:hyperlink r:id="rId22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78">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21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78">
        <w:r>
          <w:rPr>
            <w:b w:val="0"/>
            <w:i w:val="0"/>
            <w:color w:val="B8860B"/>
          </w:rPr>
          <w:t>Moreau</w:t>
        </w:r>
      </w:hyperlink>
      <w:r>
        <w:rPr>
          <w:b w:val="0"/>
          <w:i w:val="0"/>
        </w:rPr>
        <w:t xml:space="preserve"> | </w:t>
      </w:r>
      <w:hyperlink r:id="rId218">
        <w:r>
          <w:rPr>
            <w:b w:val="0"/>
            <w:i w:val="0"/>
            <w:color w:val="B8860B"/>
          </w:rPr>
          <w:t>Dracula</w:t>
        </w:r>
      </w:hyperlink>
      <w:r>
        <w:rPr>
          <w:b w:val="0"/>
          <w:i w:val="0"/>
        </w:rPr>
        <w:t xml:space="preserve"> | </w:t>
      </w:r>
      <w:hyperlink r:id="rId21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28">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76">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34">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76">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p>
    <w:p>
      <w:pPr>
        <w:pStyle w:val="ListBullet"/>
        <w:spacing w:before="20" w:after="20"/>
      </w:pPr>
      <w:hyperlink r:id="rId13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2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76">
        <w:r>
          <w:rPr>
            <w:b w:val="0"/>
            <w:i w:val="0"/>
            <w:color w:val="B8860B"/>
            <w:sz w:val="19"/>
          </w:rPr>
          <w:t>The Mars Catastrophe</w:t>
        </w:r>
      </w:hyperlink>
      <w:r>
        <w:rPr>
          <w:b w:val="0"/>
          <w:i w:val="0"/>
          <w:sz w:val="19"/>
        </w:rPr>
        <w:t xml:space="preserve"> — core theory</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29">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article provides the detailed evidentiary record supporting the assessment in </w:t>
      </w:r>
      <w:hyperlink r:id="rId13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3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3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31">
        <w:r>
          <w:rPr>
            <w:b w:val="0"/>
            <w:i w:val="0"/>
            <w:color w:val="B8860B"/>
          </w:rPr>
          <w:t>King James Version</w:t>
        </w:r>
      </w:hyperlink>
      <w:r>
        <w:rPr>
          <w:b w:val="0"/>
          <w:i w:val="0"/>
        </w:rPr>
        <w:t xml:space="preserve"> and Vulgate are Reformation propaganda — Hordian chronicles seized, redacted, translated into </w:t>
      </w:r>
      <w:hyperlink r:id="rId21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3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16">
        <w:r>
          <w:rPr>
            <w:b w:val="0"/>
            <w:i w:val="0"/>
            <w:color w:val="B8860B"/>
          </w:rPr>
          <w:t>Latin</w:t>
        </w:r>
      </w:hyperlink>
      <w:r>
        <w:rPr>
          <w:b w:val="0"/>
          <w:i w:val="0"/>
        </w:rPr>
        <w:t xml:space="preserve"> derivatives, systematically erasing the memory of the empire. Those who remembered </w:t>
      </w:r>
      <w:hyperlink r:id="rId23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33">
        <w:r>
          <w:rPr>
            <w:b w:val="0"/>
            <w:i w:val="0"/>
            <w:color w:val="B8860B"/>
          </w:rPr>
          <w:t>Jerusalem</w:t>
        </w:r>
      </w:hyperlink>
      <w:r>
        <w:rPr>
          <w:b w:val="0"/>
          <w:i w:val="0"/>
        </w:rPr>
        <w:t xml:space="preserve"> were accused of blasphemy and put to death.</w:t>
      </w:r>
    </w:p>
    <w:p>
      <w:r>
        <w:rPr>
          <w:b w:val="0"/>
          <w:i w:val="0"/>
        </w:rPr>
        <w:t xml:space="preserve">The </w:t>
      </w:r>
      <w:hyperlink r:id="rId234">
        <w:r>
          <w:rPr>
            <w:b w:val="0"/>
            <w:i w:val="0"/>
            <w:color w:val="B8860B"/>
          </w:rPr>
          <w:t>Romanov seizure</w:t>
        </w:r>
      </w:hyperlink>
      <w:r>
        <w:rPr>
          <w:b w:val="0"/>
          <w:i w:val="0"/>
        </w:rPr>
        <w:t xml:space="preserve"> formalized this into state policy for Russia. The </w:t>
      </w:r>
      <w:hyperlink r:id="rId235">
        <w:r>
          <w:rPr>
            <w:b w:val="0"/>
            <w:i w:val="0"/>
            <w:color w:val="B8860B"/>
          </w:rPr>
          <w:t>Scaligerian chronology</w:t>
        </w:r>
      </w:hyperlink>
      <w:r>
        <w:rPr>
          <w:b w:val="0"/>
          <w:i w:val="0"/>
        </w:rPr>
        <w:t xml:space="preserve"> provided the fraudulent timeline. The </w:t>
      </w:r>
      <w:hyperlink r:id="rId152">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3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207">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1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2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93">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35">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35">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36">
        <w:r>
          <w:rPr>
            <w:b w:val="0"/>
            <w:i w:val="0"/>
            <w:color w:val="B8860B"/>
          </w:rPr>
          <w:t>Mockingbird</w:t>
        </w:r>
      </w:hyperlink>
      <w:r>
        <w:rPr>
          <w:b w:val="0"/>
          <w:i w:val="0"/>
        </w:rPr>
        <w:t xml:space="preserve">, genre reclassification (1926–50s), </w:t>
      </w:r>
      <w:hyperlink r:id="rId141">
        <w:r>
          <w:rPr>
            <w:b w:val="0"/>
            <w:i w:val="0"/>
            <w:color w:val="B8860B"/>
          </w:rPr>
          <w:t>false flags</w:t>
        </w:r>
      </w:hyperlink>
      <w:r>
        <w:rPr>
          <w:b w:val="0"/>
          <w:i w:val="0"/>
        </w:rPr>
        <w:t xml:space="preserve">. You suppress by surrounding information with a controlled version of itself. For full timeline: </w:t>
      </w:r>
      <w:hyperlink r:id="rId135">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18">
        <w:r>
          <w:rPr>
            <w:b w:val="0"/>
            <w:i w:val="0"/>
            <w:color w:val="B8860B"/>
            <w:sz w:val="19"/>
          </w:rPr>
          <w:t>Dracula: book as fact</w:t>
        </w:r>
      </w:hyperlink>
    </w:p>
    <w:p>
      <w:pPr>
        <w:pStyle w:val="ListBullet"/>
        <w:spacing w:before="20" w:after="20"/>
      </w:pPr>
      <w:hyperlink r:id="rId22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3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3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35">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Full narrative, chronology, methodology, and digital censorship treatment live in </w:t>
      </w:r>
      <w:hyperlink r:id="rId237">
        <w:r>
          <w:rPr>
            <w:b w:val="0"/>
            <w:i w:val="0"/>
            <w:color w:val="B8860B"/>
          </w:rPr>
          <w:t>Censorship and Book Burning: From Alexandria to the Internet</w:t>
        </w:r>
      </w:hyperlink>
      <w:r>
        <w:rPr>
          <w:b w:val="0"/>
          <w:i w:val="0"/>
        </w:rPr>
        <w:t xml:space="preserve"> (ch. 15). The appendix entries below are </w:t>
      </w:r>
      <w:r>
        <w:rPr>
          <w:b/>
          <w:i w:val="0"/>
        </w:rPr>
        <w:t>hubs and bibliography stubs</w:t>
      </w:r>
      <w:r>
        <w:rPr>
          <w:b w:val="0"/>
          <w:i w:val="0"/>
        </w:rPr>
        <w:t xml:space="preserve"> only.</w:t>
      </w:r>
    </w:p>
    <w:p>
      <w:pPr>
        <w:pStyle w:val="ListBullet"/>
        <w:spacing w:before="20" w:after="20"/>
      </w:pPr>
      <w:hyperlink r:id="rId138">
        <w:r>
          <w:rPr>
            <w:b w:val="0"/>
            <w:i w:val="0"/>
            <w:color w:val="B8860B"/>
            <w:sz w:val="19"/>
          </w:rPr>
          <w:t>Censorship: Pattern (Appendix)</w:t>
        </w:r>
      </w:hyperlink>
      <w:r>
        <w:rPr>
          <w:b w:val="0"/>
          <w:i w:val="0"/>
          <w:sz w:val="19"/>
        </w:rPr>
        <w:t xml:space="preserve"> — cross-reference hub</w:t>
      </w:r>
    </w:p>
    <w:p>
      <w:pPr>
        <w:pStyle w:val="ListBullet"/>
        <w:spacing w:before="20" w:after="20"/>
      </w:pPr>
      <w:hyperlink r:id="rId139">
        <w:r>
          <w:rPr>
            <w:b w:val="0"/>
            <w:i w:val="0"/>
            <w:color w:val="B8860B"/>
            <w:sz w:val="19"/>
          </w:rPr>
          <w:t>Censorship: The Historical Record</w:t>
        </w:r>
      </w:hyperlink>
      <w:r>
        <w:rPr>
          <w:b w:val="0"/>
          <w:i w:val="0"/>
          <w:sz w:val="19"/>
        </w:rPr>
        <w:t xml:space="preserve"> — references list</w:t>
      </w:r>
    </w:p>
    <w:p/>
    <w:p>
      <w:pPr>
        <w:jc w:val="center"/>
      </w:pPr>
      <w:r>
        <w:rPr>
          <w:color w:val="B8860B"/>
          <w:sz w:val="24"/>
        </w:rPr>
        <w:t>— ✦ —</w:t>
      </w:r>
    </w:p>
    <w:p>
      <w:r>
        <w:rPr>
          <w:b w:val="0"/>
          <w:i w:val="0"/>
        </w:rPr>
        <w:t xml:space="preserve">The standing pattern, investigator rules, and 21st-century digital layer are now written out in </w:t>
      </w:r>
      <w:hyperlink r:id="rId237">
        <w:r>
          <w:rPr>
            <w:b w:val="0"/>
            <w:i w:val="0"/>
            <w:color w:val="B8860B"/>
          </w:rPr>
          <w:t>Censorship and Book Burning: From Alexandria to the Internet</w:t>
        </w:r>
      </w:hyperlink>
      <w:r>
        <w:rPr>
          <w:b w:val="0"/>
          <w:i w:val="0"/>
        </w:rPr>
        <w:t xml:space="preserve"> (chapter 15). This appendix entry remains a </w:t>
      </w:r>
      <w:r>
        <w:rPr>
          <w:b/>
          <w:i w:val="0"/>
        </w:rPr>
        <w:t>hub</w:t>
      </w:r>
      <w:r>
        <w:rPr>
          <w:b w:val="0"/>
          <w:i w:val="0"/>
        </w:rPr>
        <w:t xml:space="preserve"> for sibling links.</w:t>
      </w:r>
    </w:p>
    <w:p>
      <w:pPr>
        <w:pStyle w:val="Heading3"/>
        <w:keepNext/>
        <w:keepLines/>
      </w:pPr>
      <w:r>
        <w:t>Cross-References</w:t>
      </w:r>
    </w:p>
    <w:p>
      <w:pPr>
        <w:pStyle w:val="ListBullet"/>
        <w:spacing w:before="20" w:after="20"/>
      </w:pPr>
      <w:hyperlink r:id="rId152">
        <w:r>
          <w:rPr>
            <w:b w:val="0"/>
            <w:i w:val="0"/>
            <w:color w:val="B8860B"/>
            <w:sz w:val="19"/>
          </w:rPr>
          <w:t>14.03.00 — Soviet Historiography</w:t>
        </w:r>
      </w:hyperlink>
    </w:p>
    <w:p>
      <w:pPr>
        <w:pStyle w:val="ListBullet"/>
        <w:spacing w:before="20" w:after="20"/>
      </w:pPr>
      <w:hyperlink r:id="rId238">
        <w:r>
          <w:rPr>
            <w:b w:val="0"/>
            <w:i w:val="0"/>
            <w:color w:val="B8860B"/>
            <w:sz w:val="19"/>
          </w:rPr>
          <w:t>14.02.00 — The Russian Intellectual Emigration</w:t>
        </w:r>
      </w:hyperlink>
    </w:p>
    <w:p>
      <w:pPr>
        <w:pStyle w:val="ListBullet"/>
        <w:spacing w:before="20" w:after="20"/>
      </w:pPr>
      <w:hyperlink r:id="rId136">
        <w:r>
          <w:rPr>
            <w:b w:val="0"/>
            <w:i w:val="0"/>
            <w:color w:val="B8860B"/>
            <w:sz w:val="19"/>
          </w:rPr>
          <w:t>14.06.00 — Operation Mockingbird</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39">
        <w:r>
          <w:rPr>
            <w:b w:val="0"/>
            <w:i w:val="0"/>
            <w:color w:val="B8860B"/>
            <w:sz w:val="19"/>
          </w:rPr>
          <w:t>Censorship: The Historical Record</w:t>
        </w:r>
      </w:hyperlink>
      <w:r>
        <w:rPr>
          <w:b w:val="0"/>
          <w:i w:val="0"/>
          <w:sz w:val="19"/>
        </w:rPr>
        <w:t xml:space="preserve"> — compact references list</w:t>
      </w:r>
    </w:p>
    <w:p/>
    <w:p>
      <w:pPr>
        <w:jc w:val="center"/>
      </w:pPr>
      <w:r>
        <w:rPr>
          <w:color w:val="B8860B"/>
          <w:sz w:val="24"/>
        </w:rPr>
        <w:t>— ✦ —</w:t>
      </w:r>
    </w:p>
    <w:p>
      <w:r>
        <w:rPr>
          <w:b w:val="0"/>
          <w:i w:val="0"/>
        </w:rPr>
        <w:t xml:space="preserve">The episode-by-episode chronology, methodology checklist, and source notes that formerly lived here are now folded into the main book article </w:t>
      </w:r>
      <w:hyperlink r:id="rId237">
        <w:r>
          <w:rPr>
            <w:b w:val="0"/>
            <w:i w:val="0"/>
            <w:color w:val="B8860B"/>
          </w:rPr>
          <w:t>Censorship and Book Burning: From Alexandria to the Internet</w:t>
        </w:r>
      </w:hyperlink>
      <w:r>
        <w:rPr>
          <w:b w:val="0"/>
          <w:i w:val="0"/>
        </w:rPr>
        <w:t xml:space="preserve">. This appendix page keeps a compact </w:t>
      </w:r>
      <w:r>
        <w:rPr>
          <w:b/>
          <w:i w:val="0"/>
        </w:rPr>
        <w:t>references</w:t>
      </w:r>
      <w:r>
        <w:rPr>
          <w:b w:val="0"/>
          <w:i w:val="0"/>
        </w:rPr>
        <w:t xml:space="preserve"> list for citation; narrative detail should be read there.</w:t>
      </w:r>
    </w:p>
    <w:p>
      <w:pPr>
        <w:pStyle w:val="Heading3"/>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XIX</w:t>
      </w:r>
    </w:p>
    <w:p>
      <w:pPr>
        <w:pStyle w:val="Heading1"/>
        <w:jc w:val="center"/>
      </w:pPr>
      <w:r>
        <w:rPr>
          <w:b/>
        </w:rPr>
        <w:t>Appendix — Conflict, Empire, and Manufactured War</w:t>
      </w:r>
    </w:p>
    <w:p>
      <w:r>
        <w:rPr>
          <w:b w:val="0"/>
          <w:i w:val="0"/>
        </w:rPr>
        <w:t xml:space="preserve">False-flag architecture, deep-state and imperial dossiers, reverse crusades in modern wars, and extended operational evidence. Chapters use the original bands </w:t>
      </w:r>
      <w:r>
        <w:rPr>
          <w:rFonts w:ascii="JetBrains Mono" w:hAnsi="JetBrains Mono"/>
          <w:sz w:val="20"/>
        </w:rPr>
        <w:t>19.47.*</w:t>
      </w:r>
      <w:r>
        <w:rPr>
          <w:b w:val="0"/>
          <w:i w:val="0"/>
        </w:rPr>
        <w:t xml:space="preserve">, </w:t>
      </w:r>
      <w:r>
        <w:rPr>
          <w:rFonts w:ascii="JetBrains Mono" w:hAnsi="JetBrains Mono"/>
          <w:sz w:val="20"/>
        </w:rPr>
        <w:t>19.48.*</w:t>
      </w:r>
      <w:r>
        <w:rPr>
          <w:b w:val="0"/>
          <w:i w:val="0"/>
        </w:rPr>
        <w:t xml:space="preserve">, </w:t>
      </w:r>
      <w:r>
        <w:rPr>
          <w:rFonts w:ascii="JetBrains Mono" w:hAnsi="JetBrains Mono"/>
          <w:sz w:val="20"/>
        </w:rPr>
        <w:t>19.50.*</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 xml:space="preserve">The main narrative, catalogue, quotations, and investigator checklist are in </w:t>
      </w:r>
      <w:hyperlink r:id="rId241">
        <w:r>
          <w:rPr>
            <w:b w:val="0"/>
            <w:i w:val="0"/>
            <w:color w:val="B8860B"/>
          </w:rPr>
          <w:t>False Flags: Architecture of Manufactured War</w:t>
        </w:r>
      </w:hyperlink>
      <w:r>
        <w:rPr>
          <w:b w:val="0"/>
          <w:i w:val="0"/>
        </w:rPr>
        <w:t xml:space="preserve"> (ch. 15). The entries below are </w:t>
      </w:r>
      <w:r>
        <w:rPr>
          <w:b/>
          <w:i w:val="0"/>
        </w:rPr>
        <w:t>appendix hubs</w:t>
      </w:r>
      <w:r>
        <w:rPr>
          <w:b w:val="0"/>
          <w:i w:val="0"/>
        </w:rPr>
        <w:t xml:space="preserve">: cross-links and an extended </w:t>
      </w:r>
      <w:r>
        <w:rPr>
          <w:b/>
          <w:i w:val="0"/>
        </w:rPr>
        <w:t>bibliography</w:t>
      </w:r>
      <w:r>
        <w:rPr>
          <w:b w:val="0"/>
          <w:i w:val="0"/>
        </w:rPr>
        <w:t xml:space="preserve"> permalink.</w:t>
      </w:r>
    </w:p>
    <w:p>
      <w:pPr>
        <w:pStyle w:val="ListBullet"/>
        <w:spacing w:before="20" w:after="20"/>
      </w:pPr>
      <w:hyperlink r:id="rId141">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142">
        <w:r>
          <w:rPr>
            <w:b w:val="0"/>
            <w:i w:val="0"/>
            <w:color w:val="B8860B"/>
            <w:sz w:val="19"/>
          </w:rPr>
          <w:t>False Flags Investigation: Evidence Dossier</w:t>
        </w:r>
      </w:hyperlink>
      <w:r>
        <w:rPr>
          <w:b w:val="0"/>
          <w:i w:val="0"/>
          <w:sz w:val="19"/>
        </w:rPr>
        <w:t xml:space="preserve"> — consolidated bibliography</w:t>
      </w:r>
    </w:p>
    <w:p/>
    <w:p>
      <w:pPr>
        <w:jc w:val="center"/>
      </w:pPr>
      <w:r>
        <w:rPr>
          <w:color w:val="B8860B"/>
          <w:sz w:val="24"/>
        </w:rPr>
        <w:t>— ✦ —</w:t>
      </w:r>
    </w:p>
    <w:p>
      <w:r>
        <w:rPr>
          <w:b w:val="0"/>
          <w:i w:val="0"/>
        </w:rPr>
        <w:t xml:space="preserve">Narrative, catalogue, Pearl Harbor quotations, Los Angeles 1942, nuclear narrative, case sketches, and reading rules now live in </w:t>
      </w:r>
      <w:hyperlink r:id="rId241">
        <w:r>
          <w:rPr>
            <w:b w:val="0"/>
            <w:i w:val="0"/>
            <w:color w:val="B8860B"/>
          </w:rPr>
          <w:t>False Flags: Architecture of Manufactured War</w:t>
        </w:r>
      </w:hyperlink>
      <w:r>
        <w:rPr>
          <w:b w:val="0"/>
          <w:i w:val="0"/>
        </w:rPr>
        <w:t xml:space="preserve"> (chapter 15). This entry remains an </w:t>
      </w:r>
      <w:r>
        <w:rPr>
          <w:b/>
          <w:i w:val="0"/>
        </w:rPr>
        <w:t>appendix hub</w:t>
      </w:r>
      <w:r>
        <w:rPr>
          <w:b w:val="0"/>
          <w:i w:val="0"/>
        </w:rPr>
        <w:t xml:space="preserve"> for sibling links.</w:t>
      </w:r>
    </w:p>
    <w:p>
      <w:pPr>
        <w:pStyle w:val="Heading3"/>
        <w:keepNext/>
        <w:keepLines/>
      </w:pPr>
      <w:r>
        <w:t>Cross-references</w:t>
      </w:r>
    </w:p>
    <w:p>
      <w:pPr>
        <w:pStyle w:val="ListBullet"/>
        <w:spacing w:before="20" w:after="20"/>
      </w:pPr>
      <w:hyperlink r:id="rId142">
        <w:r>
          <w:rPr>
            <w:b w:val="0"/>
            <w:i w:val="0"/>
            <w:color w:val="B8860B"/>
            <w:sz w:val="19"/>
          </w:rPr>
          <w:t>False Flags Investigation: Evidence Dossier</w:t>
        </w:r>
      </w:hyperlink>
      <w:r>
        <w:rPr>
          <w:b w:val="0"/>
          <w:i w:val="0"/>
          <w:sz w:val="19"/>
        </w:rPr>
        <w:t xml:space="preserve"> — extended bibliography and permalink</w:t>
      </w:r>
    </w:p>
    <w:p>
      <w:pPr>
        <w:pStyle w:val="ListBullet"/>
        <w:spacing w:before="20" w:after="20"/>
      </w:pPr>
      <w:hyperlink r:id="rId242">
        <w:r>
          <w:rPr>
            <w:b w:val="0"/>
            <w:i w:val="0"/>
            <w:color w:val="B8860B"/>
            <w:sz w:val="19"/>
          </w:rPr>
          <w:t>9/11 investigation</w:t>
        </w:r>
      </w:hyperlink>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25">
        <w:r>
          <w:rPr>
            <w:b w:val="0"/>
            <w:i w:val="0"/>
            <w:color w:val="B8860B"/>
            <w:sz w:val="19"/>
          </w:rPr>
          <w:t>Mars contacts timeline</w:t>
        </w:r>
      </w:hyperlink>
    </w:p>
    <w:p/>
    <w:p>
      <w:pPr>
        <w:jc w:val="center"/>
      </w:pPr>
      <w:r>
        <w:rPr>
          <w:color w:val="B8860B"/>
          <w:sz w:val="24"/>
        </w:rPr>
        <w:t>— ✦ —</w:t>
      </w:r>
    </w:p>
    <w:p>
      <w:r>
        <w:rPr>
          <w:b w:val="0"/>
          <w:i w:val="0"/>
        </w:rPr>
        <w:t xml:space="preserve">The episode-level evidence blocks (McCollum text, Magic routing, Tonkin NSA notes, Los Angeles timeline, controlled-opposition sourcing) are summarized in </w:t>
      </w:r>
      <w:hyperlink r:id="rId241">
        <w:r>
          <w:rPr>
            <w:b w:val="0"/>
            <w:i w:val="0"/>
            <w:color w:val="B8860B"/>
          </w:rPr>
          <w:t>False Flags: Architecture of Manufactured War</w:t>
        </w:r>
      </w:hyperlink>
      <w:r>
        <w:rPr>
          <w:b w:val="0"/>
          <w:i w:val="0"/>
        </w:rPr>
        <w:t xml:space="preserve">. This appendix page keeps a </w:t>
      </w:r>
      <w:r>
        <w:rPr>
          <w:b/>
          <w:i w:val="0"/>
        </w:rPr>
        <w:t>consolidated bibliography</w:t>
      </w:r>
      <w:r>
        <w:rPr>
          <w:b w:val="0"/>
          <w:i w:val="0"/>
        </w:rPr>
        <w:t xml:space="preserve"> for citation and deep follow-up.</w:t>
      </w:r>
    </w:p>
    <w:p>
      <w:pPr>
        <w:pStyle w:val="Heading3"/>
        <w:keepNext/>
        <w:keepLines/>
      </w:pPr>
      <w:r>
        <w:t>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Articles and documents</w:t>
      </w:r>
    </w:p>
    <w:p>
      <w:pPr>
        <w:pStyle w:val="ListBullet"/>
        <w:spacing w:before="20" w:after="20"/>
      </w:pPr>
      <w:r>
        <w:rPr>
          <w:b w:val="0"/>
          <w:i w:val="0"/>
          <w:sz w:val="19"/>
        </w:rPr>
        <w:t xml:space="preserve">James Perloff, </w:t>
      </w:r>
      <w:hyperlink r:id="rId243">
        <w:r>
          <w:rPr>
            <w:b w:val="0"/>
            <w:i w:val="0"/>
            <w:color w:val="B8860B"/>
            <w:sz w:val="19"/>
          </w:rPr>
          <w:t>"Pearl Harbor: Roosevelt's 9/11"</w:t>
        </w:r>
      </w:hyperlink>
      <w:r>
        <w:rPr>
          <w:b w:val="0"/>
          <w:i w:val="0"/>
          <w:sz w:val="19"/>
        </w:rPr>
        <w:t xml:space="preserve"> (2014)</w:t>
      </w:r>
    </w:p>
    <w:p>
      <w:pPr>
        <w:pStyle w:val="ListBullet"/>
        <w:spacing w:before="20" w:after="20"/>
      </w:pPr>
      <w:hyperlink r:id="rId244">
        <w:r>
          <w:rPr>
            <w:b w:val="0"/>
            <w:i w:val="0"/>
            <w:color w:val="B8860B"/>
            <w:sz w:val="19"/>
          </w:rPr>
          <w:t>FalseFlag.info: Pearl Harbor</w:t>
        </w:r>
      </w:hyperlink>
    </w:p>
    <w:p>
      <w:pPr>
        <w:pStyle w:val="ListBullet"/>
        <w:spacing w:before="20" w:after="20"/>
      </w:pPr>
      <w:hyperlink r:id="rId245">
        <w:r>
          <w:rPr>
            <w:b w:val="0"/>
            <w:i w:val="0"/>
            <w:color w:val="B8860B"/>
            <w:sz w:val="19"/>
          </w:rPr>
          <w:t>The Encyclopedia of False Flag Staged Operations</w:t>
        </w:r>
      </w:hyperlink>
    </w:p>
    <w:p>
      <w:pPr>
        <w:pStyle w:val="ListBullet"/>
        <w:spacing w:before="20" w:after="20"/>
      </w:pPr>
      <w:hyperlink r:id="rId246">
        <w:r>
          <w:rPr>
            <w:b w:val="0"/>
            <w:i w:val="0"/>
            <w:color w:val="B8860B"/>
            <w:sz w:val="19"/>
          </w:rPr>
          <w:t>Pearl Harbor advance-knowledge conspiracy theory</w:t>
        </w:r>
      </w:hyperlink>
      <w:r>
        <w:rPr>
          <w:b w:val="0"/>
          <w:i w:val="0"/>
          <w:sz w:val="19"/>
        </w:rPr>
        <w:t>, Wikipedia</w:t>
      </w:r>
    </w:p>
    <w:p>
      <w:pPr>
        <w:pStyle w:val="ListBullet"/>
        <w:spacing w:before="20" w:after="20"/>
      </w:pPr>
      <w:hyperlink r:id="rId247">
        <w:r>
          <w:rPr>
            <w:b w:val="0"/>
            <w:i w:val="0"/>
            <w:color w:val="B8860B"/>
            <w:sz w:val="19"/>
          </w:rPr>
          <w:t>McCollum memo</w:t>
        </w:r>
      </w:hyperlink>
      <w:r>
        <w:rPr>
          <w:b w:val="0"/>
          <w:i w:val="0"/>
          <w:sz w:val="19"/>
        </w:rPr>
        <w:t>, Wikipedia</w:t>
      </w:r>
    </w:p>
    <w:p>
      <w:pPr>
        <w:pStyle w:val="ListBullet"/>
        <w:spacing w:before="20" w:after="20"/>
      </w:pPr>
      <w:hyperlink r:id="rId248">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49">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250">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51">
        <w:r>
          <w:rPr>
            <w:b w:val="0"/>
            <w:i w:val="0"/>
            <w:color w:val="B8860B"/>
            <w:sz w:val="19"/>
          </w:rPr>
          <w:t>WHATREALLYHAPPENED: Pearl Harbor</w:t>
        </w:r>
      </w:hyperlink>
    </w:p>
    <w:p>
      <w:pPr>
        <w:pStyle w:val="ListBullet"/>
        <w:spacing w:before="20" w:after="20"/>
      </w:pPr>
      <w:hyperlink r:id="rId252">
        <w:r>
          <w:rPr>
            <w:b w:val="0"/>
            <w:i w:val="0"/>
            <w:color w:val="B8860B"/>
            <w:sz w:val="19"/>
          </w:rPr>
          <w:t>ibiblio: Missing carriers</w:t>
        </w:r>
      </w:hyperlink>
    </w:p>
    <w:p>
      <w:pPr>
        <w:pStyle w:val="Heading4"/>
        <w:keepNext/>
        <w:keepLines/>
      </w:pPr>
      <w:r>
        <w:t>Cross-references in this timeline</w:t>
      </w:r>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253">
        <w:r>
          <w:rPr>
            <w:b w:val="0"/>
            <w:i w:val="0"/>
            <w:color w:val="B8860B"/>
            <w:sz w:val="19"/>
          </w:rPr>
          <w:t>British Empire as Deep State instrument</w:t>
        </w:r>
      </w:hyperlink>
    </w:p>
    <w:p>
      <w:pPr>
        <w:pStyle w:val="ListBullet"/>
        <w:spacing w:before="20" w:after="20"/>
      </w:pPr>
      <w:hyperlink r:id="rId125">
        <w:r>
          <w:rPr>
            <w:b w:val="0"/>
            <w:i w:val="0"/>
            <w:color w:val="B8860B"/>
            <w:sz w:val="19"/>
          </w:rPr>
          <w:t>Mars contacts timeline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54">
        <w:r>
          <w:rPr>
            <w:b w:val="0"/>
            <w:i w:val="0"/>
            <w:color w:val="B8860B"/>
          </w:rPr>
          <w:t>modernization campaign</w:t>
        </w:r>
      </w:hyperlink>
      <w:r>
        <w:rPr>
          <w:b w:val="0"/>
          <w:i w:val="0"/>
        </w:rPr>
        <w:t xml:space="preserve"> — reformed calendar and </w:t>
      </w:r>
      <w:hyperlink r:id="rId255">
        <w:r>
          <w:rPr>
            <w:b w:val="0"/>
            <w:i w:val="0"/>
            <w:color w:val="B8860B"/>
          </w:rPr>
          <w:t>alphabet</w:t>
        </w:r>
      </w:hyperlink>
      <w:r>
        <w:rPr>
          <w:b w:val="0"/>
          <w:i w:val="0"/>
        </w:rPr>
        <w:t xml:space="preserve">, moved capital to St Petersburg — pressured Orthodox Church's autonomy. </w:t>
      </w:r>
      <w:hyperlink r:id="rId256">
        <w:r>
          <w:rPr>
            <w:b w:val="0"/>
            <w:i w:val="0"/>
            <w:color w:val="B8860B"/>
          </w:rPr>
          <w:t>Anti-Russian Sentiment</w:t>
        </w:r>
      </w:hyperlink>
      <w:r>
        <w:rPr>
          <w:b w:val="0"/>
          <w:i w:val="0"/>
        </w:rPr>
        <w:t xml:space="preserve"> continues three centuries; </w:t>
      </w:r>
      <w:hyperlink r:id="rId257">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58">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59">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60">
        <w:r>
          <w:rPr>
            <w:b w:val="0"/>
            <w:i w:val="0"/>
            <w:color w:val="B8860B"/>
          </w:rPr>
          <w:t>religious schism</w:t>
        </w:r>
      </w:hyperlink>
      <w:r>
        <w:rPr>
          <w:b w:val="0"/>
          <w:i w:val="0"/>
        </w:rPr>
        <w:t xml:space="preserve">, </w:t>
      </w:r>
      <w:hyperlink r:id="rId261">
        <w:r>
          <w:rPr>
            <w:b w:val="0"/>
            <w:i w:val="0"/>
            <w:color w:val="B8860B"/>
          </w:rPr>
          <w:t>Inquisition</w:t>
        </w:r>
      </w:hyperlink>
      <w:r>
        <w:rPr>
          <w:b w:val="0"/>
          <w:i w:val="0"/>
        </w:rPr>
        <w:t xml:space="preserve">, </w:t>
      </w:r>
      <w:hyperlink r:id="rId216">
        <w:r>
          <w:rPr>
            <w:b w:val="0"/>
            <w:i w:val="0"/>
            <w:color w:val="B8860B"/>
          </w:rPr>
          <w:t>Latin</w:t>
        </w:r>
      </w:hyperlink>
      <w:r>
        <w:rPr>
          <w:b w:val="0"/>
          <w:i w:val="0"/>
        </w:rPr>
        <w:t xml:space="preserve">, </w:t>
      </w:r>
      <w:hyperlink r:id="rId234">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62">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62">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63">
        <w:r>
          <w:rPr>
            <w:b w:val="0"/>
            <w:i w:val="0"/>
            <w:color w:val="B8860B"/>
          </w:rPr>
          <w:t>Ch.8 §1</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2">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64">
        <w:r>
          <w:rPr>
            <w:b w:val="0"/>
            <w:i w:val="0"/>
            <w:color w:val="B8860B"/>
          </w:rPr>
          <w:t>Romanov Seizure</w:t>
        </w:r>
      </w:hyperlink>
      <w:r>
        <w:rPr>
          <w:b w:val="0"/>
          <w:i w:val="0"/>
        </w:rPr>
        <w:t xml:space="preserve">, </w:t>
      </w:r>
      <w:hyperlink r:id="rId232">
        <w:r>
          <w:rPr>
            <w:b w:val="0"/>
            <w:i w:val="0"/>
            <w:color w:val="B8860B"/>
          </w:rPr>
          <w:t>Deep State breaks up the Hordian Empire</w:t>
        </w:r>
      </w:hyperlink>
      <w:r>
        <w:rPr>
          <w:b w:val="0"/>
          <w:i w:val="0"/>
        </w:rPr>
        <w:t xml:space="preserve">, </w:t>
      </w:r>
      <w:hyperlink r:id="rId253">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145">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65">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154">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53">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66">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67">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141">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68">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2">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69">
        <w:r>
          <w:rPr>
            <w:b w:val="0"/>
            <w:i w:val="0"/>
            <w:color w:val="B8860B"/>
          </w:rPr>
          <w:t>Opium Wars</w:t>
        </w:r>
      </w:hyperlink>
      <w:r>
        <w:rPr>
          <w:b w:val="0"/>
          <w:i w:val="0"/>
        </w:rPr>
        <w:t xml:space="preserve"> broke Chinese sovereignty; </w:t>
      </w:r>
      <w:hyperlink r:id="rId270">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r>
        <w:rPr>
          <w:b w:val="0"/>
          <w:i w:val="0"/>
        </w:rPr>
      </w:r>
      <w:r>
        <w:rPr>
          <w:b/>
          <w:i w:val="0"/>
        </w:rPr>
        <w:t>Pitcairn Islands (1830s–present):</w:t>
      </w:r>
      <w:r>
        <w:rPr>
          <w:b w:val="0"/>
          <w:i w:val="0"/>
        </w:rPr>
        <w:t xml:space="preserve"> The UK overseas territory is a </w:t>
      </w:r>
      <w:r>
        <w:rPr>
          <w:b w:val="0"/>
          <w:i/>
        </w:rPr>
        <w:t>fast-track microcosm</w:t>
      </w:r>
      <w:r>
        <w:rPr>
          <w:b w:val="0"/>
          <w:i w:val="0"/>
        </w:rPr>
        <w:t xml:space="preserve"> of empire method at small scale. The whole community was lifted off the rock twice in the nineteenth century — 1831–1833 (Tahiti) and 1856 (Norfolk) with return waves — under British shipping, policy, and missionary administration: the same reshape-the-population-then-retell move used on larger colonies, with full time to sift lands, registers, and leadership before repopulating the narrative as timeless local culture. Mid-century </w:t>
      </w:r>
      <w:r>
        <w:rPr>
          <w:b w:val="0"/>
          <w:i/>
        </w:rPr>
        <w:t>Bounty</w:t>
      </w:r>
      <w:r>
        <w:rPr>
          <w:b w:val="0"/>
          <w:i w:val="0"/>
        </w:rPr>
        <w:t xml:space="preserve"> cinema foregrounded a tyrant </w:t>
      </w:r>
      <w:r>
        <w:rPr>
          <w:b/>
          <w:i w:val="0"/>
        </w:rPr>
        <w:t>Bligh</w:t>
      </w:r>
      <w:r>
        <w:rPr>
          <w:b w:val="0"/>
          <w:i w:val="0"/>
        </w:rPr>
        <w:t xml:space="preserve"> more than many books and naval records and sidelined </w:t>
      </w:r>
      <w:r>
        <w:rPr>
          <w:b/>
          <w:i w:val="0"/>
        </w:rPr>
        <w:t>Tahiti / desertion</w:t>
      </w:r>
      <w:r>
        <w:rPr>
          <w:b w:val="0"/>
          <w:i w:val="0"/>
        </w:rPr>
        <w:t xml:space="preserve"> as the mutiny’s motor; later packaging often stresses Pitcairners’ misery and “rescue” while </w:t>
      </w:r>
      <w:r>
        <w:rPr>
          <w:b/>
          <w:i w:val="0"/>
        </w:rPr>
        <w:t>voluntary returns</w:t>
      </w:r>
      <w:r>
        <w:rPr>
          <w:b w:val="0"/>
          <w:i w:val="0"/>
        </w:rPr>
        <w:t xml:space="preserve"> to the rock complicate that picture (</w:t>
      </w:r>
      <w:hyperlink r:id="rId271">
        <w:r>
          <w:rPr>
            <w:b w:val="0"/>
            <w:i w:val="0"/>
            <w:color w:val="B8860B"/>
          </w:rPr>
          <w:t>investigation §2.1</w:t>
        </w:r>
      </w:hyperlink>
      <w:r>
        <w:rPr>
          <w:b w:val="0"/>
          <w:i w:val="0"/>
        </w:rPr>
        <w:t xml:space="preserve">). From the 1833 and post-Norfolk returns onward, “pure mutineer isolation” is not something outside archives can take on trust. Crown law, governors, Auckland administration, Kent police, and Privy Council appeals gave London levers to divide islanders — men against women, kin against kin — through the 2004 and 2005 sexual-offences trials and later prosecutions, while press leaned island-first pathology and underplayed outsider and structural threads. Voyaging access, two resets, tiny population, and decades of underage sexual offending in the record (1950s imprisonments in secondary summaries; Operation Unique from 1999) sit poorly with Pitcairn as only a closed incest story. </w:t>
      </w:r>
      <w:r>
        <w:rPr>
          <w:b w:val="0"/>
          <w:i/>
        </w:rPr>
        <w:t>This chronology treats the territory as most likely having served sex trafficking or trafficking-equivalent exploitation</w:t>
      </w:r>
      <w:r>
        <w:rPr>
          <w:b w:val="0"/>
          <w:i w:val="0"/>
        </w:rPr>
        <w:t xml:space="preserve"> — crew, visitors, digital supply, UK legal theatre — for roughly the last eighty years, possibly longer into the post-reorganization twentieth century; court and UN language prefer “endemic abuse” over commercial trafficking, and the gap is left for evidence. Full argument: </w:t>
      </w:r>
      <w:hyperlink r:id="rId272">
        <w:r>
          <w:rPr>
            <w:b w:val="0"/>
            <w:i w:val="0"/>
            <w:color w:val="B8860B"/>
          </w:rPr>
          <w:t>Pitcairn: mutiny, sovereignty, and law</w:t>
        </w:r>
      </w:hyperlink>
      <w:r>
        <w:rPr>
          <w:b w:val="0"/>
          <w:i w:val="0"/>
        </w:rPr>
        <w:t xml:space="preserve"> in paradigm-threat-files; </w:t>
      </w:r>
      <w:hyperlink r:id="rId273">
        <w:r>
          <w:rPr>
            <w:b w:val="0"/>
            <w:i w:val="0"/>
            <w:color w:val="B8860B"/>
          </w:rPr>
          <w:t>timeline companion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Jesuits — the </w:t>
      </w:r>
      <w:hyperlink r:id="rId274">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5">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65">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76">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77">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78">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79">
        <w:r>
          <w:rPr>
            <w:b w:val="0"/>
            <w:i w:val="0"/>
            <w:color w:val="B8860B"/>
          </w:rPr>
          <w:t>Maya codices</w:t>
        </w:r>
      </w:hyperlink>
      <w:r>
        <w:rPr>
          <w:b w:val="0"/>
          <w:i w:val="0"/>
        </w:rPr>
        <w:t xml:space="preserve"> exist because Jesuits and Franciscans preserved them while colonial administration destroyed the rest. </w:t>
      </w:r>
      <w:hyperlink r:id="rId280">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1">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82">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122">
        <w:r>
          <w:rPr>
            <w:b w:val="0"/>
            <w:i w:val="0"/>
            <w:color w:val="B8860B"/>
          </w:rPr>
          <w:t>Building the New Chronology</w:t>
        </w:r>
      </w:hyperlink>
      <w:r>
        <w:rPr>
          <w:b w:val="0"/>
          <w:i w:val="0"/>
        </w:rPr>
        <w:t xml:space="preserve">, </w:t>
      </w:r>
      <w:hyperlink r:id="rId19">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36">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80">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83">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3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6">
        <w:r>
          <w:rPr>
            <w:b w:val="0"/>
            <w:i w:val="0"/>
            <w:color w:val="B8860B"/>
            <w:sz w:val="19"/>
          </w:rPr>
          <w:t>Missionaries to Corporations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47">
        <w:r>
          <w:rPr>
            <w:b w:val="0"/>
            <w:i w:val="0"/>
            <w:color w:val="B8860B"/>
          </w:rPr>
          <w:t>Napoleonic Wars</w:t>
        </w:r>
      </w:hyperlink>
      <w:r>
        <w:rPr>
          <w:b w:val="0"/>
          <w:i w:val="0"/>
        </w:rPr>
        <w:t xml:space="preserve"> and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87">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88">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89">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90">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91">
        <w:r>
          <w:rPr>
            <w:b w:val="0"/>
            <w:i w:val="0"/>
            <w:color w:val="B8860B"/>
          </w:rPr>
          <w:t>/governance/war/investigations/napoleonic-advanced-artillery-airship-investigation.md</w:t>
        </w:r>
      </w:hyperlink>
      <w:r>
        <w:rPr>
          <w:b w:val="0"/>
          <w:i w:val="0"/>
        </w:rPr>
        <w:t xml:space="preserve">. The </w:t>
      </w:r>
      <w:hyperlink r:id="rId176">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80">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80">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14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9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80">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93">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94">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7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91">
        <w:r>
          <w:rPr>
            <w:b w:val="0"/>
            <w:i w:val="0"/>
            <w:color w:val="B8860B"/>
          </w:rPr>
          <w:t>/governance/war/investigations/napoleonic-advanced-artillery-airship-investigation.md</w:t>
        </w:r>
      </w:hyperlink>
      <w:r>
        <w:rPr>
          <w:b w:val="0"/>
          <w:i w:val="0"/>
        </w:rPr>
        <w:t xml:space="preserve">. For the war's deeper financial context, see </w:t>
      </w:r>
      <w:hyperlink r:id="rId180">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95">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80">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r>
        <w:rPr>
          <w:b w:val="0"/>
          <w:i w:val="0"/>
        </w:rPr>
        <w:t xml:space="preserve">After </w:t>
      </w:r>
      <w:r>
        <w:rPr>
          <w:b/>
          <w:i w:val="0"/>
        </w:rPr>
        <w:t>1945</w:t>
      </w:r>
      <w:r>
        <w:rPr>
          <w:b w:val="0"/>
          <w:i w:val="0"/>
        </w:rPr>
        <w:t xml:space="preserve">, the pan-European </w:t>
      </w:r>
      <w:r>
        <w:rPr>
          <w:b/>
          <w:i w:val="0"/>
        </w:rPr>
        <w:t>invasion</w:t>
      </w:r>
      <w:r>
        <w:rPr>
          <w:b w:val="0"/>
          <w:i w:val="0"/>
        </w:rPr>
        <w:t xml:space="preserve"> of Russia failed again; the West still </w:t>
      </w:r>
      <w:r>
        <w:rPr>
          <w:b/>
          <w:i w:val="0"/>
        </w:rPr>
        <w:t>extracted</w:t>
      </w:r>
      <w:r>
        <w:rPr>
          <w:b w:val="0"/>
          <w:i w:val="0"/>
        </w:rPr>
        <w:t xml:space="preserve"> German war capacity (Paperclip, Gehlen, Ratlines) and folded it into </w:t>
      </w:r>
      <w:r>
        <w:rPr>
          <w:b/>
          <w:i w:val="0"/>
        </w:rPr>
        <w:t>encirclement</w:t>
      </w:r>
      <w:r>
        <w:rPr>
          <w:b w:val="0"/>
          <w:i w:val="0"/>
        </w:rPr>
        <w:t xml:space="preserve"> and </w:t>
      </w:r>
      <w:r>
        <w:rPr>
          <w:b/>
          <w:i w:val="0"/>
        </w:rPr>
        <w:t>intelligence</w:t>
      </w:r>
      <w:r>
        <w:rPr>
          <w:b w:val="0"/>
          <w:i w:val="0"/>
        </w:rPr>
        <w:t xml:space="preserve"> against the USSR — the same strategic goal in a new costume. </w:t>
      </w:r>
      <w:hyperlink r:id="rId296">
        <w:r>
          <w:rPr>
            <w:b w:val="0"/>
            <w:i w:val="0"/>
            <w:color w:val="B8860B"/>
          </w:rPr>
          <w:t>Operation Paperclip, Nazi continuity, and the WWII narrative</w:t>
        </w:r>
      </w:hyperlink>
      <w:r>
        <w:rPr>
          <w:b w:val="0"/>
          <w:i w:val="0"/>
        </w:rPr>
        <w:t xml:space="preserve"> ties that postwar re-tasking to this pattern.</w:t>
      </w:r>
    </w:p>
    <w:p>
      <w:hyperlink r:id="rId297">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98">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99">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300">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301">
        <w:r>
          <w:rPr>
            <w:b w:val="0"/>
            <w:i w:val="0"/>
            <w:color w:val="B8860B"/>
          </w:rPr>
          <w:t>Vril Society Investigation</w:t>
        </w:r>
      </w:hyperlink>
      <w:r>
        <w:rPr>
          <w:b w:val="0"/>
          <w:i w:val="0"/>
        </w:rPr>
        <w:t xml:space="preserve"> | </w:t>
      </w:r>
      <w:hyperlink r:id="rId297">
        <w:r>
          <w:rPr>
            <w:b w:val="0"/>
            <w:i w:val="0"/>
            <w:color w:val="B8860B"/>
          </w:rPr>
          <w:t>Reverse Crusades Comparison</w:t>
        </w:r>
      </w:hyperlink>
      <w:r>
        <w:rPr>
          <w:b w:val="0"/>
          <w:i w:val="0"/>
        </w:rPr>
        <w:t>.</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w:t>
      </w:r>
    </w:p>
    <w:p>
      <w:pPr>
        <w:pStyle w:val="Heading1"/>
        <w:jc w:val="center"/>
      </w:pPr>
      <w:r>
        <w:rPr>
          <w:b/>
        </w:rPr>
        <w:t>Appendix — Science, Displacement, and Antibodies</w:t>
      </w:r>
    </w:p>
    <w:p>
      <w:r>
        <w:rPr>
          <w:b w:val="0"/>
          <w:i w:val="0"/>
        </w:rPr>
        <w:t xml:space="preserve">Suppressed science and technology, population displacement, and historical antibody profiles. Chapters use </w:t>
      </w:r>
      <w:r>
        <w:rPr>
          <w:rFonts w:ascii="JetBrains Mono" w:hAnsi="JetBrains Mono"/>
          <w:sz w:val="20"/>
        </w:rPr>
        <w:t>20.51.*</w:t>
      </w:r>
      <w:r>
        <w:rPr>
          <w:b w:val="0"/>
          <w:i w:val="0"/>
        </w:rPr>
        <w:t xml:space="preserve">, </w:t>
      </w:r>
      <w:r>
        <w:rPr>
          <w:rFonts w:ascii="JetBrains Mono" w:hAnsi="JetBrains Mono"/>
          <w:sz w:val="20"/>
        </w:rPr>
        <w:t>20.52.*</w:t>
      </w:r>
      <w:r>
        <w:rPr>
          <w:b w:val="0"/>
          <w:i w:val="0"/>
        </w:rPr>
        <w:t xml:space="preserve">, </w:t>
      </w:r>
      <w:r>
        <w:rPr>
          <w:rFonts w:ascii="JetBrains Mono" w:hAnsi="JetBrains Mono"/>
          <w:sz w:val="20"/>
        </w:rPr>
        <w:t>20.55.*</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152">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1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304">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304">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305">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06">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07">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308">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309">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310">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311">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312">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313">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1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82">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304">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305">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306">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307">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1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314">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36">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308">
        <w:r>
          <w:rPr>
            <w:b w:val="0"/>
            <w:i w:val="0"/>
            <w:color w:val="B8860B"/>
            <w:sz w:val="19"/>
          </w:rPr>
          <w:t>Weather Modification Investigation</w:t>
        </w:r>
      </w:hyperlink>
    </w:p>
    <w:p>
      <w:pPr>
        <w:pStyle w:val="ListBullet"/>
        <w:spacing w:before="20" w:after="20"/>
      </w:pPr>
      <w:hyperlink r:id="rId309">
        <w:r>
          <w:rPr>
            <w:b w:val="0"/>
            <w:i w:val="0"/>
            <w:color w:val="B8860B"/>
            <w:sz w:val="19"/>
          </w:rPr>
          <w:t>Havana Syndrome Investigation</w:t>
        </w:r>
      </w:hyperlink>
    </w:p>
    <w:p>
      <w:pPr>
        <w:pStyle w:val="ListBullet"/>
        <w:spacing w:before="20" w:after="20"/>
      </w:pPr>
      <w:hyperlink r:id="rId310">
        <w:r>
          <w:rPr>
            <w:b w:val="0"/>
            <w:i w:val="0"/>
            <w:color w:val="B8860B"/>
            <w:sz w:val="19"/>
          </w:rPr>
          <w:t>CERN &amp; Portal Technology</w:t>
        </w:r>
      </w:hyperlink>
    </w:p>
    <w:p>
      <w:pPr>
        <w:pStyle w:val="ListBullet"/>
        <w:spacing w:before="20" w:after="20"/>
      </w:pPr>
      <w:hyperlink r:id="rId315">
        <w:r>
          <w:rPr>
            <w:b w:val="0"/>
            <w:i w:val="0"/>
            <w:color w:val="B8860B"/>
            <w:sz w:val="19"/>
          </w:rPr>
          <w:t>The Burden of Proof: Aether Debate</w:t>
        </w:r>
      </w:hyperlink>
    </w:p>
    <w:p>
      <w:pPr>
        <w:pStyle w:val="ListBullet"/>
        <w:spacing w:before="20" w:after="20"/>
      </w:pPr>
      <w:hyperlink r:id="rId313">
        <w:r>
          <w:rPr>
            <w:b w:val="0"/>
            <w:i w:val="0"/>
            <w:color w:val="B8860B"/>
            <w:sz w:val="19"/>
          </w:rPr>
          <w:t>Nuclear Weapons Investigation</w:t>
        </w:r>
      </w:hyperlink>
    </w:p>
    <w:p>
      <w:pPr>
        <w:pStyle w:val="ListBullet"/>
        <w:spacing w:before="20" w:after="20"/>
      </w:pPr>
      <w:hyperlink r:id="rId312">
        <w:r>
          <w:rPr>
            <w:b w:val="0"/>
            <w:i w:val="0"/>
            <w:color w:val="B8860B"/>
            <w:sz w:val="19"/>
          </w:rPr>
          <w:t>Remote Viewing as Aether Physics</w:t>
        </w:r>
      </w:hyperlink>
    </w:p>
    <w:p>
      <w:pPr>
        <w:pStyle w:val="ListBullet"/>
        <w:spacing w:before="20" w:after="20"/>
      </w:pPr>
      <w:hyperlink r:id="rId316">
        <w:r>
          <w:rPr>
            <w:b w:val="0"/>
            <w:i w:val="0"/>
            <w:color w:val="B8860B"/>
            <w:sz w:val="19"/>
          </w:rPr>
          <w:t>SAFIRE Project Archive</w:t>
        </w:r>
      </w:hyperlink>
    </w:p>
    <w:p>
      <w:pPr>
        <w:pStyle w:val="ListBullet"/>
        <w:spacing w:before="20" w:after="20"/>
      </w:pPr>
      <w:hyperlink r:id="rId311">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Supplementary note for </w:t>
      </w:r>
      <w:hyperlink r:id="rId116">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317">
        <w:r>
          <w:rPr>
            <w:b w:val="0"/>
            <w:i w:val="0"/>
            <w:color w:val="B8860B"/>
          </w:rPr>
          <w:t>Controlled Opposition: Appendix</w:t>
        </w:r>
      </w:hyperlink>
      <w:r>
        <w:rPr>
          <w:b w:val="0"/>
          <w:i w:val="0"/>
        </w:rPr>
        <w:t xml:space="preserve"> and </w:t>
      </w:r>
      <w:hyperlink r:id="rId135">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16">
        <w:r>
          <w:rPr>
            <w:b w:val="0"/>
            <w:i w:val="0"/>
            <w:color w:val="B8860B"/>
            <w:sz w:val="19"/>
          </w:rPr>
          <w:t>Suppression of Maxwell &amp; the Aether</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306">
        <w:r>
          <w:rPr>
            <w:b w:val="0"/>
            <w:i w:val="0"/>
            <w:color w:val="B8860B"/>
            <w:sz w:val="19"/>
          </w:rPr>
          <w:t>Challenging Established Physics</w:t>
        </w:r>
      </w:hyperlink>
    </w:p>
    <w:p>
      <w:pPr>
        <w:pStyle w:val="ListBullet"/>
        <w:spacing w:before="20" w:after="20"/>
      </w:pPr>
      <w:hyperlink r:id="rId315">
        <w:r>
          <w:rPr>
            <w:b w:val="0"/>
            <w:i w:val="0"/>
            <w:color w:val="B8860B"/>
            <w:sz w:val="19"/>
          </w:rPr>
          <w:t>Burden of Proof: Aether Debate</w:t>
        </w:r>
      </w:hyperlink>
    </w:p>
    <w:p>
      <w:pPr>
        <w:pStyle w:val="ListBullet"/>
        <w:spacing w:before="20" w:after="20"/>
      </w:pPr>
      <w:hyperlink r:id="rId317">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expands on </w:t>
      </w:r>
      <w:hyperlink r:id="rId154">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18">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19">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1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8">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32">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154">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18">
        <w:r>
          <w:rPr>
            <w:b w:val="0"/>
            <w:i w:val="0"/>
            <w:color w:val="B8860B"/>
            <w:sz w:val="19"/>
          </w:rPr>
          <w:t>The Apocalypse Crusade</w:t>
        </w:r>
      </w:hyperlink>
    </w:p>
    <w:p>
      <w:pPr>
        <w:pStyle w:val="ListBullet"/>
        <w:spacing w:before="20" w:after="20"/>
      </w:pPr>
      <w:hyperlink r:id="rId319">
        <w:r>
          <w:rPr>
            <w:b w:val="0"/>
            <w:i w:val="0"/>
            <w:color w:val="B8860B"/>
            <w:sz w:val="19"/>
          </w:rPr>
          <w:t>London Burns to the Ground</w:t>
        </w:r>
      </w:hyperlink>
    </w:p>
    <w:p>
      <w:pPr>
        <w:pStyle w:val="ListBullet"/>
        <w:spacing w:before="20" w:after="20"/>
      </w:pPr>
      <w:hyperlink r:id="rId117">
        <w:r>
          <w:rPr>
            <w:b w:val="0"/>
            <w:i w:val="0"/>
            <w:color w:val="B8860B"/>
            <w:sz w:val="19"/>
          </w:rPr>
          <w:t>The Flexner Report</w:t>
        </w:r>
      </w:hyperlink>
    </w:p>
    <w:p>
      <w:pPr>
        <w:pStyle w:val="ListBullet"/>
        <w:spacing w:before="20" w:after="20"/>
      </w:pPr>
      <w:hyperlink r:id="rId13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Historical Antibodies: Pattern Analysis</w:t>
      </w:r>
    </w:p>
    <w:p>
      <w:r>
        <w:rPr>
          <w:b w:val="0"/>
          <w:i w:val="0"/>
        </w:rPr>
        <w:t xml:space="preserve">This appendix extends the main </w:t>
      </w:r>
      <w:hyperlink r:id="rId320">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141">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3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21">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3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141">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28">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an evidentiary record for the antibody figures introduced in </w:t>
      </w:r>
      <w:hyperlink r:id="rId320">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22">
        <w:r>
          <w:rPr>
            <w:b w:val="0"/>
            <w:i w:val="0"/>
            <w:color w:val="B8860B"/>
          </w:rPr>
          <w:t>Trump: The Antibody That Survived Crucifixion</w:t>
        </w:r>
      </w:hyperlink>
      <w:r>
        <w:rPr>
          <w:b w:val="0"/>
          <w:i w:val="0"/>
        </w:rPr>
        <w:t xml:space="preserve">: Patton connection, Epstein test, German heritage, and full citation inventory. The main timeline article develops the strategic reading (sin-eater antibody, late-term gravity of outrage, inception logic tied to </w:t>
      </w:r>
      <w:r>
        <w:rPr>
          <w:b w:val="0"/>
          <w:i/>
        </w:rPr>
        <w:t>The Art of the Deal</w:t>
      </w:r>
      <w:r>
        <w:rPr>
          <w:b w:val="0"/>
          <w:i w:val="0"/>
        </w:rPr>
        <w:t>, and provisional book closure); this appendix stays with documentary and biographical hooks.</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23">
        <w:r>
          <w:rPr>
            <w:b w:val="0"/>
            <w:i w:val="0"/>
            <w:color w:val="B8860B"/>
          </w:rPr>
          <w:t>Library of Congress</w:t>
        </w:r>
      </w:hyperlink>
      <w:r>
        <w:rPr>
          <w:b w:val="0"/>
          <w:i w:val="0"/>
        </w:rPr>
        <w:t xml:space="preserve">. Persistent rumour (QAnon; aggressively debunked): biological paternity. See </w:t>
      </w:r>
      <w:hyperlink r:id="rId324">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24">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24">
        <w:r>
          <w:rPr>
            <w:b w:val="0"/>
            <w:i w:val="0"/>
            <w:color w:val="B8860B"/>
          </w:rPr>
          <w:t>Trump Investigation</w:t>
        </w:r>
      </w:hyperlink>
      <w:r>
        <w:rPr>
          <w:b w:val="0"/>
          <w:i w:val="0"/>
        </w:rPr>
        <w:t>.</w:t>
      </w:r>
    </w:p>
    <w:p/>
    <w:p>
      <w:pPr>
        <w:sectPr>
          <w:headerReference w:type="default" r:id="rId302"/>
          <w:footerReference w:type="default" r:id="rId30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w:t>
      </w:r>
    </w:p>
    <w:p>
      <w:pPr>
        <w:pStyle w:val="Heading1"/>
        <w:jc w:val="center"/>
      </w:pPr>
      <w:r>
        <w:rPr>
          <w:b/>
        </w:rPr>
        <w:t>Appendix — Cataclysm and Memory</w:t>
      </w:r>
    </w:p>
    <w:p>
      <w:r>
        <w:rPr>
          <w:b w:val="0"/>
          <w:i w:val="0"/>
        </w:rPr>
        <w:t xml:space="preserve">Mudflood and late cataclysm evidence, displacement memory, and related lexical notes. Chapters use </w:t>
      </w:r>
      <w:r>
        <w:rPr>
          <w:rFonts w:ascii="JetBrains Mono" w:hAnsi="JetBrains Mono"/>
          <w:sz w:val="20"/>
        </w:rPr>
        <w:t>21.53.*</w:t>
      </w:r>
      <w:r>
        <w:rPr>
          <w:b w:val="0"/>
          <w:i w:val="0"/>
        </w:rPr>
        <w:t xml:space="preserve">, </w:t>
      </w:r>
      <w:r>
        <w:rPr>
          <w:rFonts w:ascii="JetBrains Mono" w:hAnsi="JetBrains Mono"/>
          <w:sz w:val="20"/>
        </w:rPr>
        <w:t>21.56.*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7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27">
        <w:r>
          <w:rPr>
            <w:b w:val="0"/>
            <w:i w:val="0"/>
            <w:color w:val="B8860B"/>
          </w:rPr>
          <w:t>The Trail of Tears: A Century-Long Erasure</w:t>
        </w:r>
      </w:hyperlink>
      <w:r>
        <w:rPr>
          <w:b w:val="0"/>
          <w:i w:val="0"/>
        </w:rPr>
        <w:t xml:space="preserve"> and </w:t>
      </w:r>
      <w:hyperlink r:id="rId328">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160">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327">
        <w:r>
          <w:rPr>
            <w:b w:val="0"/>
            <w:i w:val="0"/>
            <w:color w:val="B8860B"/>
          </w:rPr>
          <w:t>The Trail of Tears: A Century-Long Erasure (1758–1839+)</w:t>
        </w:r>
      </w:hyperlink>
      <w:r>
        <w:rPr>
          <w:b w:val="0"/>
          <w:i w:val="0"/>
        </w:rPr>
        <w:t xml:space="preserve"> and </w:t>
      </w:r>
      <w:hyperlink r:id="rId158">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77">
        <w:r>
          <w:rPr>
            <w:b w:val="0"/>
            <w:i w:val="0"/>
            <w:color w:val="B8860B"/>
          </w:rPr>
          <w:t>MudFlood Energetic Event</w:t>
        </w:r>
      </w:hyperlink>
      <w:r>
        <w:rPr>
          <w:b w:val="0"/>
          <w:i w:val="0"/>
        </w:rPr>
        <w:t xml:space="preserve"> (~1774) — </w:t>
      </w:r>
      <w:r>
        <w:rPr>
          <w:b/>
          <w:i w:val="0"/>
        </w:rPr>
        <w:t xml:space="preserve">see the primary article: </w:t>
      </w:r>
      <w:hyperlink r:id="rId327">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8">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7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2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8">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74">
        <w:r>
          <w:rPr>
            <w:b w:val="0"/>
            <w:i w:val="0"/>
            <w:color w:val="B8860B"/>
            <w:sz w:val="19"/>
          </w:rPr>
          <w:t>Pugachev Rebellion</w:t>
        </w:r>
      </w:hyperlink>
      <w:r>
        <w:rPr>
          <w:b w:val="0"/>
          <w:i w:val="0"/>
          <w:sz w:val="19"/>
        </w:rPr>
        <w:t xml:space="preserve"> | </w:t>
      </w:r>
      <w:hyperlink r:id="rId177">
        <w:r>
          <w:rPr>
            <w:b w:val="0"/>
            <w:i w:val="0"/>
            <w:color w:val="B8860B"/>
            <w:sz w:val="19"/>
          </w:rPr>
          <w:t>MudFlood</w:t>
        </w:r>
      </w:hyperlink>
    </w:p>
    <w:p>
      <w:pPr>
        <w:pStyle w:val="ListBullet"/>
        <w:spacing w:before="20" w:after="20"/>
      </w:pPr>
      <w:hyperlink r:id="rId329">
        <w:r>
          <w:rPr>
            <w:b w:val="0"/>
            <w:i w:val="0"/>
            <w:color w:val="B8860B"/>
            <w:sz w:val="19"/>
          </w:rPr>
          <w:t>Orphan Trains Investigation</w:t>
        </w:r>
      </w:hyperlink>
    </w:p>
    <w:p>
      <w:pPr>
        <w:pStyle w:val="ListBullet"/>
        <w:spacing w:before="20" w:after="20"/>
      </w:pPr>
      <w:hyperlink r:id="rId328">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77">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30">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31">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58">
        <w:r>
          <w:rPr>
            <w:b w:val="0"/>
            <w:i w:val="0"/>
            <w:color w:val="B8860B"/>
          </w:rPr>
          <w:t>Orphan trains &amp; Trail of Tears — extended</w:t>
        </w:r>
      </w:hyperlink>
      <w:r>
        <w:rPr>
          <w:b w:val="0"/>
          <w:i w:val="0"/>
        </w:rPr>
        <w:t xml:space="preserve"> · </w:t>
      </w:r>
      <w:hyperlink r:id="rId327">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77">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32">
        <w:r>
          <w:rPr>
            <w:b w:val="0"/>
            <w:i w:val="0"/>
            <w:color w:val="B8860B"/>
          </w:rPr>
          <w:t>1833 CE — Josiah Priest publishes American Antiquities</w:t>
        </w:r>
      </w:hyperlink>
      <w:r>
        <w:rPr>
          <w:b w:val="0"/>
          <w:i w:val="0"/>
        </w:rPr>
        <w:t xml:space="preserve">. Facsimile: </w:t>
      </w:r>
      <w:hyperlink r:id="rId333">
        <w:r>
          <w:rPr>
            <w:b w:val="0"/>
            <w:i w:val="0"/>
            <w:color w:val="B8860B"/>
          </w:rPr>
          <w:t>Internet Archive</w:t>
        </w:r>
      </w:hyperlink>
      <w:r>
        <w:rPr>
          <w:b w:val="0"/>
          <w:i w:val="0"/>
        </w:rPr>
        <w:t xml:space="preserve">. Full bibliography and use in this investigation: </w:t>
      </w:r>
      <w:hyperlink r:id="rId334">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35">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46">
        <w:r>
          <w:rPr>
            <w:b w:val="0"/>
            <w:i w:val="0"/>
            <w:color w:val="B8860B"/>
          </w:rPr>
          <w:t>Jesuit operations — New World</w:t>
        </w:r>
      </w:hyperlink>
      <w:r>
        <w:rPr>
          <w:b w:val="0"/>
          <w:i w:val="0"/>
        </w:rPr>
        <w:t xml:space="preserve"> · </w:t>
      </w:r>
      <w:hyperlink r:id="rId336">
        <w:r>
          <w:rPr>
            <w:b w:val="0"/>
            <w:i w:val="0"/>
            <w:color w:val="B8860B"/>
          </w:rPr>
          <w:t>15th c. Ottoman conquest of Europe</w:t>
        </w:r>
      </w:hyperlink>
      <w:r>
        <w:rPr>
          <w:b w:val="0"/>
          <w:i w:val="0"/>
        </w:rPr>
        <w:t xml:space="preserve"> · </w:t>
      </w:r>
      <w:hyperlink r:id="rId337">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pPr>
        <w:pStyle w:val="Quote"/>
      </w:pPr>
      <w:r>
        <w:rPr>
          <w:b w:val="0"/>
          <w:i w:val="0"/>
          <w:sz w:val="19"/>
        </w:rPr>
      </w:r>
      <w:r>
        <w:rPr>
          <w:b/>
          <w:i w:val="0"/>
          <w:sz w:val="19"/>
        </w:rPr>
        <w:t>TL;DR:</w:t>
      </w:r>
      <w:r>
        <w:rPr>
          <w:b w:val="0"/>
          <w:i w:val="0"/>
          <w:sz w:val="19"/>
        </w:rPr>
        <w:t xml:space="preserve"> TODO</w:t>
      </w:r>
    </w:p>
    <w:p>
      <w:r>
        <w:rPr>
          <w:b w:val="0"/>
          <w:i w:val="0"/>
        </w:rPr>
        <w:t xml:space="preserve">This appendix overflows the chronology investigation </w:t>
      </w:r>
      <w:hyperlink r:id="rId338">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39">
        <w:r>
          <w:rPr>
            <w:b w:val="0"/>
            <w:i w:val="0"/>
            <w:color w:val="B8860B"/>
          </w:rPr>
          <w:t>First Crusade &amp; Trojan War</w:t>
        </w:r>
      </w:hyperlink>
      <w:r>
        <w:rPr>
          <w:b w:val="0"/>
          <w:i w:val="0"/>
        </w:rPr>
        <w:t xml:space="preserve">, </w:t>
      </w:r>
      <w:hyperlink r:id="rId209">
        <w:r>
          <w:rPr>
            <w:b w:val="0"/>
            <w:i w:val="0"/>
            <w:color w:val="B8860B"/>
          </w:rPr>
          <w:t>Giants of the Rus-Horde</w:t>
        </w:r>
      </w:hyperlink>
      <w:r>
        <w:rPr>
          <w:b w:val="0"/>
          <w:i w:val="0"/>
        </w:rPr>
        <w:t xml:space="preserve">, </w:t>
      </w:r>
      <w:hyperlink r:id="rId340">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39">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41">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42">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39">
              <w:r>
                <w:rPr>
                  <w:b w:val="0"/>
                  <w:i w:val="0"/>
                  <w:color w:val="B8860B"/>
                  <w:sz w:val="18"/>
                </w:rPr>
                <w:t>First Crusade &amp; Trojan War</w:t>
              </w:r>
            </w:hyperlink>
            <w:r>
              <w:rPr>
                <w:b w:val="0"/>
                <w:i w:val="0"/>
                <w:sz w:val="18"/>
              </w:rPr>
              <w:t>.</w:t>
            </w:r>
          </w:p>
        </w:tc>
      </w:tr>
    </w:tbl>
    <w:p/>
    <w:p>
      <w:r>
        <w:rPr>
          <w:b w:val="0"/>
          <w:i w:val="0"/>
        </w:rPr>
        <w:t xml:space="preserve">Wikipedia (overview): </w:t>
      </w:r>
      <w:hyperlink r:id="rId343">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39">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44">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325"/>
          <w:footerReference w:type="default" r:id="rId32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XXII</w:t>
      </w:r>
    </w:p>
    <w:p>
      <w:pPr>
        <w:pStyle w:val="Heading1"/>
        <w:jc w:val="center"/>
      </w:pPr>
      <w:r>
        <w:rPr>
          <w:b/>
        </w:rPr>
        <w:t>Appendix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45"/>
      <w:footerReference w:type="default" r:id="rId34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https://paradigmthreat.net/influence/predictive_programming/fiction_encoding/grrm/index-george-rr-martin-world-of-ice-and-fire-investigation.md" TargetMode="External"/><Relationship Id="rId222" Type="http://schemas.openxmlformats.org/officeDocument/2006/relationships/hyperlink" Target="/history/chronology/page.md" TargetMode="External"/><Relationship Id="rId223" Type="http://schemas.openxmlformats.org/officeDocument/2006/relationships/hyperlink" Target="/cosmos/mars/investigations/index-mars.md" TargetMode="External"/><Relationship Id="rId224" Type="http://schemas.openxmlformats.org/officeDocument/2006/relationships/hyperlink" Target="https://en.wikipedia.org/wiki/Red_Book_of_Hergest" TargetMode="External"/><Relationship Id="rId225" Type="http://schemas.openxmlformats.org/officeDocument/2006/relationships/hyperlink" Target="https://paradigmthreat.net/influence/predictive_programming/fiction_encoding/princess-bride/index-princess-bride-andronicus-fezzik-investigation.md" TargetMode="External"/><Relationship Id="rId226" Type="http://schemas.openxmlformats.org/officeDocument/2006/relationships/hyperlink" Target="https://en.wikipedia.org/wiki/Nazi_book_burnings" TargetMode="External"/><Relationship Id="rId227" Type="http://schemas.openxmlformats.org/officeDocument/2006/relationships/hyperlink" Target="/timeline/evt-mars-literature-as-reclassified-nonfiction" TargetMode="External"/><Relationship Id="rId228" Type="http://schemas.openxmlformats.org/officeDocument/2006/relationships/hyperlink" Target="/timeline/evt-historical-antibodies-pattern" TargetMode="External"/><Relationship Id="rId229" Type="http://schemas.openxmlformats.org/officeDocument/2006/relationships/hyperlink" Target="/cosmos/mars/investigations/mars-fiction-survey.md" TargetMode="External"/><Relationship Id="rId230" Type="http://schemas.openxmlformats.org/officeDocument/2006/relationships/hyperlink" Target="https://chronologia.org/en/how_it_was/08_21.html" TargetMode="External"/><Relationship Id="rId231" Type="http://schemas.openxmlformats.org/officeDocument/2006/relationships/hyperlink" Target="/timeline/evt-deep-state-the-census-naming" TargetMode="External"/><Relationship Id="rId232" Type="http://schemas.openxmlformats.org/officeDocument/2006/relationships/hyperlink" Target="/timeline/evt-slave-trades-and-the-horde-fracture" TargetMode="External"/><Relationship Id="rId233" Type="http://schemas.openxmlformats.org/officeDocument/2006/relationships/hyperlink" Target="/timeline/evt-jesuits-make-pilgrimage-to" TargetMode="External"/><Relationship Id="rId234" Type="http://schemas.openxmlformats.org/officeDocument/2006/relationships/hyperlink" Target="/timeline/evt-1613-ce-romanovs-zakharyin-yurievs-dynasty-takes-the-throne" TargetMode="External"/><Relationship Id="rId235" Type="http://schemas.openxmlformats.org/officeDocument/2006/relationships/hyperlink" Target="/timeline/evt-gregorian-calendar-makes-slight" TargetMode="External"/><Relationship Id="rId236" Type="http://schemas.openxmlformats.org/officeDocument/2006/relationships/hyperlink" Target="/timeline/evt-1627-ce-deep-state-erases-russian-empire-from-all-chronology" TargetMode="External"/><Relationship Id="rId237" Type="http://schemas.openxmlformats.org/officeDocument/2006/relationships/hyperlink" Target="/timeline/evt-censorship-book-burning-from" TargetMode="External"/><Relationship Id="rId238" Type="http://schemas.openxmlformats.org/officeDocument/2006/relationships/hyperlink" Target="/timeline/evt-russian-intellectual-emigration" TargetMode="External"/><Relationship Id="rId239" Type="http://schemas.openxmlformats.org/officeDocument/2006/relationships/header" Target="header4.xml"/><Relationship Id="rId240" Type="http://schemas.openxmlformats.org/officeDocument/2006/relationships/footer" Target="footer4.xml"/><Relationship Id="rId241" Type="http://schemas.openxmlformats.org/officeDocument/2006/relationships/hyperlink" Target="/timeline/evt-false-flags-architecture-of" TargetMode="External"/><Relationship Id="rId242" Type="http://schemas.openxmlformats.org/officeDocument/2006/relationships/hyperlink" Target="/events/false_flag/investigations/09-11-investigation.md" TargetMode="External"/><Relationship Id="rId243" Type="http://schemas.openxmlformats.org/officeDocument/2006/relationships/hyperlink" Target="https://jamesperloff.net/pearl-harbor-roosevelts-911/" TargetMode="External"/><Relationship Id="rId244" Type="http://schemas.openxmlformats.org/officeDocument/2006/relationships/hyperlink" Target="https://www.falseflag.info/pearl-harbor/" TargetMode="External"/><Relationship Id="rId245" Type="http://schemas.openxmlformats.org/officeDocument/2006/relationships/hyperlink" Target="https://hofs.online/the-encyclopedia-of-false-flag-staged-operations/" TargetMode="External"/><Relationship Id="rId246" Type="http://schemas.openxmlformats.org/officeDocument/2006/relationships/hyperlink" Target="https://en.wikipedia.org/wiki/Pearl_Harbor_advance-knowledge_conspiracy_theory" TargetMode="External"/><Relationship Id="rId247" Type="http://schemas.openxmlformats.org/officeDocument/2006/relationships/hyperlink" Target="https://en.wikipedia.org/wiki/McCollum_memo" TargetMode="External"/><Relationship Id="rId248" Type="http://schemas.openxmlformats.org/officeDocument/2006/relationships/hyperlink" Target="https://en.wikipedia.org/wiki/Battle_of_Los_Angeles" TargetMode="External"/><Relationship Id="rId249" Type="http://schemas.openxmlformats.org/officeDocument/2006/relationships/hyperlink" Target="https://apjjf.org/-Mark-Selden/2414/article.html" TargetMode="External"/><Relationship Id="rId250" Type="http://schemas.openxmlformats.org/officeDocument/2006/relationships/hyperlink" Target="https://cstms.berkeley.edu/current-events/napalm-in-world-war-ii-invention-test-the-bat-bomb-and-incinerating-japan/" TargetMode="External"/><Relationship Id="rId251" Type="http://schemas.openxmlformats.org/officeDocument/2006/relationships/hyperlink" Target="https://www.whatreallyhappened.com/WRHARTICLES/pearl.php" TargetMode="External"/><Relationship Id="rId252" Type="http://schemas.openxmlformats.org/officeDocument/2006/relationships/hyperlink" Target="https://www.ibiblio.org/pha/myths/Missing_Carriers.html" TargetMode="External"/><Relationship Id="rId253" Type="http://schemas.openxmlformats.org/officeDocument/2006/relationships/hyperlink" Target="/timeline/evt-british-empire-as-deep-state" TargetMode="External"/><Relationship Id="rId254" Type="http://schemas.openxmlformats.org/officeDocument/2006/relationships/hyperlink" Target="https://en.wikipedia.org/wiki/Government_reform_of_Peter_the_Great" TargetMode="External"/><Relationship Id="rId255" Type="http://schemas.openxmlformats.org/officeDocument/2006/relationships/hyperlink" Target="https://www.prlib.ru/en/history/619018" TargetMode="External"/><Relationship Id="rId256" Type="http://schemas.openxmlformats.org/officeDocument/2006/relationships/hyperlink" Target="https://en.wikipedia.org/wiki/Anti-Russian_sentiment#18th_and_19th_centuries" TargetMode="External"/><Relationship Id="rId257" Type="http://schemas.openxmlformats.org/officeDocument/2006/relationships/hyperlink" Target="https://www.rt.com/russia/569147-zakharova-odessa-monuments-history/" TargetMode="External"/><Relationship Id="rId258" Type="http://schemas.openxmlformats.org/officeDocument/2006/relationships/hyperlink" Target="https://chronologia.org/en/how_it_was/05.html#the7" TargetMode="External"/><Relationship Id="rId259" Type="http://schemas.openxmlformats.org/officeDocument/2006/relationships/hyperlink" Target="https://chronologia.org/en/how_it_was/06_21.html#the628" TargetMode="External"/><Relationship Id="rId260" Type="http://schemas.openxmlformats.org/officeDocument/2006/relationships/hyperlink" Target="/timeline/evt-1300-ce-european-religious" TargetMode="External"/><Relationship Id="rId261" Type="http://schemas.openxmlformats.org/officeDocument/2006/relationships/hyperlink" Target="/timeline/evt-1542-ce-the-holy-inquisition" TargetMode="External"/><Relationship Id="rId262" Type="http://schemas.openxmlformats.org/officeDocument/2006/relationships/hyperlink" Target="https://chronologia.org/en/how_it_was/07.html" TargetMode="External"/><Relationship Id="rId263" Type="http://schemas.openxmlformats.org/officeDocument/2006/relationships/hyperlink" Target="https://chronologia.org/en/how_it_was/08.html" TargetMode="External"/><Relationship Id="rId264" Type="http://schemas.openxmlformats.org/officeDocument/2006/relationships/hyperlink" Target="/timeline/evt-romanov-seizure-fracturing-of" TargetMode="External"/><Relationship Id="rId265" Type="http://schemas.openxmlformats.org/officeDocument/2006/relationships/hyperlink" Target="/timeline/evt-jesuit-restoration-mission-pattern" TargetMode="External"/><Relationship Id="rId266" Type="http://schemas.openxmlformats.org/officeDocument/2006/relationships/hyperlink" Target="https://en.wikipedia.org/wiki/Partition_of_India" TargetMode="External"/><Relationship Id="rId267" Type="http://schemas.openxmlformats.org/officeDocument/2006/relationships/hyperlink" Target="https://en.wikipedia.org/wiki/Balfour_Declaration" TargetMode="External"/><Relationship Id="rId268" Type="http://schemas.openxmlformats.org/officeDocument/2006/relationships/hyperlink" Target="https://en.wikipedia.org/wiki/Scramble_for_Africa" TargetMode="External"/><Relationship Id="rId269" Type="http://schemas.openxmlformats.org/officeDocument/2006/relationships/hyperlink" Target="https://en.wikipedia.org/wiki/Opium_Wars" TargetMode="External"/><Relationship Id="rId270" Type="http://schemas.openxmlformats.org/officeDocument/2006/relationships/hyperlink" Target="https://en.wikipedia.org/wiki/Meiji_Restoration" TargetMode="External"/><Relationship Id="rId271" Type="http://schemas.openxmlformats.org/officeDocument/2006/relationships/hyperlink" Target="/governance/war/investigations/pitcairn-bounty-mutiny-sovereignty-and-narratives.md#21-captain-bligh--books-naval-record-and-the-screens-tyrant-tahiti-as-suppressed-trigger" TargetMode="External"/><Relationship Id="rId272" Type="http://schemas.openxmlformats.org/officeDocument/2006/relationships/hyperlink" Target="/governance/war/investigations/pitcairn-bounty-mutiny-sovereignty-and-narratives.md" TargetMode="External"/><Relationship Id="rId273" Type="http://schemas.openxmlformats.org/officeDocument/2006/relationships/hyperlink" Target="/governance/war/investigations/pitcairn-island-timeline.md" TargetMode="External"/><Relationship Id="rId274" Type="http://schemas.openxmlformats.org/officeDocument/2006/relationships/hyperlink" Target="https://en.wikipedia.org/wiki/Monita_Secreta" TargetMode="External"/><Relationship Id="rId275" Type="http://schemas.openxmlformats.org/officeDocument/2006/relationships/hyperlink" Target="/timeline/evt-deep-state-redacts-christianity-into-jesuit-catholicism" TargetMode="External"/><Relationship Id="rId276" Type="http://schemas.openxmlformats.org/officeDocument/2006/relationships/hyperlink" Target="https://en.wikipedia.org/wiki/Ignatius_of_Loyola" TargetMode="External"/><Relationship Id="rId277" Type="http://schemas.openxmlformats.org/officeDocument/2006/relationships/hyperlink" Target="https://en.wikipedia.org/wiki/Spiritual_Exercises_of_Ignatius_of_Loyola" TargetMode="External"/><Relationship Id="rId278" Type="http://schemas.openxmlformats.org/officeDocument/2006/relationships/hyperlink" Target="https://sofrep.com/news/soldiers-god-catholicisms-special-operations-force/" TargetMode="External"/><Relationship Id="rId279" Type="http://schemas.openxmlformats.org/officeDocument/2006/relationships/hyperlink" Target="https://en.wikipedia.org/wiki/Maya_codices" TargetMode="External"/><Relationship Id="rId280" Type="http://schemas.openxmlformats.org/officeDocument/2006/relationships/hyperlink" Target="https://en.wikipedia.org/wiki/Diego_de_Landa" TargetMode="External"/><Relationship Id="rId281" Type="http://schemas.openxmlformats.org/officeDocument/2006/relationships/hyperlink" Target="https://en.wikipedia.org/wiki/Jesuit_reduction" TargetMode="External"/><Relationship Id="rId282" Type="http://schemas.openxmlformats.org/officeDocument/2006/relationships/hyperlink" Target="https://en.wikipedia.org/wiki/Carolingian_Empire" TargetMode="External"/><Relationship Id="rId283" Type="http://schemas.openxmlformats.org/officeDocument/2006/relationships/hyperlink" Target="https://en.wikipedia.org/wiki/Al-Aqsa_Mosque" TargetMode="External"/><Relationship Id="rId284" Type="http://schemas.openxmlformats.org/officeDocument/2006/relationships/hyperlink" Target="/timeline/evt-jesuits-missions-convert-asians-to-buddhism" TargetMode="External"/><Relationship Id="rId285" Type="http://schemas.openxmlformats.org/officeDocument/2006/relationships/hyperlink" Target="/timeline/evt-1718-ce-secret-society-of-jesus-goes-public" TargetMode="External"/><Relationship Id="rId286" Type="http://schemas.openxmlformats.org/officeDocument/2006/relationships/hyperlink" Target="/timeline/evt-from-missionaries-to-corporations" TargetMode="External"/><Relationship Id="rId287" Type="http://schemas.openxmlformats.org/officeDocument/2006/relationships/hyperlink" Target="https://en.wikipedia.org/wiki/18_Brumaire" TargetMode="External"/><Relationship Id="rId288" Type="http://schemas.openxmlformats.org/officeDocument/2006/relationships/hyperlink" Target="https://en.wikipedia.org/wiki/Rosetta_Stone" TargetMode="External"/><Relationship Id="rId289" Type="http://schemas.openxmlformats.org/officeDocument/2006/relationships/hyperlink" Target="https://en.wikipedia.org/wiki/Roller_coaster" TargetMode="External"/><Relationship Id="rId290" Type="http://schemas.openxmlformats.org/officeDocument/2006/relationships/hyperlink" Target="https://en.wikipedia.org/wiki/French_Aerostatic_Corps" TargetMode="External"/><Relationship Id="rId291" Type="http://schemas.openxmlformats.org/officeDocument/2006/relationships/hyperlink" Target="/governance/war/investigations/napoleonic-advanced-artillery-airship-investigation.md" TargetMode="External"/><Relationship Id="rId292" Type="http://schemas.openxmlformats.org/officeDocument/2006/relationships/hyperlink" Target="https://en.wikipedia.org/wiki/Grande_Arm%C3%A9e" TargetMode="External"/><Relationship Id="rId293" Type="http://schemas.openxmlformats.org/officeDocument/2006/relationships/hyperlink" Target="https://en.wikipedia.org/wiki/Louisiana_Purchase" TargetMode="External"/><Relationship Id="rId294" Type="http://schemas.openxmlformats.org/officeDocument/2006/relationships/hyperlink" Target="https://en.wikipedia.org/wiki/Battle_of_Borodino" TargetMode="External"/><Relationship Id="rId295" Type="http://schemas.openxmlformats.org/officeDocument/2006/relationships/hyperlink" Target="/timeline/evt-1880-ce-tchaikovsky-releases-1812-overture" TargetMode="External"/><Relationship Id="rId296" Type="http://schemas.openxmlformats.org/officeDocument/2006/relationships/hyperlink" Target="/governance/war/investigations/operation-paperclip-nazi-continuity-and-wwii-narrative-investigation.md" TargetMode="External"/><Relationship Id="rId297" Type="http://schemas.openxmlformats.org/officeDocument/2006/relationships/hyperlink" Target="/governance/war/investigations/reverse-crusades-comparison.md" TargetMode="External"/><Relationship Id="rId298" Type="http://schemas.openxmlformats.org/officeDocument/2006/relationships/hyperlink" Target="/timeline/evt-2000-ce-21st-century-the-final-struggle-reverse-crusade-iv" TargetMode="External"/><Relationship Id="rId299" Type="http://schemas.openxmlformats.org/officeDocument/2006/relationships/hyperlink" Target="/timeline/evt-world-war-ii-reverse-crusade-iii" TargetMode="External"/><Relationship Id="rId300" Type="http://schemas.openxmlformats.org/officeDocument/2006/relationships/hyperlink" Target="/history/mudflood" TargetMode="External"/><Relationship Id="rId301" Type="http://schemas.openxmlformats.org/officeDocument/2006/relationships/hyperlink" Target="/governance/war/investigations/vril-society.md" TargetMode="External"/><Relationship Id="rId302" Type="http://schemas.openxmlformats.org/officeDocument/2006/relationships/header" Target="header5.xml"/><Relationship Id="rId303" Type="http://schemas.openxmlformats.org/officeDocument/2006/relationships/footer" Target="footer5.xml"/><Relationship Id="rId304" Type="http://schemas.openxmlformats.org/officeDocument/2006/relationships/hyperlink" Target="/timeline/evt-weather-control-from-martian" TargetMode="External"/><Relationship Id="rId305" Type="http://schemas.openxmlformats.org/officeDocument/2006/relationships/hyperlink" Target="/timeline/evt-2009-ce-cern-s-lhc-portal" TargetMode="External"/><Relationship Id="rId306" Type="http://schemas.openxmlformats.org/officeDocument/2006/relationships/hyperlink" Target="/timeline/evt-challenging-established-physics" TargetMode="External"/><Relationship Id="rId307" Type="http://schemas.openxmlformats.org/officeDocument/2006/relationships/hyperlink" Target="/timeline/evt-nuclear-energy-bomb-most" TargetMode="External"/><Relationship Id="rId308" Type="http://schemas.openxmlformats.org/officeDocument/2006/relationships/hyperlink" Target="/science/geoengineering/weather-modification-investigation" TargetMode="External"/><Relationship Id="rId309" Type="http://schemas.openxmlformats.org/officeDocument/2006/relationships/hyperlink" Target="/science/havana_syndrome/havana-syndrome-investigation.md" TargetMode="External"/><Relationship Id="rId310" Type="http://schemas.openxmlformats.org/officeDocument/2006/relationships/hyperlink" Target="/science/cern_portal/index.md" TargetMode="External"/><Relationship Id="rId311" Type="http://schemas.openxmlformats.org/officeDocument/2006/relationships/hyperlink" Target="/cosmos/mars/investigations/mars-stock-market-correlation" TargetMode="External"/><Relationship Id="rId312" Type="http://schemas.openxmlformats.org/officeDocument/2006/relationships/hyperlink" Target="/science/telepathy/remote_viewing/aether-consciousness.md" TargetMode="External"/><Relationship Id="rId313" Type="http://schemas.openxmlformats.org/officeDocument/2006/relationships/hyperlink" Target="/science/nukes/investigations/nukes-dont-exist-investigation.md" TargetMode="External"/><Relationship Id="rId314" Type="http://schemas.openxmlformats.org/officeDocument/2006/relationships/hyperlink" Target="/timeline/evt-19th-century-weapons" TargetMode="External"/><Relationship Id="rId315" Type="http://schemas.openxmlformats.org/officeDocument/2006/relationships/hyperlink" Target="/science/maxwell_aether/01-burden-of-proof-debate.md" TargetMode="External"/><Relationship Id="rId316" Type="http://schemas.openxmlformats.org/officeDocument/2006/relationships/hyperlink" Target="/cosmos/cosmology/saturnian/index-safireproject.md" TargetMode="External"/><Relationship Id="rId317" Type="http://schemas.openxmlformats.org/officeDocument/2006/relationships/hyperlink" Target="/timeline/evt-controlled-opposition-appendix" TargetMode="External"/><Relationship Id="rId318" Type="http://schemas.openxmlformats.org/officeDocument/2006/relationships/hyperlink" Target="/timeline/evt-1492-ce-the-apocalypse-crusade" TargetMode="External"/><Relationship Id="rId319" Type="http://schemas.openxmlformats.org/officeDocument/2006/relationships/hyperlink" Target="/timeline/evt-1666-ce-london-burns-to-the-ground-sept-2-6-1666" TargetMode="External"/><Relationship Id="rId320" Type="http://schemas.openxmlformats.org/officeDocument/2006/relationships/hyperlink" Target="/timeline/evt-historical-antibodies" TargetMode="External"/><Relationship Id="rId321" Type="http://schemas.openxmlformats.org/officeDocument/2006/relationships/hyperlink" Target="/timeline/evt-shakespeare-encodes-the-horde" TargetMode="External"/><Relationship Id="rId322" Type="http://schemas.openxmlformats.org/officeDocument/2006/relationships/hyperlink" Target="/timeline/evt-trump" TargetMode="External"/><Relationship Id="rId323" Type="http://schemas.openxmlformats.org/officeDocument/2006/relationships/hyperlink" Target="https://www.loc.gov/collections/george-s-patton-diaries/about-this-collection/" TargetMode="External"/><Relationship Id="rId324" Type="http://schemas.openxmlformats.org/officeDocument/2006/relationships/hyperlink" Target="/events/trump/index-trump-investigation.md" TargetMode="External"/><Relationship Id="rId325" Type="http://schemas.openxmlformats.org/officeDocument/2006/relationships/header" Target="header6.xml"/><Relationship Id="rId326" Type="http://schemas.openxmlformats.org/officeDocument/2006/relationships/footer" Target="footer6.xml"/><Relationship Id="rId327" Type="http://schemas.openxmlformats.org/officeDocument/2006/relationships/hyperlink" Target="/timeline/evt-trail-tears-century-long-erasure" TargetMode="External"/><Relationship Id="rId328" Type="http://schemas.openxmlformats.org/officeDocument/2006/relationships/hyperlink" Target="https://paradigmthreat.net/history/common-questions#q4-why-did-the-maya-civilization-collapse-why-was-it-advanced-why-does-the-mainstream-record-say-they-collapsed-over-1000-years-ago" TargetMode="External"/><Relationship Id="rId329" Type="http://schemas.openxmlformats.org/officeDocument/2006/relationships/hyperlink" Target="/history/orphan_trains/orphan-trains-investigation.md" TargetMode="External"/><Relationship Id="rId330" Type="http://schemas.openxmlformats.org/officeDocument/2006/relationships/hyperlink" Target="https://en.wikipedia.org/wiki/Donner_Party" TargetMode="External"/><Relationship Id="rId331" Type="http://schemas.openxmlformats.org/officeDocument/2006/relationships/hyperlink" Target="/history/chronology/investigations/slow-ecological-collapse-mfee-through-donner-era.md" TargetMode="External"/><Relationship Id="rId332" Type="http://schemas.openxmlformats.org/officeDocument/2006/relationships/hyperlink" Target="/timeline/evt-1833-ce-josiah-priest-american-antiquities" TargetMode="External"/><Relationship Id="rId333" Type="http://schemas.openxmlformats.org/officeDocument/2006/relationships/hyperlink" Target="https://archive.org/details/americanantiquit00prie" TargetMode="External"/><Relationship Id="rId334" Type="http://schemas.openxmlformats.org/officeDocument/2006/relationships/hyperlink" Target="/history/chronology/investigations/new-world-naming-mfee-and-colonization-memory.md#josiah-priest-american-antiquities-1833" TargetMode="External"/><Relationship Id="rId335" Type="http://schemas.openxmlformats.org/officeDocument/2006/relationships/hyperlink" Target="/history/chronology/investigations/new-world-naming-mfee-and-colonization-memory.md" TargetMode="External"/><Relationship Id="rId336" Type="http://schemas.openxmlformats.org/officeDocument/2006/relationships/hyperlink" Target="/timeline/evt-1400-ce-15th-century-ce-ottoman-conquest-of-europe" TargetMode="External"/><Relationship Id="rId337" Type="http://schemas.openxmlformats.org/officeDocument/2006/relationships/hyperlink" Target="/history/mudflood/investigations/promised-land-investigation.md" TargetMode="External"/><Relationship Id="rId338" Type="http://schemas.openxmlformats.org/officeDocument/2006/relationships/hyperlink" Target="/history/chronology/investigations/giants-infantry-guerrilla-etymology-investigation.md" TargetMode="External"/><Relationship Id="rId339" Type="http://schemas.openxmlformats.org/officeDocument/2006/relationships/hyperlink" Target="/timeline/evt-the-first-crusade-trojan-war" TargetMode="External"/><Relationship Id="rId340" Type="http://schemas.openxmlformats.org/officeDocument/2006/relationships/hyperlink" Target="/timeline/evt-giants-are-defeated-at-the-battle-of" TargetMode="External"/><Relationship Id="rId341" Type="http://schemas.openxmlformats.org/officeDocument/2006/relationships/hyperlink" Target="https://www.etymonline.com/word/infantry" TargetMode="External"/><Relationship Id="rId342" Type="http://schemas.openxmlformats.org/officeDocument/2006/relationships/hyperlink" Target="https://www.etymonline.com/word/guerrilla" TargetMode="External"/><Relationship Id="rId343" Type="http://schemas.openxmlformats.org/officeDocument/2006/relationships/hyperlink" Target="https://en.wikipedia.org/wiki/Children%27s_Crusade" TargetMode="External"/><Relationship Id="rId344" Type="http://schemas.openxmlformats.org/officeDocument/2006/relationships/hyperlink" Target="/history/chronology/investigations/two-branches-christianity-fomenko-vs-author.md" TargetMode="External"/><Relationship Id="rId345" Type="http://schemas.openxmlformats.org/officeDocument/2006/relationships/header" Target="header7.xml"/><Relationship Id="rId346"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